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172" w:rsidRDefault="00012172">
      <w:pPr>
        <w:jc w:val="center"/>
        <w:rPr>
          <w:b/>
        </w:rPr>
      </w:pPr>
      <w:bookmarkStart w:id="0" w:name="_GoBack"/>
      <w:bookmarkEnd w:id="0"/>
    </w:p>
    <w:p w:rsidR="00012172" w:rsidRDefault="00012172">
      <w:pPr>
        <w:jc w:val="center"/>
        <w:rPr>
          <w:b/>
        </w:rPr>
      </w:pPr>
    </w:p>
    <w:p w:rsidR="00012172" w:rsidRDefault="00012172">
      <w:pPr>
        <w:jc w:val="center"/>
        <w:rPr>
          <w:b/>
        </w:rPr>
      </w:pPr>
    </w:p>
    <w:p w:rsidR="00012172" w:rsidRDefault="00012172">
      <w:pPr>
        <w:jc w:val="center"/>
        <w:rPr>
          <w:b/>
        </w:rPr>
      </w:pPr>
    </w:p>
    <w:p w:rsidR="00012172" w:rsidRDefault="00012172">
      <w:pPr>
        <w:jc w:val="center"/>
        <w:rPr>
          <w:b/>
        </w:rPr>
      </w:pPr>
    </w:p>
    <w:p w:rsidR="00012172" w:rsidRDefault="00012172">
      <w:pPr>
        <w:jc w:val="center"/>
        <w:rPr>
          <w:b/>
        </w:rPr>
      </w:pPr>
    </w:p>
    <w:p w:rsidR="00012172" w:rsidRDefault="00012172">
      <w:pPr>
        <w:jc w:val="center"/>
        <w:rPr>
          <w:b/>
        </w:rPr>
      </w:pPr>
    </w:p>
    <w:p w:rsidR="00012172" w:rsidRDefault="00012172">
      <w:pPr>
        <w:jc w:val="center"/>
        <w:rPr>
          <w:b/>
        </w:rPr>
      </w:pPr>
    </w:p>
    <w:p w:rsidR="00012172" w:rsidRDefault="00012172">
      <w:pPr>
        <w:jc w:val="center"/>
        <w:rPr>
          <w:b/>
        </w:rPr>
      </w:pPr>
    </w:p>
    <w:p w:rsidR="00012172" w:rsidRDefault="00F0650A">
      <w:pPr>
        <w:spacing w:line="360" w:lineRule="auto"/>
        <w:jc w:val="center"/>
        <w:rPr>
          <w:b/>
          <w:sz w:val="32"/>
          <w:szCs w:val="32"/>
        </w:rPr>
      </w:pPr>
      <w:r>
        <w:rPr>
          <w:b/>
          <w:sz w:val="32"/>
          <w:szCs w:val="32"/>
        </w:rPr>
        <w:t>PROSTORNI PLAN</w:t>
      </w:r>
      <w:r w:rsidR="00012172">
        <w:rPr>
          <w:b/>
          <w:sz w:val="32"/>
          <w:szCs w:val="32"/>
        </w:rPr>
        <w:t xml:space="preserve"> UREĐENJA</w:t>
      </w:r>
    </w:p>
    <w:p w:rsidR="00012172" w:rsidRDefault="00012172">
      <w:pPr>
        <w:spacing w:line="360" w:lineRule="auto"/>
        <w:jc w:val="center"/>
        <w:rPr>
          <w:b/>
          <w:sz w:val="32"/>
          <w:szCs w:val="32"/>
        </w:rPr>
      </w:pPr>
      <w:r>
        <w:rPr>
          <w:b/>
          <w:sz w:val="32"/>
          <w:szCs w:val="32"/>
        </w:rPr>
        <w:t>OPĆINE GORNJA RIJEKA</w:t>
      </w:r>
    </w:p>
    <w:p w:rsidR="00012172" w:rsidRDefault="00012172">
      <w:pPr>
        <w:jc w:val="center"/>
        <w:rPr>
          <w:b/>
        </w:rPr>
      </w:pPr>
    </w:p>
    <w:p w:rsidR="00012172" w:rsidRDefault="00012172">
      <w:pPr>
        <w:jc w:val="center"/>
        <w:rPr>
          <w:b/>
        </w:rPr>
      </w:pPr>
    </w:p>
    <w:p w:rsidR="00012172" w:rsidRDefault="00012172">
      <w:pPr>
        <w:jc w:val="center"/>
        <w:rPr>
          <w:b/>
        </w:rPr>
      </w:pPr>
    </w:p>
    <w:p w:rsidR="00012172" w:rsidRDefault="00012172">
      <w:pPr>
        <w:jc w:val="center"/>
        <w:rPr>
          <w:b/>
        </w:rPr>
      </w:pPr>
    </w:p>
    <w:p w:rsidR="00012172" w:rsidRDefault="00012172">
      <w:pPr>
        <w:jc w:val="center"/>
        <w:rPr>
          <w:b/>
        </w:rPr>
      </w:pPr>
    </w:p>
    <w:p w:rsidR="00012172" w:rsidRDefault="00012172">
      <w:pPr>
        <w:jc w:val="center"/>
        <w:rPr>
          <w:b/>
        </w:rPr>
      </w:pPr>
    </w:p>
    <w:p w:rsidR="00012172" w:rsidRDefault="00012172">
      <w:pPr>
        <w:jc w:val="center"/>
        <w:rPr>
          <w:b/>
        </w:rPr>
      </w:pPr>
    </w:p>
    <w:p w:rsidR="00012172" w:rsidRDefault="00012172">
      <w:pPr>
        <w:jc w:val="center"/>
        <w:rPr>
          <w:b/>
        </w:rPr>
      </w:pPr>
    </w:p>
    <w:p w:rsidR="00012172" w:rsidRDefault="00012172">
      <w:pPr>
        <w:jc w:val="center"/>
        <w:rPr>
          <w:b/>
        </w:rPr>
      </w:pPr>
    </w:p>
    <w:p w:rsidR="00012172" w:rsidRDefault="00012172">
      <w:pPr>
        <w:jc w:val="center"/>
        <w:rPr>
          <w:b/>
        </w:rPr>
      </w:pPr>
    </w:p>
    <w:p w:rsidR="00012172" w:rsidRDefault="00012172">
      <w:pPr>
        <w:jc w:val="center"/>
        <w:rPr>
          <w:b/>
        </w:rPr>
      </w:pPr>
    </w:p>
    <w:p w:rsidR="00012172" w:rsidRDefault="00012172">
      <w:pPr>
        <w:jc w:val="center"/>
        <w:rPr>
          <w:b/>
        </w:rPr>
      </w:pPr>
    </w:p>
    <w:p w:rsidR="00012172" w:rsidRDefault="00012172">
      <w:pPr>
        <w:jc w:val="center"/>
        <w:rPr>
          <w:b/>
        </w:rPr>
      </w:pPr>
    </w:p>
    <w:p w:rsidR="00012172" w:rsidRDefault="00012172">
      <w:pPr>
        <w:jc w:val="center"/>
        <w:rPr>
          <w:b/>
        </w:rPr>
      </w:pPr>
    </w:p>
    <w:p w:rsidR="00012172" w:rsidRDefault="00012172">
      <w:pPr>
        <w:jc w:val="center"/>
        <w:rPr>
          <w:b/>
        </w:rPr>
      </w:pPr>
    </w:p>
    <w:p w:rsidR="00012172" w:rsidRDefault="00012172">
      <w:pPr>
        <w:jc w:val="center"/>
        <w:rPr>
          <w:b/>
        </w:rPr>
      </w:pPr>
    </w:p>
    <w:p w:rsidR="00012172" w:rsidRDefault="00012172">
      <w:pPr>
        <w:jc w:val="center"/>
        <w:rPr>
          <w:b/>
        </w:rPr>
      </w:pPr>
    </w:p>
    <w:p w:rsidR="00012172" w:rsidRDefault="00012172">
      <w:pPr>
        <w:rPr>
          <w:b/>
        </w:rPr>
      </w:pPr>
    </w:p>
    <w:p w:rsidR="00012172" w:rsidRDefault="00012172">
      <w:pPr>
        <w:rPr>
          <w:b/>
        </w:rPr>
      </w:pPr>
    </w:p>
    <w:p w:rsidR="00012172" w:rsidRDefault="00012172">
      <w:pPr>
        <w:jc w:val="center"/>
        <w:rPr>
          <w:b/>
        </w:rPr>
      </w:pPr>
    </w:p>
    <w:p w:rsidR="00012172" w:rsidRDefault="00012172">
      <w:pPr>
        <w:rPr>
          <w:b/>
        </w:rPr>
      </w:pPr>
      <w:r>
        <w:rPr>
          <w:b/>
        </w:rPr>
        <w:t>Izrađivač: Županijski zavod za prostorno uređenje Koprivničko-križevačke županije</w:t>
      </w:r>
    </w:p>
    <w:p w:rsidR="00012172" w:rsidRDefault="00012172"/>
    <w:p w:rsidR="00012172" w:rsidRPr="00007AAB" w:rsidRDefault="00012172">
      <w:pPr>
        <w:keepNext/>
      </w:pPr>
      <w:r w:rsidRPr="00007AAB">
        <w:t>Ravnatelj: Zlatko Filipović, dipl.inž.arh.</w:t>
      </w:r>
    </w:p>
    <w:p w:rsidR="00012172" w:rsidRPr="00007AAB" w:rsidRDefault="00012172">
      <w:pPr>
        <w:keepNext/>
      </w:pPr>
      <w:r w:rsidRPr="00007AAB">
        <w:t>Jelena Kovač, dipl.inž.</w:t>
      </w:r>
    </w:p>
    <w:p w:rsidR="00012172" w:rsidRPr="00007AAB" w:rsidRDefault="00012172">
      <w:pPr>
        <w:keepNext/>
      </w:pPr>
      <w:r w:rsidRPr="00007AAB">
        <w:t>Mladen Matica, mr. sc.</w:t>
      </w:r>
    </w:p>
    <w:p w:rsidR="00012172" w:rsidRPr="00007AAB" w:rsidRDefault="00012172">
      <w:pPr>
        <w:keepNext/>
      </w:pPr>
      <w:r w:rsidRPr="00007AAB">
        <w:t>Miroslav Hodić, dipl.inž.</w:t>
      </w:r>
    </w:p>
    <w:p w:rsidR="00012172" w:rsidRPr="00007AAB" w:rsidRDefault="00012172">
      <w:pPr>
        <w:keepNext/>
      </w:pPr>
      <w:r w:rsidRPr="00007AAB">
        <w:t>Valentina Štefoković, dipl.inž.</w:t>
      </w:r>
    </w:p>
    <w:p w:rsidR="00012172" w:rsidRDefault="00012172"/>
    <w:p w:rsidR="00012172" w:rsidRDefault="00012172"/>
    <w:p w:rsidR="00012172" w:rsidRDefault="00012172"/>
    <w:p w:rsidR="00012172" w:rsidRDefault="00012172"/>
    <w:p w:rsidR="00012172" w:rsidRDefault="00012172"/>
    <w:p w:rsidR="00012172" w:rsidRPr="00007AAB" w:rsidRDefault="00012172">
      <w:pPr>
        <w:pStyle w:val="StandardWeb"/>
        <w:jc w:val="center"/>
        <w:rPr>
          <w:bCs/>
          <w:iCs/>
          <w:sz w:val="22"/>
        </w:rPr>
      </w:pPr>
      <w:r w:rsidRPr="00007AAB">
        <w:rPr>
          <w:bCs/>
          <w:iCs/>
          <w:sz w:val="22"/>
        </w:rPr>
        <w:t>Koprivnica, 2006.</w:t>
      </w:r>
    </w:p>
    <w:p w:rsidR="00012172" w:rsidRDefault="00012172">
      <w:pPr>
        <w:pStyle w:val="StandardWeb"/>
        <w:jc w:val="center"/>
        <w:rPr>
          <w:rFonts w:ascii="Arial" w:hAnsi="Arial" w:cs="Arial"/>
          <w:bCs/>
          <w:iCs/>
        </w:rPr>
      </w:pPr>
    </w:p>
    <w:p w:rsidR="00012172" w:rsidRDefault="00012172">
      <w:pPr>
        <w:pStyle w:val="Naslov4"/>
        <w:spacing w:before="0" w:after="0"/>
        <w:rPr>
          <w:rFonts w:ascii="Times New Roman" w:hAnsi="Times New Roman"/>
          <w:szCs w:val="24"/>
          <w:lang w:val="hr-HR"/>
        </w:rPr>
      </w:pPr>
      <w:r>
        <w:rPr>
          <w:rFonts w:ascii="Times New Roman" w:hAnsi="Times New Roman"/>
          <w:szCs w:val="24"/>
          <w:lang w:val="hr-HR"/>
        </w:rPr>
        <w:lastRenderedPageBreak/>
        <w:t>SADRŽAJ</w:t>
      </w:r>
    </w:p>
    <w:p w:rsidR="00012172" w:rsidRDefault="00012172">
      <w:pPr>
        <w:rPr>
          <w:b/>
        </w:rPr>
      </w:pPr>
    </w:p>
    <w:p w:rsidR="00012172" w:rsidRDefault="00012172">
      <w:pPr>
        <w:rPr>
          <w:b/>
        </w:rPr>
      </w:pPr>
      <w:r>
        <w:rPr>
          <w:b/>
        </w:rPr>
        <w:t>UVOD</w:t>
      </w:r>
    </w:p>
    <w:p w:rsidR="00012172" w:rsidRDefault="00012172">
      <w:pPr>
        <w:jc w:val="center"/>
        <w:rPr>
          <w:b/>
        </w:rPr>
      </w:pPr>
      <w:r>
        <w:rPr>
          <w:b/>
        </w:rPr>
        <w:t>I. OBRAZLOŽENJE</w:t>
      </w:r>
    </w:p>
    <w:p w:rsidR="00012172" w:rsidRDefault="00012172">
      <w:pPr>
        <w:rPr>
          <w:b/>
        </w:rPr>
      </w:pPr>
    </w:p>
    <w:p w:rsidR="00012172" w:rsidRDefault="00012172">
      <w:pPr>
        <w:pStyle w:val="Sadraj1"/>
        <w:tabs>
          <w:tab w:val="right" w:leader="dot" w:pos="9074"/>
        </w:tabs>
        <w:rPr>
          <w:b w:val="0"/>
          <w:bCs w:val="0"/>
          <w:noProof/>
        </w:rPr>
      </w:pPr>
      <w:r>
        <w:rPr>
          <w:b w:val="0"/>
        </w:rPr>
        <w:fldChar w:fldCharType="begin"/>
      </w:r>
      <w:r>
        <w:rPr>
          <w:b w:val="0"/>
        </w:rPr>
        <w:instrText xml:space="preserve"> TOC \o "1-3" \h \z \u </w:instrText>
      </w:r>
      <w:r>
        <w:rPr>
          <w:b w:val="0"/>
        </w:rPr>
        <w:fldChar w:fldCharType="separate"/>
      </w:r>
      <w:hyperlink w:anchor="_Toc95140572" w:history="1">
        <w:r>
          <w:rPr>
            <w:rStyle w:val="Hiperveza"/>
            <w:noProof/>
          </w:rPr>
          <w:t>1. POLAZIŠTA</w:t>
        </w:r>
        <w:r>
          <w:rPr>
            <w:noProof/>
            <w:webHidden/>
          </w:rPr>
          <w:tab/>
        </w:r>
        <w:r>
          <w:rPr>
            <w:noProof/>
            <w:webHidden/>
          </w:rPr>
          <w:fldChar w:fldCharType="begin"/>
        </w:r>
        <w:r>
          <w:rPr>
            <w:noProof/>
            <w:webHidden/>
          </w:rPr>
          <w:instrText xml:space="preserve"> PAGEREF _Toc95140572 \h </w:instrText>
        </w:r>
        <w:r>
          <w:rPr>
            <w:noProof/>
          </w:rPr>
        </w:r>
        <w:r>
          <w:rPr>
            <w:noProof/>
            <w:webHidden/>
          </w:rPr>
          <w:fldChar w:fldCharType="separate"/>
        </w:r>
        <w:r w:rsidR="002B1815">
          <w:rPr>
            <w:noProof/>
            <w:webHidden/>
          </w:rPr>
          <w:t>5</w:t>
        </w:r>
        <w:r>
          <w:rPr>
            <w:noProof/>
            <w:webHidden/>
          </w:rPr>
          <w:fldChar w:fldCharType="end"/>
        </w:r>
      </w:hyperlink>
    </w:p>
    <w:p w:rsidR="00012172" w:rsidRDefault="00012172">
      <w:pPr>
        <w:pStyle w:val="Sadraj2"/>
        <w:tabs>
          <w:tab w:val="right" w:leader="dot" w:pos="9074"/>
        </w:tabs>
        <w:rPr>
          <w:noProof/>
        </w:rPr>
      </w:pPr>
      <w:hyperlink w:anchor="_Toc95140573" w:history="1">
        <w:r>
          <w:rPr>
            <w:rStyle w:val="Hiperveza"/>
            <w:noProof/>
          </w:rPr>
          <w:t>1.1. Položaj, značaj i posebnosti područja općine u odnosu na prostor i sustave Županije i Države</w:t>
        </w:r>
        <w:r>
          <w:rPr>
            <w:noProof/>
            <w:webHidden/>
          </w:rPr>
          <w:tab/>
        </w:r>
        <w:r>
          <w:rPr>
            <w:noProof/>
            <w:webHidden/>
          </w:rPr>
          <w:fldChar w:fldCharType="begin"/>
        </w:r>
        <w:r>
          <w:rPr>
            <w:noProof/>
            <w:webHidden/>
          </w:rPr>
          <w:instrText xml:space="preserve"> PAGEREF _Toc95140573 \h </w:instrText>
        </w:r>
        <w:r>
          <w:rPr>
            <w:noProof/>
          </w:rPr>
        </w:r>
        <w:r>
          <w:rPr>
            <w:noProof/>
            <w:webHidden/>
          </w:rPr>
          <w:fldChar w:fldCharType="separate"/>
        </w:r>
        <w:r w:rsidR="002B1815">
          <w:rPr>
            <w:noProof/>
            <w:webHidden/>
          </w:rPr>
          <w:t>5</w:t>
        </w:r>
        <w:r>
          <w:rPr>
            <w:noProof/>
            <w:webHidden/>
          </w:rPr>
          <w:fldChar w:fldCharType="end"/>
        </w:r>
      </w:hyperlink>
    </w:p>
    <w:p w:rsidR="00012172" w:rsidRDefault="00012172">
      <w:pPr>
        <w:pStyle w:val="Sadraj2"/>
        <w:tabs>
          <w:tab w:val="left" w:pos="1200"/>
          <w:tab w:val="right" w:leader="dot" w:pos="9074"/>
        </w:tabs>
        <w:rPr>
          <w:noProof/>
        </w:rPr>
      </w:pPr>
      <w:hyperlink w:anchor="_Toc95140574" w:history="1">
        <w:r>
          <w:rPr>
            <w:rStyle w:val="Hiperveza"/>
            <w:noProof/>
          </w:rPr>
          <w:t>1.1.1.</w:t>
        </w:r>
        <w:r>
          <w:rPr>
            <w:noProof/>
          </w:rPr>
          <w:tab/>
        </w:r>
        <w:r>
          <w:rPr>
            <w:rStyle w:val="Hiperveza"/>
            <w:noProof/>
          </w:rPr>
          <w:t>Osnovni podaci o stanju u prostoru</w:t>
        </w:r>
        <w:r>
          <w:rPr>
            <w:noProof/>
            <w:webHidden/>
          </w:rPr>
          <w:tab/>
        </w:r>
        <w:r>
          <w:rPr>
            <w:noProof/>
            <w:webHidden/>
          </w:rPr>
          <w:fldChar w:fldCharType="begin"/>
        </w:r>
        <w:r>
          <w:rPr>
            <w:noProof/>
            <w:webHidden/>
          </w:rPr>
          <w:instrText xml:space="preserve"> PAGEREF _Toc95140574 \h </w:instrText>
        </w:r>
        <w:r>
          <w:rPr>
            <w:noProof/>
          </w:rPr>
        </w:r>
        <w:r>
          <w:rPr>
            <w:noProof/>
            <w:webHidden/>
          </w:rPr>
          <w:fldChar w:fldCharType="separate"/>
        </w:r>
        <w:r w:rsidR="002B1815">
          <w:rPr>
            <w:noProof/>
            <w:webHidden/>
          </w:rPr>
          <w:t>5</w:t>
        </w:r>
        <w:r>
          <w:rPr>
            <w:noProof/>
            <w:webHidden/>
          </w:rPr>
          <w:fldChar w:fldCharType="end"/>
        </w:r>
      </w:hyperlink>
    </w:p>
    <w:p w:rsidR="00012172" w:rsidRDefault="00012172">
      <w:pPr>
        <w:pStyle w:val="Sadraj2"/>
        <w:tabs>
          <w:tab w:val="right" w:leader="dot" w:pos="9074"/>
        </w:tabs>
        <w:rPr>
          <w:noProof/>
        </w:rPr>
      </w:pPr>
      <w:hyperlink w:anchor="_Toc95140575" w:history="1">
        <w:r>
          <w:rPr>
            <w:rStyle w:val="Hiperveza"/>
            <w:noProof/>
          </w:rPr>
          <w:t>1.1.2. Prostorno razvojne i resursne značajke</w:t>
        </w:r>
        <w:r>
          <w:rPr>
            <w:noProof/>
            <w:webHidden/>
          </w:rPr>
          <w:tab/>
        </w:r>
        <w:r>
          <w:rPr>
            <w:noProof/>
            <w:webHidden/>
          </w:rPr>
          <w:fldChar w:fldCharType="begin"/>
        </w:r>
        <w:r>
          <w:rPr>
            <w:noProof/>
            <w:webHidden/>
          </w:rPr>
          <w:instrText xml:space="preserve"> PAGEREF _Toc95140575 \h </w:instrText>
        </w:r>
        <w:r>
          <w:rPr>
            <w:noProof/>
          </w:rPr>
        </w:r>
        <w:r>
          <w:rPr>
            <w:noProof/>
            <w:webHidden/>
          </w:rPr>
          <w:fldChar w:fldCharType="separate"/>
        </w:r>
        <w:r w:rsidR="002B1815">
          <w:rPr>
            <w:noProof/>
            <w:webHidden/>
          </w:rPr>
          <w:t>10</w:t>
        </w:r>
        <w:r>
          <w:rPr>
            <w:noProof/>
            <w:webHidden/>
          </w:rPr>
          <w:fldChar w:fldCharType="end"/>
        </w:r>
      </w:hyperlink>
    </w:p>
    <w:p w:rsidR="00012172" w:rsidRDefault="00012172">
      <w:pPr>
        <w:pStyle w:val="Sadraj3"/>
        <w:tabs>
          <w:tab w:val="right" w:leader="dot" w:pos="9074"/>
        </w:tabs>
        <w:rPr>
          <w:noProof/>
        </w:rPr>
      </w:pPr>
      <w:hyperlink w:anchor="_Toc95140576" w:history="1">
        <w:r>
          <w:rPr>
            <w:rStyle w:val="Hiperveza"/>
            <w:noProof/>
          </w:rPr>
          <w:t>1.1.2.1. Zemljopisna obilježja</w:t>
        </w:r>
        <w:r>
          <w:rPr>
            <w:noProof/>
            <w:webHidden/>
          </w:rPr>
          <w:tab/>
        </w:r>
        <w:r>
          <w:rPr>
            <w:noProof/>
            <w:webHidden/>
          </w:rPr>
          <w:fldChar w:fldCharType="begin"/>
        </w:r>
        <w:r>
          <w:rPr>
            <w:noProof/>
            <w:webHidden/>
          </w:rPr>
          <w:instrText xml:space="preserve"> PAGEREF _Toc95140576 \h </w:instrText>
        </w:r>
        <w:r>
          <w:rPr>
            <w:noProof/>
          </w:rPr>
        </w:r>
        <w:r>
          <w:rPr>
            <w:noProof/>
            <w:webHidden/>
          </w:rPr>
          <w:fldChar w:fldCharType="separate"/>
        </w:r>
        <w:r w:rsidR="002B1815">
          <w:rPr>
            <w:noProof/>
            <w:webHidden/>
          </w:rPr>
          <w:t>10</w:t>
        </w:r>
        <w:r>
          <w:rPr>
            <w:noProof/>
            <w:webHidden/>
          </w:rPr>
          <w:fldChar w:fldCharType="end"/>
        </w:r>
      </w:hyperlink>
    </w:p>
    <w:p w:rsidR="00012172" w:rsidRDefault="00012172">
      <w:pPr>
        <w:pStyle w:val="Sadraj3"/>
        <w:tabs>
          <w:tab w:val="right" w:leader="dot" w:pos="9074"/>
        </w:tabs>
        <w:rPr>
          <w:noProof/>
        </w:rPr>
      </w:pPr>
      <w:hyperlink w:anchor="_Toc95140577" w:history="1">
        <w:r>
          <w:rPr>
            <w:rStyle w:val="Hiperveza"/>
            <w:noProof/>
          </w:rPr>
          <w:t xml:space="preserve">1.1.2.2. Osnovne </w:t>
        </w:r>
        <w:r>
          <w:rPr>
            <w:rStyle w:val="Hiperveza"/>
            <w:noProof/>
          </w:rPr>
          <w:t>k</w:t>
        </w:r>
        <w:r>
          <w:rPr>
            <w:rStyle w:val="Hiperveza"/>
            <w:noProof/>
          </w:rPr>
          <w:t>a</w:t>
        </w:r>
        <w:r>
          <w:rPr>
            <w:rStyle w:val="Hiperveza"/>
            <w:noProof/>
          </w:rPr>
          <w:t>t</w:t>
        </w:r>
        <w:r>
          <w:rPr>
            <w:rStyle w:val="Hiperveza"/>
            <w:noProof/>
          </w:rPr>
          <w:t>egorije korištenja zemljišta</w:t>
        </w:r>
        <w:r>
          <w:rPr>
            <w:noProof/>
            <w:webHidden/>
          </w:rPr>
          <w:tab/>
        </w:r>
        <w:r>
          <w:rPr>
            <w:noProof/>
            <w:webHidden/>
          </w:rPr>
          <w:fldChar w:fldCharType="begin"/>
        </w:r>
        <w:r>
          <w:rPr>
            <w:noProof/>
            <w:webHidden/>
          </w:rPr>
          <w:instrText xml:space="preserve"> PAGEREF _Toc95140577 \h </w:instrText>
        </w:r>
        <w:r>
          <w:rPr>
            <w:noProof/>
          </w:rPr>
        </w:r>
        <w:r>
          <w:rPr>
            <w:noProof/>
            <w:webHidden/>
          </w:rPr>
          <w:fldChar w:fldCharType="separate"/>
        </w:r>
        <w:r w:rsidR="002B1815">
          <w:rPr>
            <w:noProof/>
            <w:webHidden/>
          </w:rPr>
          <w:t>11</w:t>
        </w:r>
        <w:r>
          <w:rPr>
            <w:noProof/>
            <w:webHidden/>
          </w:rPr>
          <w:fldChar w:fldCharType="end"/>
        </w:r>
      </w:hyperlink>
    </w:p>
    <w:p w:rsidR="00012172" w:rsidRDefault="00012172">
      <w:pPr>
        <w:pStyle w:val="Sadraj3"/>
        <w:tabs>
          <w:tab w:val="right" w:leader="dot" w:pos="9074"/>
        </w:tabs>
        <w:rPr>
          <w:noProof/>
        </w:rPr>
      </w:pPr>
      <w:hyperlink w:anchor="_Toc95140578" w:history="1">
        <w:r>
          <w:rPr>
            <w:rStyle w:val="Hiperveza"/>
            <w:noProof/>
          </w:rPr>
          <w:t>1.1.2.3. Područja pretežitih djela</w:t>
        </w:r>
        <w:r>
          <w:rPr>
            <w:rStyle w:val="Hiperveza"/>
            <w:noProof/>
          </w:rPr>
          <w:t>t</w:t>
        </w:r>
        <w:r>
          <w:rPr>
            <w:rStyle w:val="Hiperveza"/>
            <w:noProof/>
          </w:rPr>
          <w:t>nosti u odnosu na prirodne i druge resurse</w:t>
        </w:r>
        <w:r>
          <w:rPr>
            <w:noProof/>
            <w:webHidden/>
          </w:rPr>
          <w:tab/>
        </w:r>
        <w:r>
          <w:rPr>
            <w:noProof/>
            <w:webHidden/>
          </w:rPr>
          <w:fldChar w:fldCharType="begin"/>
        </w:r>
        <w:r>
          <w:rPr>
            <w:noProof/>
            <w:webHidden/>
          </w:rPr>
          <w:instrText xml:space="preserve"> PAGEREF _Toc95140578 \h </w:instrText>
        </w:r>
        <w:r>
          <w:rPr>
            <w:noProof/>
          </w:rPr>
        </w:r>
        <w:r>
          <w:rPr>
            <w:noProof/>
            <w:webHidden/>
          </w:rPr>
          <w:fldChar w:fldCharType="separate"/>
        </w:r>
        <w:r w:rsidR="002B1815">
          <w:rPr>
            <w:noProof/>
            <w:webHidden/>
          </w:rPr>
          <w:t>12</w:t>
        </w:r>
        <w:r>
          <w:rPr>
            <w:noProof/>
            <w:webHidden/>
          </w:rPr>
          <w:fldChar w:fldCharType="end"/>
        </w:r>
      </w:hyperlink>
    </w:p>
    <w:p w:rsidR="00012172" w:rsidRDefault="00012172">
      <w:pPr>
        <w:pStyle w:val="Sadraj3"/>
        <w:tabs>
          <w:tab w:val="right" w:leader="dot" w:pos="9074"/>
        </w:tabs>
        <w:rPr>
          <w:noProof/>
        </w:rPr>
      </w:pPr>
      <w:hyperlink w:anchor="_Toc95140579" w:history="1">
        <w:r>
          <w:rPr>
            <w:rStyle w:val="Hiperveza"/>
            <w:noProof/>
          </w:rPr>
          <w:t>1.1.2.4. Komunalna i</w:t>
        </w:r>
        <w:r>
          <w:rPr>
            <w:rStyle w:val="Hiperveza"/>
            <w:noProof/>
          </w:rPr>
          <w:t>n</w:t>
        </w:r>
        <w:r>
          <w:rPr>
            <w:rStyle w:val="Hiperveza"/>
            <w:noProof/>
          </w:rPr>
          <w:t>frastruktura</w:t>
        </w:r>
        <w:r>
          <w:rPr>
            <w:noProof/>
            <w:webHidden/>
          </w:rPr>
          <w:tab/>
        </w:r>
        <w:r>
          <w:rPr>
            <w:noProof/>
            <w:webHidden/>
          </w:rPr>
          <w:fldChar w:fldCharType="begin"/>
        </w:r>
        <w:r>
          <w:rPr>
            <w:noProof/>
            <w:webHidden/>
          </w:rPr>
          <w:instrText xml:space="preserve"> PAGEREF _Toc95140579 \h </w:instrText>
        </w:r>
        <w:r>
          <w:rPr>
            <w:noProof/>
          </w:rPr>
        </w:r>
        <w:r>
          <w:rPr>
            <w:noProof/>
            <w:webHidden/>
          </w:rPr>
          <w:fldChar w:fldCharType="separate"/>
        </w:r>
        <w:r w:rsidR="002B1815">
          <w:rPr>
            <w:noProof/>
            <w:webHidden/>
          </w:rPr>
          <w:t>14</w:t>
        </w:r>
        <w:r>
          <w:rPr>
            <w:noProof/>
            <w:webHidden/>
          </w:rPr>
          <w:fldChar w:fldCharType="end"/>
        </w:r>
      </w:hyperlink>
    </w:p>
    <w:p w:rsidR="00012172" w:rsidRDefault="00012172">
      <w:pPr>
        <w:pStyle w:val="Sadraj3"/>
        <w:tabs>
          <w:tab w:val="right" w:leader="dot" w:pos="9074"/>
        </w:tabs>
        <w:rPr>
          <w:noProof/>
        </w:rPr>
      </w:pPr>
      <w:hyperlink w:anchor="_Toc95140580" w:history="1">
        <w:r>
          <w:rPr>
            <w:rStyle w:val="Hiperveza"/>
            <w:noProof/>
          </w:rPr>
          <w:t>1.1.2.5. Društvena infrastruktura</w:t>
        </w:r>
        <w:r>
          <w:rPr>
            <w:noProof/>
            <w:webHidden/>
          </w:rPr>
          <w:tab/>
        </w:r>
        <w:r>
          <w:rPr>
            <w:noProof/>
            <w:webHidden/>
          </w:rPr>
          <w:fldChar w:fldCharType="begin"/>
        </w:r>
        <w:r>
          <w:rPr>
            <w:noProof/>
            <w:webHidden/>
          </w:rPr>
          <w:instrText xml:space="preserve"> PAGEREF _Toc95140580 \h </w:instrText>
        </w:r>
        <w:r>
          <w:rPr>
            <w:noProof/>
          </w:rPr>
        </w:r>
        <w:r>
          <w:rPr>
            <w:noProof/>
            <w:webHidden/>
          </w:rPr>
          <w:fldChar w:fldCharType="separate"/>
        </w:r>
        <w:r w:rsidR="002B1815">
          <w:rPr>
            <w:noProof/>
            <w:webHidden/>
          </w:rPr>
          <w:t>22</w:t>
        </w:r>
        <w:r>
          <w:rPr>
            <w:noProof/>
            <w:webHidden/>
          </w:rPr>
          <w:fldChar w:fldCharType="end"/>
        </w:r>
      </w:hyperlink>
    </w:p>
    <w:p w:rsidR="00012172" w:rsidRDefault="00012172">
      <w:pPr>
        <w:pStyle w:val="Sadraj3"/>
        <w:tabs>
          <w:tab w:val="right" w:leader="dot" w:pos="9074"/>
        </w:tabs>
        <w:rPr>
          <w:noProof/>
        </w:rPr>
      </w:pPr>
      <w:hyperlink w:anchor="_Toc95140581" w:history="1">
        <w:r>
          <w:rPr>
            <w:rStyle w:val="Hiperveza"/>
            <w:noProof/>
          </w:rPr>
          <w:t>1.1.2.6. Zašti</w:t>
        </w:r>
        <w:r>
          <w:rPr>
            <w:rStyle w:val="Hiperveza"/>
            <w:noProof/>
          </w:rPr>
          <w:t>ć</w:t>
        </w:r>
        <w:r>
          <w:rPr>
            <w:rStyle w:val="Hiperveza"/>
            <w:noProof/>
          </w:rPr>
          <w:t>ena gr</w:t>
        </w:r>
        <w:r>
          <w:rPr>
            <w:rStyle w:val="Hiperveza"/>
            <w:noProof/>
          </w:rPr>
          <w:t>a</w:t>
        </w:r>
        <w:r>
          <w:rPr>
            <w:rStyle w:val="Hiperveza"/>
            <w:noProof/>
          </w:rPr>
          <w:t>diteljska baština i prirodna baština</w:t>
        </w:r>
        <w:r>
          <w:rPr>
            <w:noProof/>
            <w:webHidden/>
          </w:rPr>
          <w:tab/>
        </w:r>
        <w:r>
          <w:rPr>
            <w:noProof/>
            <w:webHidden/>
          </w:rPr>
          <w:fldChar w:fldCharType="begin"/>
        </w:r>
        <w:r>
          <w:rPr>
            <w:noProof/>
            <w:webHidden/>
          </w:rPr>
          <w:instrText xml:space="preserve"> PAGEREF _Toc95140581 \h </w:instrText>
        </w:r>
        <w:r>
          <w:rPr>
            <w:noProof/>
          </w:rPr>
        </w:r>
        <w:r>
          <w:rPr>
            <w:noProof/>
            <w:webHidden/>
          </w:rPr>
          <w:fldChar w:fldCharType="separate"/>
        </w:r>
        <w:r w:rsidR="002B1815">
          <w:rPr>
            <w:noProof/>
            <w:webHidden/>
          </w:rPr>
          <w:t>23</w:t>
        </w:r>
        <w:r>
          <w:rPr>
            <w:noProof/>
            <w:webHidden/>
          </w:rPr>
          <w:fldChar w:fldCharType="end"/>
        </w:r>
      </w:hyperlink>
    </w:p>
    <w:p w:rsidR="00012172" w:rsidRDefault="00012172">
      <w:pPr>
        <w:pStyle w:val="Sadraj2"/>
        <w:tabs>
          <w:tab w:val="right" w:leader="dot" w:pos="9074"/>
        </w:tabs>
        <w:rPr>
          <w:noProof/>
        </w:rPr>
      </w:pPr>
      <w:hyperlink w:anchor="_Toc95140582" w:history="1">
        <w:r>
          <w:rPr>
            <w:rStyle w:val="Hiperveza"/>
            <w:noProof/>
          </w:rPr>
          <w:t>1.1.3. Planski pokazatelji i obveze iz dokumenata prostornog uređenja šireg područja i ocjena postojećih prostornih planova</w:t>
        </w:r>
        <w:r>
          <w:rPr>
            <w:noProof/>
            <w:webHidden/>
          </w:rPr>
          <w:tab/>
        </w:r>
        <w:r>
          <w:rPr>
            <w:noProof/>
            <w:webHidden/>
          </w:rPr>
          <w:fldChar w:fldCharType="begin"/>
        </w:r>
        <w:r>
          <w:rPr>
            <w:noProof/>
            <w:webHidden/>
          </w:rPr>
          <w:instrText xml:space="preserve"> PAGEREF _Toc95140582 \h </w:instrText>
        </w:r>
        <w:r>
          <w:rPr>
            <w:noProof/>
          </w:rPr>
        </w:r>
        <w:r>
          <w:rPr>
            <w:noProof/>
            <w:webHidden/>
          </w:rPr>
          <w:fldChar w:fldCharType="separate"/>
        </w:r>
        <w:r w:rsidR="002B1815">
          <w:rPr>
            <w:noProof/>
            <w:webHidden/>
          </w:rPr>
          <w:t>29</w:t>
        </w:r>
        <w:r>
          <w:rPr>
            <w:noProof/>
            <w:webHidden/>
          </w:rPr>
          <w:fldChar w:fldCharType="end"/>
        </w:r>
      </w:hyperlink>
    </w:p>
    <w:p w:rsidR="00012172" w:rsidRDefault="00012172">
      <w:pPr>
        <w:pStyle w:val="Sadraj3"/>
        <w:tabs>
          <w:tab w:val="right" w:leader="dot" w:pos="9074"/>
        </w:tabs>
        <w:rPr>
          <w:noProof/>
        </w:rPr>
      </w:pPr>
      <w:hyperlink w:anchor="_Toc95140583" w:history="1">
        <w:r>
          <w:rPr>
            <w:rStyle w:val="Hiperveza"/>
            <w:noProof/>
          </w:rPr>
          <w:t>1.1.3.1. Obveze iz Programa prostornog uređenja Republike Hrvatske</w:t>
        </w:r>
        <w:r>
          <w:rPr>
            <w:noProof/>
            <w:webHidden/>
          </w:rPr>
          <w:tab/>
        </w:r>
        <w:r>
          <w:rPr>
            <w:noProof/>
            <w:webHidden/>
          </w:rPr>
          <w:fldChar w:fldCharType="begin"/>
        </w:r>
        <w:r>
          <w:rPr>
            <w:noProof/>
            <w:webHidden/>
          </w:rPr>
          <w:instrText xml:space="preserve"> PAGEREF _Toc95140583 \h </w:instrText>
        </w:r>
        <w:r>
          <w:rPr>
            <w:noProof/>
          </w:rPr>
        </w:r>
        <w:r>
          <w:rPr>
            <w:noProof/>
            <w:webHidden/>
          </w:rPr>
          <w:fldChar w:fldCharType="separate"/>
        </w:r>
        <w:r w:rsidR="002B1815">
          <w:rPr>
            <w:noProof/>
            <w:webHidden/>
          </w:rPr>
          <w:t>29</w:t>
        </w:r>
        <w:r>
          <w:rPr>
            <w:noProof/>
            <w:webHidden/>
          </w:rPr>
          <w:fldChar w:fldCharType="end"/>
        </w:r>
      </w:hyperlink>
    </w:p>
    <w:p w:rsidR="00012172" w:rsidRDefault="00012172">
      <w:pPr>
        <w:pStyle w:val="Sadraj2"/>
        <w:tabs>
          <w:tab w:val="right" w:leader="dot" w:pos="9074"/>
        </w:tabs>
        <w:rPr>
          <w:noProof/>
        </w:rPr>
      </w:pPr>
      <w:hyperlink w:anchor="_Toc95140584" w:history="1">
        <w:r>
          <w:rPr>
            <w:rStyle w:val="Hiperveza"/>
            <w:noProof/>
          </w:rPr>
          <w:t>1.1.4. Ocjena stanja, mogućnosti i ograničenja razvoja u odnosu na demografske i gospodarske podatke te prostorne pokazatelje</w:t>
        </w:r>
        <w:r>
          <w:rPr>
            <w:noProof/>
            <w:webHidden/>
          </w:rPr>
          <w:tab/>
        </w:r>
        <w:r>
          <w:rPr>
            <w:noProof/>
            <w:webHidden/>
          </w:rPr>
          <w:fldChar w:fldCharType="begin"/>
        </w:r>
        <w:r>
          <w:rPr>
            <w:noProof/>
            <w:webHidden/>
          </w:rPr>
          <w:instrText xml:space="preserve"> PAGEREF _Toc95140584 \h </w:instrText>
        </w:r>
        <w:r>
          <w:rPr>
            <w:noProof/>
          </w:rPr>
        </w:r>
        <w:r>
          <w:rPr>
            <w:noProof/>
            <w:webHidden/>
          </w:rPr>
          <w:fldChar w:fldCharType="separate"/>
        </w:r>
        <w:r w:rsidR="002B1815">
          <w:rPr>
            <w:noProof/>
            <w:webHidden/>
          </w:rPr>
          <w:t>34</w:t>
        </w:r>
        <w:r>
          <w:rPr>
            <w:noProof/>
            <w:webHidden/>
          </w:rPr>
          <w:fldChar w:fldCharType="end"/>
        </w:r>
      </w:hyperlink>
    </w:p>
    <w:p w:rsidR="00012172" w:rsidRDefault="00012172">
      <w:pPr>
        <w:pStyle w:val="Sadraj1"/>
        <w:tabs>
          <w:tab w:val="right" w:leader="dot" w:pos="9074"/>
        </w:tabs>
        <w:rPr>
          <w:b w:val="0"/>
          <w:bCs w:val="0"/>
          <w:noProof/>
        </w:rPr>
      </w:pPr>
      <w:hyperlink w:anchor="_Toc95140585" w:history="1">
        <w:r>
          <w:rPr>
            <w:rStyle w:val="Hiperveza"/>
            <w:noProof/>
          </w:rPr>
          <w:t>2. CILJEVI PROSTORNOG RAZVOJA I UREĐENJA</w:t>
        </w:r>
        <w:r>
          <w:rPr>
            <w:noProof/>
            <w:webHidden/>
          </w:rPr>
          <w:tab/>
        </w:r>
        <w:r>
          <w:rPr>
            <w:noProof/>
            <w:webHidden/>
          </w:rPr>
          <w:fldChar w:fldCharType="begin"/>
        </w:r>
        <w:r>
          <w:rPr>
            <w:noProof/>
            <w:webHidden/>
          </w:rPr>
          <w:instrText xml:space="preserve"> PAGEREF _Toc95140585 \h </w:instrText>
        </w:r>
        <w:r>
          <w:rPr>
            <w:noProof/>
          </w:rPr>
        </w:r>
        <w:r>
          <w:rPr>
            <w:noProof/>
            <w:webHidden/>
          </w:rPr>
          <w:fldChar w:fldCharType="separate"/>
        </w:r>
        <w:r w:rsidR="002B1815">
          <w:rPr>
            <w:noProof/>
            <w:webHidden/>
          </w:rPr>
          <w:t>37</w:t>
        </w:r>
        <w:r>
          <w:rPr>
            <w:noProof/>
            <w:webHidden/>
          </w:rPr>
          <w:fldChar w:fldCharType="end"/>
        </w:r>
      </w:hyperlink>
    </w:p>
    <w:p w:rsidR="00012172" w:rsidRDefault="00012172">
      <w:pPr>
        <w:pStyle w:val="Sadraj2"/>
        <w:tabs>
          <w:tab w:val="right" w:leader="dot" w:pos="9074"/>
        </w:tabs>
        <w:rPr>
          <w:noProof/>
        </w:rPr>
      </w:pPr>
      <w:hyperlink w:anchor="_Toc95140586" w:history="1">
        <w:r>
          <w:rPr>
            <w:rStyle w:val="Hiperveza"/>
            <w:noProof/>
          </w:rPr>
          <w:t>2.1. Ciljevi prostornog razvoja županijskog značaja</w:t>
        </w:r>
        <w:r>
          <w:rPr>
            <w:noProof/>
            <w:webHidden/>
          </w:rPr>
          <w:tab/>
        </w:r>
        <w:r>
          <w:rPr>
            <w:noProof/>
            <w:webHidden/>
          </w:rPr>
          <w:fldChar w:fldCharType="begin"/>
        </w:r>
        <w:r>
          <w:rPr>
            <w:noProof/>
            <w:webHidden/>
          </w:rPr>
          <w:instrText xml:space="preserve"> PAGEREF _Toc95140586 \h </w:instrText>
        </w:r>
        <w:r>
          <w:rPr>
            <w:noProof/>
          </w:rPr>
        </w:r>
        <w:r>
          <w:rPr>
            <w:noProof/>
            <w:webHidden/>
          </w:rPr>
          <w:fldChar w:fldCharType="separate"/>
        </w:r>
        <w:r w:rsidR="002B1815">
          <w:rPr>
            <w:noProof/>
            <w:webHidden/>
          </w:rPr>
          <w:t>37</w:t>
        </w:r>
        <w:r>
          <w:rPr>
            <w:noProof/>
            <w:webHidden/>
          </w:rPr>
          <w:fldChar w:fldCharType="end"/>
        </w:r>
      </w:hyperlink>
    </w:p>
    <w:p w:rsidR="00012172" w:rsidRDefault="00012172">
      <w:pPr>
        <w:pStyle w:val="Sadraj3"/>
        <w:tabs>
          <w:tab w:val="right" w:leader="dot" w:pos="9074"/>
        </w:tabs>
        <w:rPr>
          <w:noProof/>
        </w:rPr>
      </w:pPr>
      <w:hyperlink w:anchor="_Toc95140587" w:history="1">
        <w:r>
          <w:rPr>
            <w:rStyle w:val="Hiperveza"/>
            <w:noProof/>
          </w:rPr>
          <w:t>2.1.1. Razvoj naselja posebnih funkcija i infrastrukturnih sustava</w:t>
        </w:r>
        <w:r>
          <w:rPr>
            <w:noProof/>
            <w:webHidden/>
          </w:rPr>
          <w:tab/>
        </w:r>
        <w:r>
          <w:rPr>
            <w:noProof/>
            <w:webHidden/>
          </w:rPr>
          <w:fldChar w:fldCharType="begin"/>
        </w:r>
        <w:r>
          <w:rPr>
            <w:noProof/>
            <w:webHidden/>
          </w:rPr>
          <w:instrText xml:space="preserve"> PAGEREF _Toc95140587 \h </w:instrText>
        </w:r>
        <w:r>
          <w:rPr>
            <w:noProof/>
          </w:rPr>
        </w:r>
        <w:r>
          <w:rPr>
            <w:noProof/>
            <w:webHidden/>
          </w:rPr>
          <w:fldChar w:fldCharType="separate"/>
        </w:r>
        <w:r w:rsidR="002B1815">
          <w:rPr>
            <w:noProof/>
            <w:webHidden/>
          </w:rPr>
          <w:t>37</w:t>
        </w:r>
        <w:r>
          <w:rPr>
            <w:noProof/>
            <w:webHidden/>
          </w:rPr>
          <w:fldChar w:fldCharType="end"/>
        </w:r>
      </w:hyperlink>
    </w:p>
    <w:p w:rsidR="00012172" w:rsidRDefault="00012172">
      <w:pPr>
        <w:pStyle w:val="Sadraj3"/>
        <w:tabs>
          <w:tab w:val="right" w:leader="dot" w:pos="9074"/>
        </w:tabs>
        <w:rPr>
          <w:noProof/>
        </w:rPr>
      </w:pPr>
      <w:hyperlink w:anchor="_Toc95140588" w:history="1">
        <w:r>
          <w:rPr>
            <w:rStyle w:val="Hiperveza"/>
            <w:noProof/>
          </w:rPr>
          <w:t>2.1.2. Racionalno korištenje prirodnih izvora</w:t>
        </w:r>
        <w:r>
          <w:rPr>
            <w:noProof/>
            <w:webHidden/>
          </w:rPr>
          <w:tab/>
        </w:r>
        <w:r>
          <w:rPr>
            <w:noProof/>
            <w:webHidden/>
          </w:rPr>
          <w:fldChar w:fldCharType="begin"/>
        </w:r>
        <w:r>
          <w:rPr>
            <w:noProof/>
            <w:webHidden/>
          </w:rPr>
          <w:instrText xml:space="preserve"> PAGEREF _Toc95140588 \h </w:instrText>
        </w:r>
        <w:r>
          <w:rPr>
            <w:noProof/>
          </w:rPr>
        </w:r>
        <w:r>
          <w:rPr>
            <w:noProof/>
            <w:webHidden/>
          </w:rPr>
          <w:fldChar w:fldCharType="separate"/>
        </w:r>
        <w:r w:rsidR="002B1815">
          <w:rPr>
            <w:noProof/>
            <w:webHidden/>
          </w:rPr>
          <w:t>37</w:t>
        </w:r>
        <w:r>
          <w:rPr>
            <w:noProof/>
            <w:webHidden/>
          </w:rPr>
          <w:fldChar w:fldCharType="end"/>
        </w:r>
      </w:hyperlink>
    </w:p>
    <w:p w:rsidR="00012172" w:rsidRDefault="00012172">
      <w:pPr>
        <w:pStyle w:val="Sadraj3"/>
        <w:tabs>
          <w:tab w:val="right" w:leader="dot" w:pos="9074"/>
        </w:tabs>
        <w:rPr>
          <w:noProof/>
        </w:rPr>
      </w:pPr>
      <w:hyperlink w:anchor="_Toc95140589" w:history="1">
        <w:r>
          <w:rPr>
            <w:rStyle w:val="Hiperveza"/>
            <w:noProof/>
          </w:rPr>
          <w:t>2.1.3. Očuvanje ekološke stabilnosti i vrijednih dijelova okoliša</w:t>
        </w:r>
        <w:r>
          <w:rPr>
            <w:noProof/>
            <w:webHidden/>
          </w:rPr>
          <w:tab/>
        </w:r>
        <w:r>
          <w:rPr>
            <w:noProof/>
            <w:webHidden/>
          </w:rPr>
          <w:fldChar w:fldCharType="begin"/>
        </w:r>
        <w:r>
          <w:rPr>
            <w:noProof/>
            <w:webHidden/>
          </w:rPr>
          <w:instrText xml:space="preserve"> PAGEREF _Toc95140589 \h </w:instrText>
        </w:r>
        <w:r>
          <w:rPr>
            <w:noProof/>
          </w:rPr>
        </w:r>
        <w:r>
          <w:rPr>
            <w:noProof/>
            <w:webHidden/>
          </w:rPr>
          <w:fldChar w:fldCharType="separate"/>
        </w:r>
        <w:r w:rsidR="002B1815">
          <w:rPr>
            <w:noProof/>
            <w:webHidden/>
          </w:rPr>
          <w:t>37</w:t>
        </w:r>
        <w:r>
          <w:rPr>
            <w:noProof/>
            <w:webHidden/>
          </w:rPr>
          <w:fldChar w:fldCharType="end"/>
        </w:r>
      </w:hyperlink>
    </w:p>
    <w:p w:rsidR="00012172" w:rsidRDefault="00012172">
      <w:pPr>
        <w:pStyle w:val="Sadraj2"/>
        <w:tabs>
          <w:tab w:val="right" w:leader="dot" w:pos="9074"/>
        </w:tabs>
        <w:rPr>
          <w:noProof/>
        </w:rPr>
      </w:pPr>
      <w:hyperlink w:anchor="_Toc95140590" w:history="1">
        <w:r>
          <w:rPr>
            <w:rStyle w:val="Hiperveza"/>
            <w:noProof/>
          </w:rPr>
          <w:t>2.2. Ciljevi prostornog razvoja općinskog značaja</w:t>
        </w:r>
        <w:r>
          <w:rPr>
            <w:noProof/>
            <w:webHidden/>
          </w:rPr>
          <w:tab/>
        </w:r>
        <w:r>
          <w:rPr>
            <w:noProof/>
            <w:webHidden/>
          </w:rPr>
          <w:fldChar w:fldCharType="begin"/>
        </w:r>
        <w:r>
          <w:rPr>
            <w:noProof/>
            <w:webHidden/>
          </w:rPr>
          <w:instrText xml:space="preserve"> PAGEREF _Toc95140590 \h </w:instrText>
        </w:r>
        <w:r>
          <w:rPr>
            <w:noProof/>
          </w:rPr>
        </w:r>
        <w:r>
          <w:rPr>
            <w:noProof/>
            <w:webHidden/>
          </w:rPr>
          <w:fldChar w:fldCharType="separate"/>
        </w:r>
        <w:r w:rsidR="002B1815">
          <w:rPr>
            <w:noProof/>
            <w:webHidden/>
          </w:rPr>
          <w:t>38</w:t>
        </w:r>
        <w:r>
          <w:rPr>
            <w:noProof/>
            <w:webHidden/>
          </w:rPr>
          <w:fldChar w:fldCharType="end"/>
        </w:r>
      </w:hyperlink>
    </w:p>
    <w:p w:rsidR="00012172" w:rsidRDefault="00012172">
      <w:pPr>
        <w:pStyle w:val="Sadraj3"/>
        <w:tabs>
          <w:tab w:val="right" w:leader="dot" w:pos="9074"/>
        </w:tabs>
        <w:rPr>
          <w:noProof/>
        </w:rPr>
      </w:pPr>
      <w:hyperlink w:anchor="_Toc95140591" w:history="1">
        <w:r>
          <w:rPr>
            <w:rStyle w:val="Hiperveza"/>
            <w:noProof/>
          </w:rPr>
          <w:t>2.2.1. Demografski razvoj</w:t>
        </w:r>
        <w:r>
          <w:rPr>
            <w:noProof/>
            <w:webHidden/>
          </w:rPr>
          <w:tab/>
        </w:r>
        <w:r>
          <w:rPr>
            <w:noProof/>
            <w:webHidden/>
          </w:rPr>
          <w:fldChar w:fldCharType="begin"/>
        </w:r>
        <w:r>
          <w:rPr>
            <w:noProof/>
            <w:webHidden/>
          </w:rPr>
          <w:instrText xml:space="preserve"> PAGEREF _Toc95140591 \h </w:instrText>
        </w:r>
        <w:r>
          <w:rPr>
            <w:noProof/>
          </w:rPr>
        </w:r>
        <w:r>
          <w:rPr>
            <w:noProof/>
            <w:webHidden/>
          </w:rPr>
          <w:fldChar w:fldCharType="separate"/>
        </w:r>
        <w:r w:rsidR="002B1815">
          <w:rPr>
            <w:noProof/>
            <w:webHidden/>
          </w:rPr>
          <w:t>38</w:t>
        </w:r>
        <w:r>
          <w:rPr>
            <w:noProof/>
            <w:webHidden/>
          </w:rPr>
          <w:fldChar w:fldCharType="end"/>
        </w:r>
      </w:hyperlink>
    </w:p>
    <w:p w:rsidR="00012172" w:rsidRDefault="00012172">
      <w:pPr>
        <w:pStyle w:val="Sadraj3"/>
        <w:tabs>
          <w:tab w:val="right" w:leader="dot" w:pos="9074"/>
        </w:tabs>
        <w:rPr>
          <w:noProof/>
        </w:rPr>
      </w:pPr>
      <w:hyperlink w:anchor="_Toc95140592" w:history="1">
        <w:r>
          <w:rPr>
            <w:rStyle w:val="Hiperveza"/>
            <w:noProof/>
          </w:rPr>
          <w:t>2.2.2. Odabir prostorno razvojne strukture</w:t>
        </w:r>
        <w:r>
          <w:rPr>
            <w:noProof/>
            <w:webHidden/>
          </w:rPr>
          <w:tab/>
        </w:r>
        <w:r>
          <w:rPr>
            <w:noProof/>
            <w:webHidden/>
          </w:rPr>
          <w:fldChar w:fldCharType="begin"/>
        </w:r>
        <w:r>
          <w:rPr>
            <w:noProof/>
            <w:webHidden/>
          </w:rPr>
          <w:instrText xml:space="preserve"> PAGEREF _Toc95140592 \h </w:instrText>
        </w:r>
        <w:r>
          <w:rPr>
            <w:noProof/>
          </w:rPr>
        </w:r>
        <w:r>
          <w:rPr>
            <w:noProof/>
            <w:webHidden/>
          </w:rPr>
          <w:fldChar w:fldCharType="separate"/>
        </w:r>
        <w:r w:rsidR="002B1815">
          <w:rPr>
            <w:noProof/>
            <w:webHidden/>
          </w:rPr>
          <w:t>39</w:t>
        </w:r>
        <w:r>
          <w:rPr>
            <w:noProof/>
            <w:webHidden/>
          </w:rPr>
          <w:fldChar w:fldCharType="end"/>
        </w:r>
      </w:hyperlink>
    </w:p>
    <w:p w:rsidR="00012172" w:rsidRDefault="00012172">
      <w:pPr>
        <w:pStyle w:val="Sadraj3"/>
        <w:tabs>
          <w:tab w:val="right" w:leader="dot" w:pos="9074"/>
        </w:tabs>
        <w:rPr>
          <w:noProof/>
        </w:rPr>
      </w:pPr>
      <w:hyperlink w:anchor="_Toc95140593" w:history="1">
        <w:r>
          <w:rPr>
            <w:rStyle w:val="Hiperveza"/>
            <w:noProof/>
          </w:rPr>
          <w:t>2.2.3. Razvoj naselja, društvene, prometne i komunalne infrastrukture</w:t>
        </w:r>
        <w:r>
          <w:rPr>
            <w:noProof/>
            <w:webHidden/>
          </w:rPr>
          <w:tab/>
        </w:r>
        <w:r>
          <w:rPr>
            <w:noProof/>
            <w:webHidden/>
          </w:rPr>
          <w:fldChar w:fldCharType="begin"/>
        </w:r>
        <w:r>
          <w:rPr>
            <w:noProof/>
            <w:webHidden/>
          </w:rPr>
          <w:instrText xml:space="preserve"> PAGEREF _Toc95140593 \h </w:instrText>
        </w:r>
        <w:r>
          <w:rPr>
            <w:noProof/>
          </w:rPr>
        </w:r>
        <w:r>
          <w:rPr>
            <w:noProof/>
            <w:webHidden/>
          </w:rPr>
          <w:fldChar w:fldCharType="separate"/>
        </w:r>
        <w:r w:rsidR="002B1815">
          <w:rPr>
            <w:noProof/>
            <w:webHidden/>
          </w:rPr>
          <w:t>40</w:t>
        </w:r>
        <w:r>
          <w:rPr>
            <w:noProof/>
            <w:webHidden/>
          </w:rPr>
          <w:fldChar w:fldCharType="end"/>
        </w:r>
      </w:hyperlink>
    </w:p>
    <w:p w:rsidR="00012172" w:rsidRDefault="00012172">
      <w:pPr>
        <w:pStyle w:val="Sadraj3"/>
        <w:tabs>
          <w:tab w:val="right" w:leader="dot" w:pos="9074"/>
        </w:tabs>
        <w:rPr>
          <w:noProof/>
        </w:rPr>
      </w:pPr>
      <w:hyperlink w:anchor="_Toc95140594" w:history="1">
        <w:r>
          <w:rPr>
            <w:rStyle w:val="Hiperveza"/>
            <w:noProof/>
          </w:rPr>
          <w:t>2.2.</w:t>
        </w:r>
        <w:r>
          <w:rPr>
            <w:rStyle w:val="Hiperveza"/>
            <w:noProof/>
          </w:rPr>
          <w:t>4</w:t>
        </w:r>
        <w:r>
          <w:rPr>
            <w:rStyle w:val="Hiperveza"/>
            <w:noProof/>
          </w:rPr>
          <w:t>. Zaštita krajobraznih i prirodnih vrijednosti i posebnosti i kulturno-povijesnih cjelina</w:t>
        </w:r>
        <w:r>
          <w:rPr>
            <w:noProof/>
            <w:webHidden/>
          </w:rPr>
          <w:tab/>
        </w:r>
        <w:r>
          <w:rPr>
            <w:noProof/>
            <w:webHidden/>
          </w:rPr>
          <w:fldChar w:fldCharType="begin"/>
        </w:r>
        <w:r>
          <w:rPr>
            <w:noProof/>
            <w:webHidden/>
          </w:rPr>
          <w:instrText xml:space="preserve"> PAGEREF _Toc95140594 \h </w:instrText>
        </w:r>
        <w:r>
          <w:rPr>
            <w:noProof/>
          </w:rPr>
        </w:r>
        <w:r>
          <w:rPr>
            <w:noProof/>
            <w:webHidden/>
          </w:rPr>
          <w:fldChar w:fldCharType="separate"/>
        </w:r>
        <w:r w:rsidR="002B1815">
          <w:rPr>
            <w:noProof/>
            <w:webHidden/>
          </w:rPr>
          <w:t>41</w:t>
        </w:r>
        <w:r>
          <w:rPr>
            <w:noProof/>
            <w:webHidden/>
          </w:rPr>
          <w:fldChar w:fldCharType="end"/>
        </w:r>
      </w:hyperlink>
    </w:p>
    <w:p w:rsidR="00012172" w:rsidRDefault="00012172">
      <w:pPr>
        <w:pStyle w:val="Sadraj2"/>
        <w:tabs>
          <w:tab w:val="right" w:leader="dot" w:pos="9074"/>
        </w:tabs>
        <w:rPr>
          <w:noProof/>
        </w:rPr>
      </w:pPr>
      <w:hyperlink w:anchor="_Toc95140595" w:history="1">
        <w:r>
          <w:rPr>
            <w:rStyle w:val="Hiperveza"/>
            <w:noProof/>
          </w:rPr>
          <w:t>2.3. Ciljevi prostornog uređenja naselja na području općine</w:t>
        </w:r>
        <w:r>
          <w:rPr>
            <w:noProof/>
            <w:webHidden/>
          </w:rPr>
          <w:tab/>
        </w:r>
        <w:r>
          <w:rPr>
            <w:noProof/>
            <w:webHidden/>
          </w:rPr>
          <w:fldChar w:fldCharType="begin"/>
        </w:r>
        <w:r>
          <w:rPr>
            <w:noProof/>
            <w:webHidden/>
          </w:rPr>
          <w:instrText xml:space="preserve"> PAGEREF _Toc95140595 \h </w:instrText>
        </w:r>
        <w:r>
          <w:rPr>
            <w:noProof/>
          </w:rPr>
        </w:r>
        <w:r>
          <w:rPr>
            <w:noProof/>
            <w:webHidden/>
          </w:rPr>
          <w:fldChar w:fldCharType="separate"/>
        </w:r>
        <w:r w:rsidR="002B1815">
          <w:rPr>
            <w:noProof/>
            <w:webHidden/>
          </w:rPr>
          <w:t>43</w:t>
        </w:r>
        <w:r>
          <w:rPr>
            <w:noProof/>
            <w:webHidden/>
          </w:rPr>
          <w:fldChar w:fldCharType="end"/>
        </w:r>
      </w:hyperlink>
    </w:p>
    <w:p w:rsidR="00012172" w:rsidRDefault="00012172">
      <w:pPr>
        <w:pStyle w:val="Sadraj3"/>
        <w:tabs>
          <w:tab w:val="right" w:leader="dot" w:pos="9074"/>
        </w:tabs>
        <w:rPr>
          <w:noProof/>
        </w:rPr>
      </w:pPr>
      <w:hyperlink w:anchor="_Toc95140596" w:history="1">
        <w:r>
          <w:rPr>
            <w:rStyle w:val="Hiperveza"/>
            <w:noProof/>
          </w:rPr>
          <w:t>2.3.1. Racionalno korištenje i zaštita prostora</w:t>
        </w:r>
        <w:r>
          <w:rPr>
            <w:noProof/>
            <w:webHidden/>
          </w:rPr>
          <w:tab/>
        </w:r>
        <w:r>
          <w:rPr>
            <w:noProof/>
            <w:webHidden/>
          </w:rPr>
          <w:fldChar w:fldCharType="begin"/>
        </w:r>
        <w:r>
          <w:rPr>
            <w:noProof/>
            <w:webHidden/>
          </w:rPr>
          <w:instrText xml:space="preserve"> PAGEREF _Toc95140596 \h </w:instrText>
        </w:r>
        <w:r>
          <w:rPr>
            <w:noProof/>
          </w:rPr>
        </w:r>
        <w:r>
          <w:rPr>
            <w:noProof/>
            <w:webHidden/>
          </w:rPr>
          <w:fldChar w:fldCharType="separate"/>
        </w:r>
        <w:r w:rsidR="002B1815">
          <w:rPr>
            <w:noProof/>
            <w:webHidden/>
          </w:rPr>
          <w:t>43</w:t>
        </w:r>
        <w:r>
          <w:rPr>
            <w:noProof/>
            <w:webHidden/>
          </w:rPr>
          <w:fldChar w:fldCharType="end"/>
        </w:r>
      </w:hyperlink>
    </w:p>
    <w:p w:rsidR="00012172" w:rsidRDefault="00012172">
      <w:pPr>
        <w:pStyle w:val="Sadraj3"/>
        <w:tabs>
          <w:tab w:val="right" w:leader="dot" w:pos="9074"/>
        </w:tabs>
        <w:rPr>
          <w:noProof/>
        </w:rPr>
      </w:pPr>
      <w:hyperlink w:anchor="_Toc95140597" w:history="1">
        <w:r>
          <w:rPr>
            <w:rStyle w:val="Hiperveza"/>
            <w:noProof/>
          </w:rPr>
          <w:t>2.3.2. Utvrđivanje građevinskih područja naselja u odnosu na postojeći i planirani broj stanovnika, gustoću stanovanja, izgrađenost, iskorištenost i gustoću izgrađenosti, obilježja naselja, vrijednosti i posebnosti krajobraza, prirodnih i kulturno-povijesnih cjelina</w:t>
        </w:r>
        <w:r>
          <w:rPr>
            <w:noProof/>
            <w:webHidden/>
          </w:rPr>
          <w:tab/>
        </w:r>
        <w:r>
          <w:rPr>
            <w:noProof/>
            <w:webHidden/>
          </w:rPr>
          <w:fldChar w:fldCharType="begin"/>
        </w:r>
        <w:r>
          <w:rPr>
            <w:noProof/>
            <w:webHidden/>
          </w:rPr>
          <w:instrText xml:space="preserve"> PAGEREF _Toc95140597 \h </w:instrText>
        </w:r>
        <w:r>
          <w:rPr>
            <w:noProof/>
          </w:rPr>
        </w:r>
        <w:r>
          <w:rPr>
            <w:noProof/>
            <w:webHidden/>
          </w:rPr>
          <w:fldChar w:fldCharType="separate"/>
        </w:r>
        <w:r w:rsidR="002B1815">
          <w:rPr>
            <w:noProof/>
            <w:webHidden/>
          </w:rPr>
          <w:t>43</w:t>
        </w:r>
        <w:r>
          <w:rPr>
            <w:noProof/>
            <w:webHidden/>
          </w:rPr>
          <w:fldChar w:fldCharType="end"/>
        </w:r>
      </w:hyperlink>
    </w:p>
    <w:p w:rsidR="00012172" w:rsidRDefault="00012172">
      <w:pPr>
        <w:pStyle w:val="Sadraj3"/>
        <w:tabs>
          <w:tab w:val="right" w:leader="dot" w:pos="9074"/>
        </w:tabs>
        <w:rPr>
          <w:noProof/>
        </w:rPr>
      </w:pPr>
      <w:hyperlink w:anchor="_Toc95140598" w:history="1">
        <w:r>
          <w:rPr>
            <w:rStyle w:val="Hiperveza"/>
            <w:noProof/>
          </w:rPr>
          <w:t>2.3.3. Unapređenje uređenja naselja i komunalne infrastrukture</w:t>
        </w:r>
        <w:r>
          <w:rPr>
            <w:noProof/>
            <w:webHidden/>
          </w:rPr>
          <w:tab/>
        </w:r>
        <w:r>
          <w:rPr>
            <w:noProof/>
            <w:webHidden/>
          </w:rPr>
          <w:fldChar w:fldCharType="begin"/>
        </w:r>
        <w:r>
          <w:rPr>
            <w:noProof/>
            <w:webHidden/>
          </w:rPr>
          <w:instrText xml:space="preserve"> PAGEREF _Toc95140598 \h </w:instrText>
        </w:r>
        <w:r>
          <w:rPr>
            <w:noProof/>
          </w:rPr>
        </w:r>
        <w:r>
          <w:rPr>
            <w:noProof/>
            <w:webHidden/>
          </w:rPr>
          <w:fldChar w:fldCharType="separate"/>
        </w:r>
        <w:r w:rsidR="002B1815">
          <w:rPr>
            <w:noProof/>
            <w:webHidden/>
          </w:rPr>
          <w:t>47</w:t>
        </w:r>
        <w:r>
          <w:rPr>
            <w:noProof/>
            <w:webHidden/>
          </w:rPr>
          <w:fldChar w:fldCharType="end"/>
        </w:r>
      </w:hyperlink>
    </w:p>
    <w:p w:rsidR="00012172" w:rsidRDefault="00012172">
      <w:pPr>
        <w:pStyle w:val="Sadraj1"/>
        <w:tabs>
          <w:tab w:val="right" w:leader="dot" w:pos="9074"/>
        </w:tabs>
        <w:rPr>
          <w:b w:val="0"/>
          <w:bCs w:val="0"/>
          <w:noProof/>
        </w:rPr>
      </w:pPr>
      <w:hyperlink w:anchor="_Toc95140599" w:history="1">
        <w:r>
          <w:rPr>
            <w:rStyle w:val="Hiperveza"/>
            <w:noProof/>
          </w:rPr>
          <w:t>3. PLAN PROSTORNOG UREĐENJA</w:t>
        </w:r>
        <w:r>
          <w:rPr>
            <w:noProof/>
            <w:webHidden/>
          </w:rPr>
          <w:tab/>
        </w:r>
        <w:r>
          <w:rPr>
            <w:noProof/>
            <w:webHidden/>
          </w:rPr>
          <w:fldChar w:fldCharType="begin"/>
        </w:r>
        <w:r>
          <w:rPr>
            <w:noProof/>
            <w:webHidden/>
          </w:rPr>
          <w:instrText xml:space="preserve"> PAGEREF _Toc95140599 \h </w:instrText>
        </w:r>
        <w:r>
          <w:rPr>
            <w:noProof/>
          </w:rPr>
        </w:r>
        <w:r>
          <w:rPr>
            <w:noProof/>
            <w:webHidden/>
          </w:rPr>
          <w:fldChar w:fldCharType="separate"/>
        </w:r>
        <w:r w:rsidR="002B1815">
          <w:rPr>
            <w:noProof/>
            <w:webHidden/>
          </w:rPr>
          <w:t>48</w:t>
        </w:r>
        <w:r>
          <w:rPr>
            <w:noProof/>
            <w:webHidden/>
          </w:rPr>
          <w:fldChar w:fldCharType="end"/>
        </w:r>
      </w:hyperlink>
    </w:p>
    <w:p w:rsidR="00012172" w:rsidRDefault="00012172">
      <w:pPr>
        <w:pStyle w:val="Sadraj2"/>
        <w:tabs>
          <w:tab w:val="right" w:leader="dot" w:pos="9074"/>
        </w:tabs>
        <w:rPr>
          <w:noProof/>
        </w:rPr>
      </w:pPr>
      <w:hyperlink w:anchor="_Toc95140600" w:history="1">
        <w:r>
          <w:rPr>
            <w:rStyle w:val="Hiperveza"/>
            <w:noProof/>
          </w:rPr>
          <w:t>3.1. Prikaz prostornog razvoja na području općine u odnosu na prostornu i gospodarsku strukturu županije</w:t>
        </w:r>
        <w:r>
          <w:rPr>
            <w:noProof/>
            <w:webHidden/>
          </w:rPr>
          <w:tab/>
        </w:r>
        <w:r>
          <w:rPr>
            <w:noProof/>
            <w:webHidden/>
          </w:rPr>
          <w:fldChar w:fldCharType="begin"/>
        </w:r>
        <w:r>
          <w:rPr>
            <w:noProof/>
            <w:webHidden/>
          </w:rPr>
          <w:instrText xml:space="preserve"> PAGEREF _Toc95140600 \h </w:instrText>
        </w:r>
        <w:r>
          <w:rPr>
            <w:noProof/>
          </w:rPr>
        </w:r>
        <w:r>
          <w:rPr>
            <w:noProof/>
            <w:webHidden/>
          </w:rPr>
          <w:fldChar w:fldCharType="separate"/>
        </w:r>
        <w:r w:rsidR="002B1815">
          <w:rPr>
            <w:noProof/>
            <w:webHidden/>
          </w:rPr>
          <w:t>48</w:t>
        </w:r>
        <w:r>
          <w:rPr>
            <w:noProof/>
            <w:webHidden/>
          </w:rPr>
          <w:fldChar w:fldCharType="end"/>
        </w:r>
      </w:hyperlink>
    </w:p>
    <w:p w:rsidR="00012172" w:rsidRDefault="00012172">
      <w:pPr>
        <w:pStyle w:val="Sadraj2"/>
        <w:tabs>
          <w:tab w:val="right" w:leader="dot" w:pos="9074"/>
        </w:tabs>
        <w:rPr>
          <w:noProof/>
        </w:rPr>
      </w:pPr>
      <w:hyperlink w:anchor="_Toc95140601" w:history="1">
        <w:r>
          <w:rPr>
            <w:rStyle w:val="Hiperveza"/>
            <w:noProof/>
          </w:rPr>
          <w:t>3.2. Organizacija prostora i osnovna namjena i korištenje površina</w:t>
        </w:r>
        <w:r>
          <w:rPr>
            <w:noProof/>
            <w:webHidden/>
          </w:rPr>
          <w:tab/>
        </w:r>
        <w:r>
          <w:rPr>
            <w:noProof/>
            <w:webHidden/>
          </w:rPr>
          <w:fldChar w:fldCharType="begin"/>
        </w:r>
        <w:r>
          <w:rPr>
            <w:noProof/>
            <w:webHidden/>
          </w:rPr>
          <w:instrText xml:space="preserve"> PAGEREF _Toc95140601 \h </w:instrText>
        </w:r>
        <w:r>
          <w:rPr>
            <w:noProof/>
          </w:rPr>
        </w:r>
        <w:r>
          <w:rPr>
            <w:noProof/>
            <w:webHidden/>
          </w:rPr>
          <w:fldChar w:fldCharType="separate"/>
        </w:r>
        <w:r w:rsidR="002B1815">
          <w:rPr>
            <w:noProof/>
            <w:webHidden/>
          </w:rPr>
          <w:t>48</w:t>
        </w:r>
        <w:r>
          <w:rPr>
            <w:noProof/>
            <w:webHidden/>
          </w:rPr>
          <w:fldChar w:fldCharType="end"/>
        </w:r>
      </w:hyperlink>
    </w:p>
    <w:p w:rsidR="00012172" w:rsidRDefault="00012172">
      <w:pPr>
        <w:pStyle w:val="Sadraj2"/>
        <w:tabs>
          <w:tab w:val="right" w:leader="dot" w:pos="9074"/>
        </w:tabs>
        <w:rPr>
          <w:noProof/>
        </w:rPr>
      </w:pPr>
      <w:hyperlink w:anchor="_Toc95140602" w:history="1">
        <w:r>
          <w:rPr>
            <w:rStyle w:val="Hiperveza"/>
            <w:noProof/>
          </w:rPr>
          <w:t>3.3. Prikaz g</w:t>
        </w:r>
        <w:r>
          <w:rPr>
            <w:rStyle w:val="Hiperveza"/>
            <w:noProof/>
          </w:rPr>
          <w:t>o</w:t>
        </w:r>
        <w:r>
          <w:rPr>
            <w:rStyle w:val="Hiperveza"/>
            <w:noProof/>
          </w:rPr>
          <w:t>spodarskih i društvenih djelatnosti</w:t>
        </w:r>
        <w:r>
          <w:rPr>
            <w:noProof/>
            <w:webHidden/>
          </w:rPr>
          <w:tab/>
        </w:r>
        <w:r>
          <w:rPr>
            <w:noProof/>
            <w:webHidden/>
          </w:rPr>
          <w:fldChar w:fldCharType="begin"/>
        </w:r>
        <w:r>
          <w:rPr>
            <w:noProof/>
            <w:webHidden/>
          </w:rPr>
          <w:instrText xml:space="preserve"> PAGEREF _Toc95140602 \h </w:instrText>
        </w:r>
        <w:r>
          <w:rPr>
            <w:noProof/>
          </w:rPr>
        </w:r>
        <w:r>
          <w:rPr>
            <w:noProof/>
            <w:webHidden/>
          </w:rPr>
          <w:fldChar w:fldCharType="separate"/>
        </w:r>
        <w:r w:rsidR="002B1815">
          <w:rPr>
            <w:noProof/>
            <w:webHidden/>
          </w:rPr>
          <w:t>51</w:t>
        </w:r>
        <w:r>
          <w:rPr>
            <w:noProof/>
            <w:webHidden/>
          </w:rPr>
          <w:fldChar w:fldCharType="end"/>
        </w:r>
      </w:hyperlink>
    </w:p>
    <w:p w:rsidR="00012172" w:rsidRDefault="00012172">
      <w:pPr>
        <w:pStyle w:val="Sadraj2"/>
        <w:tabs>
          <w:tab w:val="right" w:leader="dot" w:pos="9074"/>
        </w:tabs>
        <w:rPr>
          <w:noProof/>
        </w:rPr>
      </w:pPr>
      <w:hyperlink w:anchor="_Toc95140603" w:history="1">
        <w:r>
          <w:rPr>
            <w:rStyle w:val="Hiperveza"/>
            <w:noProof/>
          </w:rPr>
          <w:t>3.4. Uvjeti korištenja, uređenja i zaštite prostora</w:t>
        </w:r>
        <w:r>
          <w:rPr>
            <w:noProof/>
            <w:webHidden/>
          </w:rPr>
          <w:tab/>
        </w:r>
        <w:r>
          <w:rPr>
            <w:noProof/>
            <w:webHidden/>
          </w:rPr>
          <w:fldChar w:fldCharType="begin"/>
        </w:r>
        <w:r>
          <w:rPr>
            <w:noProof/>
            <w:webHidden/>
          </w:rPr>
          <w:instrText xml:space="preserve"> PAGEREF _Toc95140603 \h </w:instrText>
        </w:r>
        <w:r>
          <w:rPr>
            <w:noProof/>
          </w:rPr>
        </w:r>
        <w:r>
          <w:rPr>
            <w:noProof/>
            <w:webHidden/>
          </w:rPr>
          <w:fldChar w:fldCharType="separate"/>
        </w:r>
        <w:r w:rsidR="002B1815">
          <w:rPr>
            <w:noProof/>
            <w:webHidden/>
          </w:rPr>
          <w:t>53</w:t>
        </w:r>
        <w:r>
          <w:rPr>
            <w:noProof/>
            <w:webHidden/>
          </w:rPr>
          <w:fldChar w:fldCharType="end"/>
        </w:r>
      </w:hyperlink>
    </w:p>
    <w:p w:rsidR="00012172" w:rsidRDefault="00012172">
      <w:pPr>
        <w:pStyle w:val="Sadraj1"/>
        <w:tabs>
          <w:tab w:val="right" w:leader="dot" w:pos="9074"/>
        </w:tabs>
        <w:rPr>
          <w:b w:val="0"/>
          <w:bCs w:val="0"/>
          <w:noProof/>
        </w:rPr>
      </w:pPr>
      <w:hyperlink w:anchor="_Toc95140604" w:history="1">
        <w:r>
          <w:rPr>
            <w:rStyle w:val="Hiperveza"/>
            <w:noProof/>
          </w:rPr>
          <w:t>3.5. Razvoj infrastrukturnih sustava</w:t>
        </w:r>
        <w:r>
          <w:rPr>
            <w:noProof/>
            <w:webHidden/>
          </w:rPr>
          <w:tab/>
        </w:r>
        <w:r>
          <w:rPr>
            <w:noProof/>
            <w:webHidden/>
          </w:rPr>
          <w:fldChar w:fldCharType="begin"/>
        </w:r>
        <w:r>
          <w:rPr>
            <w:noProof/>
            <w:webHidden/>
          </w:rPr>
          <w:instrText xml:space="preserve"> PAGEREF _Toc95140604 \h </w:instrText>
        </w:r>
        <w:r>
          <w:rPr>
            <w:noProof/>
          </w:rPr>
        </w:r>
        <w:r>
          <w:rPr>
            <w:noProof/>
            <w:webHidden/>
          </w:rPr>
          <w:fldChar w:fldCharType="separate"/>
        </w:r>
        <w:r w:rsidR="002B1815">
          <w:rPr>
            <w:noProof/>
            <w:webHidden/>
          </w:rPr>
          <w:t>61</w:t>
        </w:r>
        <w:r>
          <w:rPr>
            <w:noProof/>
            <w:webHidden/>
          </w:rPr>
          <w:fldChar w:fldCharType="end"/>
        </w:r>
      </w:hyperlink>
    </w:p>
    <w:p w:rsidR="00012172" w:rsidRDefault="00012172">
      <w:pPr>
        <w:pStyle w:val="Sadraj3"/>
        <w:tabs>
          <w:tab w:val="right" w:leader="dot" w:pos="9074"/>
        </w:tabs>
        <w:rPr>
          <w:noProof/>
        </w:rPr>
      </w:pPr>
      <w:hyperlink w:anchor="_Toc95140605" w:history="1">
        <w:r>
          <w:rPr>
            <w:rStyle w:val="Hiperveza"/>
            <w:noProof/>
          </w:rPr>
          <w:t>3.5.1. Prometni infrastrukturni sustav (ceste, željeznice, javne telekomunikacije, produktovodi)</w:t>
        </w:r>
        <w:r>
          <w:rPr>
            <w:noProof/>
            <w:webHidden/>
          </w:rPr>
          <w:tab/>
        </w:r>
        <w:r>
          <w:rPr>
            <w:noProof/>
            <w:webHidden/>
          </w:rPr>
          <w:fldChar w:fldCharType="begin"/>
        </w:r>
        <w:r>
          <w:rPr>
            <w:noProof/>
            <w:webHidden/>
          </w:rPr>
          <w:instrText xml:space="preserve"> PAGEREF _Toc95140605 \h </w:instrText>
        </w:r>
        <w:r>
          <w:rPr>
            <w:noProof/>
          </w:rPr>
        </w:r>
        <w:r>
          <w:rPr>
            <w:noProof/>
            <w:webHidden/>
          </w:rPr>
          <w:fldChar w:fldCharType="separate"/>
        </w:r>
        <w:r w:rsidR="002B1815">
          <w:rPr>
            <w:noProof/>
            <w:webHidden/>
          </w:rPr>
          <w:t>61</w:t>
        </w:r>
        <w:r>
          <w:rPr>
            <w:noProof/>
            <w:webHidden/>
          </w:rPr>
          <w:fldChar w:fldCharType="end"/>
        </w:r>
      </w:hyperlink>
    </w:p>
    <w:p w:rsidR="00012172" w:rsidRDefault="00012172">
      <w:pPr>
        <w:pStyle w:val="Sadraj3"/>
        <w:tabs>
          <w:tab w:val="right" w:leader="dot" w:pos="9074"/>
        </w:tabs>
        <w:rPr>
          <w:noProof/>
        </w:rPr>
      </w:pPr>
      <w:hyperlink w:anchor="_Toc95140606" w:history="1">
        <w:r>
          <w:rPr>
            <w:rStyle w:val="Hiperveza"/>
            <w:noProof/>
          </w:rPr>
          <w:t>3.5.2. Energetski sustav</w:t>
        </w:r>
        <w:r>
          <w:rPr>
            <w:noProof/>
            <w:webHidden/>
          </w:rPr>
          <w:tab/>
        </w:r>
        <w:r>
          <w:rPr>
            <w:noProof/>
            <w:webHidden/>
          </w:rPr>
          <w:fldChar w:fldCharType="begin"/>
        </w:r>
        <w:r>
          <w:rPr>
            <w:noProof/>
            <w:webHidden/>
          </w:rPr>
          <w:instrText xml:space="preserve"> PAGEREF _Toc95140606 \h </w:instrText>
        </w:r>
        <w:r>
          <w:rPr>
            <w:noProof/>
          </w:rPr>
        </w:r>
        <w:r>
          <w:rPr>
            <w:noProof/>
            <w:webHidden/>
          </w:rPr>
          <w:fldChar w:fldCharType="separate"/>
        </w:r>
        <w:r w:rsidR="002B1815">
          <w:rPr>
            <w:noProof/>
            <w:webHidden/>
          </w:rPr>
          <w:t>62</w:t>
        </w:r>
        <w:r>
          <w:rPr>
            <w:noProof/>
            <w:webHidden/>
          </w:rPr>
          <w:fldChar w:fldCharType="end"/>
        </w:r>
      </w:hyperlink>
    </w:p>
    <w:p w:rsidR="00012172" w:rsidRDefault="00012172">
      <w:pPr>
        <w:pStyle w:val="Sadraj3"/>
        <w:tabs>
          <w:tab w:val="right" w:leader="dot" w:pos="9074"/>
        </w:tabs>
        <w:rPr>
          <w:noProof/>
        </w:rPr>
      </w:pPr>
      <w:hyperlink w:anchor="_Toc95140607" w:history="1">
        <w:r>
          <w:rPr>
            <w:rStyle w:val="Hiperveza"/>
            <w:noProof/>
          </w:rPr>
          <w:t>3.5.3. Vodnogospodarski sustav (vodoopskrba, odvodnja, uređenje vodotoka i voda, melioracijska odvodnja)</w:t>
        </w:r>
        <w:r>
          <w:rPr>
            <w:noProof/>
            <w:webHidden/>
          </w:rPr>
          <w:tab/>
        </w:r>
        <w:r>
          <w:rPr>
            <w:noProof/>
            <w:webHidden/>
          </w:rPr>
          <w:fldChar w:fldCharType="begin"/>
        </w:r>
        <w:r>
          <w:rPr>
            <w:noProof/>
            <w:webHidden/>
          </w:rPr>
          <w:instrText xml:space="preserve"> PAGEREF _Toc95140607 \h </w:instrText>
        </w:r>
        <w:r>
          <w:rPr>
            <w:noProof/>
          </w:rPr>
        </w:r>
        <w:r>
          <w:rPr>
            <w:noProof/>
            <w:webHidden/>
          </w:rPr>
          <w:fldChar w:fldCharType="separate"/>
        </w:r>
        <w:r w:rsidR="002B1815">
          <w:rPr>
            <w:noProof/>
            <w:webHidden/>
          </w:rPr>
          <w:t>63</w:t>
        </w:r>
        <w:r>
          <w:rPr>
            <w:noProof/>
            <w:webHidden/>
          </w:rPr>
          <w:fldChar w:fldCharType="end"/>
        </w:r>
      </w:hyperlink>
    </w:p>
    <w:p w:rsidR="00012172" w:rsidRDefault="00012172">
      <w:pPr>
        <w:pStyle w:val="Sadraj2"/>
        <w:tabs>
          <w:tab w:val="right" w:leader="dot" w:pos="9074"/>
        </w:tabs>
        <w:rPr>
          <w:noProof/>
        </w:rPr>
      </w:pPr>
      <w:hyperlink w:anchor="_Toc95140608" w:history="1">
        <w:r>
          <w:rPr>
            <w:rStyle w:val="Hiperveza"/>
            <w:noProof/>
          </w:rPr>
          <w:t>3.6. Postupanje s otpadom</w:t>
        </w:r>
        <w:r>
          <w:rPr>
            <w:noProof/>
            <w:webHidden/>
          </w:rPr>
          <w:tab/>
        </w:r>
        <w:r>
          <w:rPr>
            <w:noProof/>
            <w:webHidden/>
          </w:rPr>
          <w:fldChar w:fldCharType="begin"/>
        </w:r>
        <w:r>
          <w:rPr>
            <w:noProof/>
            <w:webHidden/>
          </w:rPr>
          <w:instrText xml:space="preserve"> PAGEREF _Toc95140608 \h </w:instrText>
        </w:r>
        <w:r>
          <w:rPr>
            <w:noProof/>
          </w:rPr>
        </w:r>
        <w:r>
          <w:rPr>
            <w:noProof/>
            <w:webHidden/>
          </w:rPr>
          <w:fldChar w:fldCharType="separate"/>
        </w:r>
        <w:r w:rsidR="002B1815">
          <w:rPr>
            <w:noProof/>
            <w:webHidden/>
          </w:rPr>
          <w:t>65</w:t>
        </w:r>
        <w:r>
          <w:rPr>
            <w:noProof/>
            <w:webHidden/>
          </w:rPr>
          <w:fldChar w:fldCharType="end"/>
        </w:r>
      </w:hyperlink>
    </w:p>
    <w:p w:rsidR="00012172" w:rsidRDefault="00012172">
      <w:pPr>
        <w:pStyle w:val="Sadraj2"/>
        <w:tabs>
          <w:tab w:val="right" w:leader="dot" w:pos="9074"/>
        </w:tabs>
        <w:rPr>
          <w:noProof/>
        </w:rPr>
      </w:pPr>
      <w:hyperlink w:anchor="_Toc95140609" w:history="1">
        <w:r>
          <w:rPr>
            <w:rStyle w:val="Hiperveza"/>
            <w:noProof/>
          </w:rPr>
          <w:t>3.7. Sprječavanje nepovoljna utjecaja na okoliš</w:t>
        </w:r>
        <w:r>
          <w:rPr>
            <w:noProof/>
            <w:webHidden/>
          </w:rPr>
          <w:tab/>
        </w:r>
        <w:r>
          <w:rPr>
            <w:noProof/>
            <w:webHidden/>
          </w:rPr>
          <w:fldChar w:fldCharType="begin"/>
        </w:r>
        <w:r>
          <w:rPr>
            <w:noProof/>
            <w:webHidden/>
          </w:rPr>
          <w:instrText xml:space="preserve"> PAGEREF _Toc95140609 \h </w:instrText>
        </w:r>
        <w:r>
          <w:rPr>
            <w:noProof/>
          </w:rPr>
        </w:r>
        <w:r>
          <w:rPr>
            <w:noProof/>
            <w:webHidden/>
          </w:rPr>
          <w:fldChar w:fldCharType="separate"/>
        </w:r>
        <w:r w:rsidR="002B1815">
          <w:rPr>
            <w:noProof/>
            <w:webHidden/>
          </w:rPr>
          <w:t>66</w:t>
        </w:r>
        <w:r>
          <w:rPr>
            <w:noProof/>
            <w:webHidden/>
          </w:rPr>
          <w:fldChar w:fldCharType="end"/>
        </w:r>
      </w:hyperlink>
    </w:p>
    <w:p w:rsidR="00012172" w:rsidRDefault="00012172">
      <w:pPr>
        <w:pStyle w:val="Sadraj1"/>
        <w:tabs>
          <w:tab w:val="right" w:leader="dot" w:pos="9074"/>
        </w:tabs>
        <w:rPr>
          <w:b w:val="0"/>
          <w:bCs w:val="0"/>
          <w:noProof/>
        </w:rPr>
      </w:pPr>
      <w:hyperlink w:anchor="_Toc95140610" w:history="1">
        <w:r>
          <w:rPr>
            <w:rStyle w:val="Hiperveza"/>
            <w:noProof/>
          </w:rPr>
          <w:t>I. OPĆE O</w:t>
        </w:r>
        <w:r>
          <w:rPr>
            <w:rStyle w:val="Hiperveza"/>
            <w:noProof/>
          </w:rPr>
          <w:t>D</w:t>
        </w:r>
        <w:r>
          <w:rPr>
            <w:rStyle w:val="Hiperveza"/>
            <w:noProof/>
          </w:rPr>
          <w:t>REDBE</w:t>
        </w:r>
        <w:r>
          <w:rPr>
            <w:noProof/>
            <w:webHidden/>
          </w:rPr>
          <w:tab/>
        </w:r>
        <w:r>
          <w:rPr>
            <w:noProof/>
            <w:webHidden/>
          </w:rPr>
          <w:fldChar w:fldCharType="begin"/>
        </w:r>
        <w:r>
          <w:rPr>
            <w:noProof/>
            <w:webHidden/>
          </w:rPr>
          <w:instrText xml:space="preserve"> PAGEREF _Toc95140610 \h </w:instrText>
        </w:r>
        <w:r>
          <w:rPr>
            <w:noProof/>
          </w:rPr>
        </w:r>
        <w:r>
          <w:rPr>
            <w:noProof/>
            <w:webHidden/>
          </w:rPr>
          <w:fldChar w:fldCharType="separate"/>
        </w:r>
        <w:r w:rsidR="002B1815">
          <w:rPr>
            <w:noProof/>
            <w:webHidden/>
          </w:rPr>
          <w:t>69</w:t>
        </w:r>
        <w:r>
          <w:rPr>
            <w:noProof/>
            <w:webHidden/>
          </w:rPr>
          <w:fldChar w:fldCharType="end"/>
        </w:r>
      </w:hyperlink>
    </w:p>
    <w:p w:rsidR="00012172" w:rsidRDefault="00012172">
      <w:pPr>
        <w:pStyle w:val="Sadraj1"/>
        <w:tabs>
          <w:tab w:val="right" w:leader="dot" w:pos="9074"/>
        </w:tabs>
        <w:rPr>
          <w:b w:val="0"/>
          <w:bCs w:val="0"/>
          <w:noProof/>
        </w:rPr>
      </w:pPr>
      <w:hyperlink w:anchor="_Toc95140611" w:history="1">
        <w:r>
          <w:rPr>
            <w:rStyle w:val="Hiperveza"/>
            <w:noProof/>
          </w:rPr>
          <w:t>II. ODREDBE ZA PROVOĐENJE</w:t>
        </w:r>
        <w:r>
          <w:rPr>
            <w:noProof/>
            <w:webHidden/>
          </w:rPr>
          <w:tab/>
        </w:r>
        <w:r>
          <w:rPr>
            <w:noProof/>
            <w:webHidden/>
          </w:rPr>
          <w:fldChar w:fldCharType="begin"/>
        </w:r>
        <w:r>
          <w:rPr>
            <w:noProof/>
            <w:webHidden/>
          </w:rPr>
          <w:instrText xml:space="preserve"> PAGEREF _Toc95140611 \h </w:instrText>
        </w:r>
        <w:r>
          <w:rPr>
            <w:noProof/>
          </w:rPr>
        </w:r>
        <w:r>
          <w:rPr>
            <w:noProof/>
            <w:webHidden/>
          </w:rPr>
          <w:fldChar w:fldCharType="separate"/>
        </w:r>
        <w:r w:rsidR="002B1815">
          <w:rPr>
            <w:noProof/>
            <w:webHidden/>
          </w:rPr>
          <w:t>71</w:t>
        </w:r>
        <w:r>
          <w:rPr>
            <w:noProof/>
            <w:webHidden/>
          </w:rPr>
          <w:fldChar w:fldCharType="end"/>
        </w:r>
      </w:hyperlink>
    </w:p>
    <w:p w:rsidR="00012172" w:rsidRDefault="00012172">
      <w:pPr>
        <w:pStyle w:val="Sadraj1"/>
        <w:tabs>
          <w:tab w:val="left" w:pos="480"/>
          <w:tab w:val="right" w:leader="dot" w:pos="9074"/>
        </w:tabs>
        <w:rPr>
          <w:b w:val="0"/>
          <w:bCs w:val="0"/>
          <w:noProof/>
        </w:rPr>
      </w:pPr>
      <w:hyperlink w:anchor="_Toc95140612" w:history="1">
        <w:r>
          <w:rPr>
            <w:rStyle w:val="Hiperveza"/>
            <w:noProof/>
          </w:rPr>
          <w:t>1.</w:t>
        </w:r>
        <w:r>
          <w:rPr>
            <w:b w:val="0"/>
            <w:bCs w:val="0"/>
            <w:noProof/>
          </w:rPr>
          <w:tab/>
        </w:r>
        <w:r>
          <w:rPr>
            <w:rStyle w:val="Hiperveza"/>
            <w:noProof/>
          </w:rPr>
          <w:t>Uvjeti za određivanje namjena površina na području općine  Gornja Rijeka</w:t>
        </w:r>
        <w:r>
          <w:rPr>
            <w:noProof/>
            <w:webHidden/>
          </w:rPr>
          <w:tab/>
        </w:r>
        <w:r>
          <w:rPr>
            <w:noProof/>
            <w:webHidden/>
          </w:rPr>
          <w:fldChar w:fldCharType="begin"/>
        </w:r>
        <w:r>
          <w:rPr>
            <w:noProof/>
            <w:webHidden/>
          </w:rPr>
          <w:instrText xml:space="preserve"> PAGEREF _Toc95140612 \h </w:instrText>
        </w:r>
        <w:r>
          <w:rPr>
            <w:noProof/>
          </w:rPr>
        </w:r>
        <w:r>
          <w:rPr>
            <w:noProof/>
            <w:webHidden/>
          </w:rPr>
          <w:fldChar w:fldCharType="separate"/>
        </w:r>
        <w:r w:rsidR="002B1815">
          <w:rPr>
            <w:noProof/>
            <w:webHidden/>
          </w:rPr>
          <w:t>71</w:t>
        </w:r>
        <w:r>
          <w:rPr>
            <w:noProof/>
            <w:webHidden/>
          </w:rPr>
          <w:fldChar w:fldCharType="end"/>
        </w:r>
      </w:hyperlink>
    </w:p>
    <w:p w:rsidR="00012172" w:rsidRDefault="00012172">
      <w:pPr>
        <w:pStyle w:val="Sadraj1"/>
        <w:tabs>
          <w:tab w:val="right" w:leader="dot" w:pos="9074"/>
        </w:tabs>
        <w:rPr>
          <w:b w:val="0"/>
          <w:bCs w:val="0"/>
          <w:noProof/>
        </w:rPr>
      </w:pPr>
      <w:hyperlink w:anchor="_Toc95140613" w:history="1">
        <w:r>
          <w:rPr>
            <w:rStyle w:val="Hiperveza"/>
            <w:noProof/>
          </w:rPr>
          <w:t>2. Uvjeti za uređenje prostora</w:t>
        </w:r>
        <w:r>
          <w:rPr>
            <w:noProof/>
            <w:webHidden/>
          </w:rPr>
          <w:tab/>
        </w:r>
        <w:r>
          <w:rPr>
            <w:noProof/>
            <w:webHidden/>
          </w:rPr>
          <w:fldChar w:fldCharType="begin"/>
        </w:r>
        <w:r>
          <w:rPr>
            <w:noProof/>
            <w:webHidden/>
          </w:rPr>
          <w:instrText xml:space="preserve"> PAGEREF _Toc95140613 \h </w:instrText>
        </w:r>
        <w:r>
          <w:rPr>
            <w:noProof/>
          </w:rPr>
        </w:r>
        <w:r>
          <w:rPr>
            <w:noProof/>
            <w:webHidden/>
          </w:rPr>
          <w:fldChar w:fldCharType="separate"/>
        </w:r>
        <w:r w:rsidR="002B1815">
          <w:rPr>
            <w:noProof/>
            <w:webHidden/>
          </w:rPr>
          <w:t>74</w:t>
        </w:r>
        <w:r>
          <w:rPr>
            <w:noProof/>
            <w:webHidden/>
          </w:rPr>
          <w:fldChar w:fldCharType="end"/>
        </w:r>
      </w:hyperlink>
    </w:p>
    <w:p w:rsidR="00012172" w:rsidRDefault="00012172">
      <w:pPr>
        <w:pStyle w:val="Sadraj2"/>
        <w:tabs>
          <w:tab w:val="right" w:leader="dot" w:pos="9074"/>
        </w:tabs>
        <w:rPr>
          <w:noProof/>
        </w:rPr>
      </w:pPr>
      <w:hyperlink w:anchor="_Toc95140614" w:history="1">
        <w:r>
          <w:rPr>
            <w:rStyle w:val="Hiperveza"/>
            <w:noProof/>
          </w:rPr>
          <w:t>2.1. Građevine od važnosti za Državu i županiju</w:t>
        </w:r>
        <w:r>
          <w:rPr>
            <w:noProof/>
            <w:webHidden/>
          </w:rPr>
          <w:tab/>
        </w:r>
        <w:r>
          <w:rPr>
            <w:noProof/>
            <w:webHidden/>
          </w:rPr>
          <w:fldChar w:fldCharType="begin"/>
        </w:r>
        <w:r>
          <w:rPr>
            <w:noProof/>
            <w:webHidden/>
          </w:rPr>
          <w:instrText xml:space="preserve"> PAGEREF _Toc95140614 \h </w:instrText>
        </w:r>
        <w:r>
          <w:rPr>
            <w:noProof/>
          </w:rPr>
        </w:r>
        <w:r>
          <w:rPr>
            <w:noProof/>
            <w:webHidden/>
          </w:rPr>
          <w:fldChar w:fldCharType="separate"/>
        </w:r>
        <w:r w:rsidR="002B1815">
          <w:rPr>
            <w:noProof/>
            <w:webHidden/>
          </w:rPr>
          <w:t>74</w:t>
        </w:r>
        <w:r>
          <w:rPr>
            <w:noProof/>
            <w:webHidden/>
          </w:rPr>
          <w:fldChar w:fldCharType="end"/>
        </w:r>
      </w:hyperlink>
    </w:p>
    <w:p w:rsidR="00012172" w:rsidRDefault="00012172">
      <w:pPr>
        <w:pStyle w:val="Sadraj2"/>
        <w:tabs>
          <w:tab w:val="right" w:leader="dot" w:pos="9074"/>
        </w:tabs>
        <w:rPr>
          <w:noProof/>
        </w:rPr>
      </w:pPr>
      <w:hyperlink w:anchor="_Toc95140615" w:history="1">
        <w:r>
          <w:rPr>
            <w:rStyle w:val="Hiperveza"/>
            <w:noProof/>
          </w:rPr>
          <w:t>2.2. Građevinska područja naselja</w:t>
        </w:r>
        <w:r>
          <w:rPr>
            <w:noProof/>
            <w:webHidden/>
          </w:rPr>
          <w:tab/>
        </w:r>
        <w:r>
          <w:rPr>
            <w:noProof/>
            <w:webHidden/>
          </w:rPr>
          <w:fldChar w:fldCharType="begin"/>
        </w:r>
        <w:r>
          <w:rPr>
            <w:noProof/>
            <w:webHidden/>
          </w:rPr>
          <w:instrText xml:space="preserve"> PAGEREF _Toc95140615 \h </w:instrText>
        </w:r>
        <w:r>
          <w:rPr>
            <w:noProof/>
          </w:rPr>
        </w:r>
        <w:r>
          <w:rPr>
            <w:noProof/>
            <w:webHidden/>
          </w:rPr>
          <w:fldChar w:fldCharType="separate"/>
        </w:r>
        <w:r w:rsidR="002B1815">
          <w:rPr>
            <w:noProof/>
            <w:webHidden/>
          </w:rPr>
          <w:t>74</w:t>
        </w:r>
        <w:r>
          <w:rPr>
            <w:noProof/>
            <w:webHidden/>
          </w:rPr>
          <w:fldChar w:fldCharType="end"/>
        </w:r>
      </w:hyperlink>
    </w:p>
    <w:p w:rsidR="00012172" w:rsidRDefault="00012172">
      <w:pPr>
        <w:pStyle w:val="Sadraj2"/>
        <w:tabs>
          <w:tab w:val="right" w:leader="dot" w:pos="9074"/>
        </w:tabs>
        <w:rPr>
          <w:noProof/>
        </w:rPr>
      </w:pPr>
      <w:hyperlink w:anchor="_Toc95140616" w:history="1">
        <w:r>
          <w:rPr>
            <w:rStyle w:val="Hiperveza"/>
            <w:noProof/>
          </w:rPr>
          <w:t>2.3. Izgrađene st</w:t>
        </w:r>
        <w:r>
          <w:rPr>
            <w:rStyle w:val="Hiperveza"/>
            <w:noProof/>
          </w:rPr>
          <w:t>r</w:t>
        </w:r>
        <w:r>
          <w:rPr>
            <w:rStyle w:val="Hiperveza"/>
            <w:noProof/>
          </w:rPr>
          <w:t>ukture izvan naselja</w:t>
        </w:r>
        <w:r>
          <w:rPr>
            <w:noProof/>
            <w:webHidden/>
          </w:rPr>
          <w:tab/>
        </w:r>
        <w:r>
          <w:rPr>
            <w:noProof/>
            <w:webHidden/>
          </w:rPr>
          <w:fldChar w:fldCharType="begin"/>
        </w:r>
        <w:r>
          <w:rPr>
            <w:noProof/>
            <w:webHidden/>
          </w:rPr>
          <w:instrText xml:space="preserve"> PAGEREF _Toc95140616 \h </w:instrText>
        </w:r>
        <w:r>
          <w:rPr>
            <w:noProof/>
          </w:rPr>
        </w:r>
        <w:r>
          <w:rPr>
            <w:noProof/>
            <w:webHidden/>
          </w:rPr>
          <w:fldChar w:fldCharType="separate"/>
        </w:r>
        <w:r w:rsidR="002B1815">
          <w:rPr>
            <w:noProof/>
            <w:webHidden/>
          </w:rPr>
          <w:t>84</w:t>
        </w:r>
        <w:r>
          <w:rPr>
            <w:noProof/>
            <w:webHidden/>
          </w:rPr>
          <w:fldChar w:fldCharType="end"/>
        </w:r>
      </w:hyperlink>
    </w:p>
    <w:p w:rsidR="00012172" w:rsidRDefault="00012172">
      <w:pPr>
        <w:pStyle w:val="Sadraj1"/>
        <w:tabs>
          <w:tab w:val="right" w:leader="dot" w:pos="9074"/>
        </w:tabs>
        <w:rPr>
          <w:b w:val="0"/>
          <w:bCs w:val="0"/>
          <w:noProof/>
        </w:rPr>
      </w:pPr>
      <w:hyperlink w:anchor="_Toc95140617" w:history="1">
        <w:r>
          <w:rPr>
            <w:rStyle w:val="Hiperveza"/>
            <w:noProof/>
          </w:rPr>
          <w:t>3. Uvjeti smještaja gospod</w:t>
        </w:r>
        <w:r>
          <w:rPr>
            <w:rStyle w:val="Hiperveza"/>
            <w:noProof/>
          </w:rPr>
          <w:t>a</w:t>
        </w:r>
        <w:r>
          <w:rPr>
            <w:rStyle w:val="Hiperveza"/>
            <w:noProof/>
          </w:rPr>
          <w:t>rskih djelatnosti</w:t>
        </w:r>
        <w:r>
          <w:rPr>
            <w:noProof/>
            <w:webHidden/>
          </w:rPr>
          <w:tab/>
        </w:r>
        <w:r>
          <w:rPr>
            <w:noProof/>
            <w:webHidden/>
          </w:rPr>
          <w:fldChar w:fldCharType="begin"/>
        </w:r>
        <w:r>
          <w:rPr>
            <w:noProof/>
            <w:webHidden/>
          </w:rPr>
          <w:instrText xml:space="preserve"> PAGEREF _Toc95140617 \h </w:instrText>
        </w:r>
        <w:r>
          <w:rPr>
            <w:noProof/>
          </w:rPr>
        </w:r>
        <w:r>
          <w:rPr>
            <w:noProof/>
            <w:webHidden/>
          </w:rPr>
          <w:fldChar w:fldCharType="separate"/>
        </w:r>
        <w:r w:rsidR="002B1815">
          <w:rPr>
            <w:noProof/>
            <w:webHidden/>
          </w:rPr>
          <w:t>89</w:t>
        </w:r>
        <w:r>
          <w:rPr>
            <w:noProof/>
            <w:webHidden/>
          </w:rPr>
          <w:fldChar w:fldCharType="end"/>
        </w:r>
      </w:hyperlink>
    </w:p>
    <w:p w:rsidR="00012172" w:rsidRDefault="00012172">
      <w:pPr>
        <w:pStyle w:val="Sadraj1"/>
        <w:tabs>
          <w:tab w:val="right" w:leader="dot" w:pos="9074"/>
        </w:tabs>
        <w:rPr>
          <w:b w:val="0"/>
          <w:bCs w:val="0"/>
          <w:noProof/>
        </w:rPr>
      </w:pPr>
      <w:hyperlink w:anchor="_Toc95140618" w:history="1">
        <w:r>
          <w:rPr>
            <w:rStyle w:val="Hiperveza"/>
            <w:noProof/>
          </w:rPr>
          <w:t>4. Uvjeti smještaja društvenih djelatnosti</w:t>
        </w:r>
        <w:r>
          <w:rPr>
            <w:noProof/>
            <w:webHidden/>
          </w:rPr>
          <w:tab/>
        </w:r>
        <w:r>
          <w:rPr>
            <w:noProof/>
            <w:webHidden/>
          </w:rPr>
          <w:fldChar w:fldCharType="begin"/>
        </w:r>
        <w:r>
          <w:rPr>
            <w:noProof/>
            <w:webHidden/>
          </w:rPr>
          <w:instrText xml:space="preserve"> PAGEREF _Toc95140618 \h </w:instrText>
        </w:r>
        <w:r>
          <w:rPr>
            <w:noProof/>
          </w:rPr>
        </w:r>
        <w:r>
          <w:rPr>
            <w:noProof/>
            <w:webHidden/>
          </w:rPr>
          <w:fldChar w:fldCharType="separate"/>
        </w:r>
        <w:r w:rsidR="002B1815">
          <w:rPr>
            <w:noProof/>
            <w:webHidden/>
          </w:rPr>
          <w:t>92</w:t>
        </w:r>
        <w:r>
          <w:rPr>
            <w:noProof/>
            <w:webHidden/>
          </w:rPr>
          <w:fldChar w:fldCharType="end"/>
        </w:r>
      </w:hyperlink>
    </w:p>
    <w:p w:rsidR="00012172" w:rsidRDefault="00012172">
      <w:pPr>
        <w:pStyle w:val="Sadraj1"/>
        <w:tabs>
          <w:tab w:val="right" w:leader="dot" w:pos="9074"/>
        </w:tabs>
        <w:rPr>
          <w:b w:val="0"/>
          <w:bCs w:val="0"/>
          <w:noProof/>
        </w:rPr>
      </w:pPr>
      <w:hyperlink w:anchor="_Toc95140619" w:history="1">
        <w:r>
          <w:rPr>
            <w:rStyle w:val="Hiperveza"/>
            <w:noProof/>
          </w:rPr>
          <w:t>5. Uvjeti utvrđivanja koridora ili trasa i površina prometnih i drugih infrastrukturnih sustava</w:t>
        </w:r>
        <w:r>
          <w:rPr>
            <w:noProof/>
            <w:webHidden/>
          </w:rPr>
          <w:tab/>
        </w:r>
        <w:r>
          <w:rPr>
            <w:noProof/>
            <w:webHidden/>
          </w:rPr>
          <w:fldChar w:fldCharType="begin"/>
        </w:r>
        <w:r>
          <w:rPr>
            <w:noProof/>
            <w:webHidden/>
          </w:rPr>
          <w:instrText xml:space="preserve"> PAGEREF _Toc95140619 \h </w:instrText>
        </w:r>
        <w:r>
          <w:rPr>
            <w:noProof/>
          </w:rPr>
        </w:r>
        <w:r>
          <w:rPr>
            <w:noProof/>
            <w:webHidden/>
          </w:rPr>
          <w:fldChar w:fldCharType="separate"/>
        </w:r>
        <w:r w:rsidR="002B1815">
          <w:rPr>
            <w:noProof/>
            <w:webHidden/>
          </w:rPr>
          <w:t>92</w:t>
        </w:r>
        <w:r>
          <w:rPr>
            <w:noProof/>
            <w:webHidden/>
          </w:rPr>
          <w:fldChar w:fldCharType="end"/>
        </w:r>
      </w:hyperlink>
    </w:p>
    <w:p w:rsidR="00012172" w:rsidRDefault="00012172">
      <w:pPr>
        <w:pStyle w:val="Sadraj1"/>
        <w:tabs>
          <w:tab w:val="right" w:leader="dot" w:pos="9074"/>
        </w:tabs>
        <w:rPr>
          <w:b w:val="0"/>
          <w:bCs w:val="0"/>
          <w:noProof/>
        </w:rPr>
      </w:pPr>
      <w:hyperlink w:anchor="_Toc95140620" w:history="1">
        <w:r>
          <w:rPr>
            <w:rStyle w:val="Hiperveza"/>
            <w:noProof/>
          </w:rPr>
          <w:t>6. Mjere zaštite krajobraznih i prirodnih vrijednosti i kulturno-povijesnih cjelina</w:t>
        </w:r>
        <w:r>
          <w:rPr>
            <w:noProof/>
            <w:webHidden/>
          </w:rPr>
          <w:tab/>
        </w:r>
        <w:r>
          <w:rPr>
            <w:noProof/>
            <w:webHidden/>
          </w:rPr>
          <w:fldChar w:fldCharType="begin"/>
        </w:r>
        <w:r>
          <w:rPr>
            <w:noProof/>
            <w:webHidden/>
          </w:rPr>
          <w:instrText xml:space="preserve"> PAGEREF _Toc95140620 \h </w:instrText>
        </w:r>
        <w:r>
          <w:rPr>
            <w:noProof/>
          </w:rPr>
        </w:r>
        <w:r>
          <w:rPr>
            <w:noProof/>
            <w:webHidden/>
          </w:rPr>
          <w:fldChar w:fldCharType="separate"/>
        </w:r>
        <w:r w:rsidR="002B1815">
          <w:rPr>
            <w:noProof/>
            <w:webHidden/>
          </w:rPr>
          <w:t>97</w:t>
        </w:r>
        <w:r>
          <w:rPr>
            <w:noProof/>
            <w:webHidden/>
          </w:rPr>
          <w:fldChar w:fldCharType="end"/>
        </w:r>
      </w:hyperlink>
    </w:p>
    <w:p w:rsidR="00012172" w:rsidRDefault="00012172">
      <w:pPr>
        <w:pStyle w:val="Sadraj1"/>
        <w:tabs>
          <w:tab w:val="right" w:leader="dot" w:pos="9074"/>
        </w:tabs>
        <w:rPr>
          <w:b w:val="0"/>
          <w:bCs w:val="0"/>
          <w:noProof/>
        </w:rPr>
      </w:pPr>
      <w:hyperlink w:anchor="_Toc95140621" w:history="1">
        <w:r>
          <w:rPr>
            <w:rStyle w:val="Hiperveza"/>
            <w:noProof/>
          </w:rPr>
          <w:t>7. Postupanje s otpadom</w:t>
        </w:r>
        <w:r>
          <w:rPr>
            <w:noProof/>
            <w:webHidden/>
          </w:rPr>
          <w:tab/>
        </w:r>
        <w:r>
          <w:rPr>
            <w:noProof/>
            <w:webHidden/>
          </w:rPr>
          <w:fldChar w:fldCharType="begin"/>
        </w:r>
        <w:r>
          <w:rPr>
            <w:noProof/>
            <w:webHidden/>
          </w:rPr>
          <w:instrText xml:space="preserve"> PAGEREF _Toc95140621 \h </w:instrText>
        </w:r>
        <w:r>
          <w:rPr>
            <w:noProof/>
          </w:rPr>
        </w:r>
        <w:r>
          <w:rPr>
            <w:noProof/>
            <w:webHidden/>
          </w:rPr>
          <w:fldChar w:fldCharType="separate"/>
        </w:r>
        <w:r w:rsidR="002B1815">
          <w:rPr>
            <w:noProof/>
            <w:webHidden/>
          </w:rPr>
          <w:t>101</w:t>
        </w:r>
        <w:r>
          <w:rPr>
            <w:noProof/>
            <w:webHidden/>
          </w:rPr>
          <w:fldChar w:fldCharType="end"/>
        </w:r>
      </w:hyperlink>
    </w:p>
    <w:p w:rsidR="00012172" w:rsidRDefault="00012172">
      <w:pPr>
        <w:pStyle w:val="Sadraj1"/>
        <w:tabs>
          <w:tab w:val="right" w:leader="dot" w:pos="9074"/>
        </w:tabs>
        <w:rPr>
          <w:b w:val="0"/>
          <w:bCs w:val="0"/>
          <w:noProof/>
        </w:rPr>
      </w:pPr>
      <w:hyperlink w:anchor="_Toc95140622" w:history="1">
        <w:r>
          <w:rPr>
            <w:rStyle w:val="Hiperveza"/>
            <w:noProof/>
          </w:rPr>
          <w:t>8. Mjere sprječavanja nepovoljna utjecaja na okoliš</w:t>
        </w:r>
        <w:r>
          <w:rPr>
            <w:noProof/>
            <w:webHidden/>
          </w:rPr>
          <w:tab/>
        </w:r>
        <w:r>
          <w:rPr>
            <w:noProof/>
            <w:webHidden/>
          </w:rPr>
          <w:fldChar w:fldCharType="begin"/>
        </w:r>
        <w:r>
          <w:rPr>
            <w:noProof/>
            <w:webHidden/>
          </w:rPr>
          <w:instrText xml:space="preserve"> PAGEREF _Toc95140622 \h </w:instrText>
        </w:r>
        <w:r>
          <w:rPr>
            <w:noProof/>
          </w:rPr>
        </w:r>
        <w:r>
          <w:rPr>
            <w:noProof/>
            <w:webHidden/>
          </w:rPr>
          <w:fldChar w:fldCharType="separate"/>
        </w:r>
        <w:r w:rsidR="002B1815">
          <w:rPr>
            <w:noProof/>
            <w:webHidden/>
          </w:rPr>
          <w:t>102</w:t>
        </w:r>
        <w:r>
          <w:rPr>
            <w:noProof/>
            <w:webHidden/>
          </w:rPr>
          <w:fldChar w:fldCharType="end"/>
        </w:r>
      </w:hyperlink>
    </w:p>
    <w:p w:rsidR="00012172" w:rsidRDefault="00012172">
      <w:pPr>
        <w:pStyle w:val="Sadraj1"/>
        <w:tabs>
          <w:tab w:val="right" w:leader="dot" w:pos="9074"/>
        </w:tabs>
        <w:rPr>
          <w:b w:val="0"/>
          <w:bCs w:val="0"/>
          <w:noProof/>
        </w:rPr>
      </w:pPr>
      <w:hyperlink w:anchor="_Toc95140623" w:history="1">
        <w:r>
          <w:rPr>
            <w:rStyle w:val="Hiperveza"/>
            <w:noProof/>
          </w:rPr>
          <w:t>9. Mjere provedbe plana</w:t>
        </w:r>
        <w:r>
          <w:rPr>
            <w:noProof/>
            <w:webHidden/>
          </w:rPr>
          <w:tab/>
        </w:r>
        <w:r>
          <w:rPr>
            <w:noProof/>
            <w:webHidden/>
          </w:rPr>
          <w:fldChar w:fldCharType="begin"/>
        </w:r>
        <w:r>
          <w:rPr>
            <w:noProof/>
            <w:webHidden/>
          </w:rPr>
          <w:instrText xml:space="preserve"> PAGEREF _Toc95140623 \h </w:instrText>
        </w:r>
        <w:r>
          <w:rPr>
            <w:noProof/>
          </w:rPr>
        </w:r>
        <w:r>
          <w:rPr>
            <w:noProof/>
            <w:webHidden/>
          </w:rPr>
          <w:fldChar w:fldCharType="separate"/>
        </w:r>
        <w:r w:rsidR="002B1815">
          <w:rPr>
            <w:noProof/>
            <w:webHidden/>
          </w:rPr>
          <w:t>103</w:t>
        </w:r>
        <w:r>
          <w:rPr>
            <w:noProof/>
            <w:webHidden/>
          </w:rPr>
          <w:fldChar w:fldCharType="end"/>
        </w:r>
      </w:hyperlink>
    </w:p>
    <w:p w:rsidR="00012172" w:rsidRDefault="00012172">
      <w:pPr>
        <w:pStyle w:val="Sadraj2"/>
        <w:tabs>
          <w:tab w:val="right" w:leader="dot" w:pos="9074"/>
        </w:tabs>
        <w:rPr>
          <w:noProof/>
        </w:rPr>
      </w:pPr>
      <w:hyperlink w:anchor="_Toc95140624" w:history="1">
        <w:r>
          <w:rPr>
            <w:rStyle w:val="Hiperveza"/>
            <w:noProof/>
          </w:rPr>
          <w:t>9.1. Obveza izrade pr</w:t>
        </w:r>
        <w:r>
          <w:rPr>
            <w:rStyle w:val="Hiperveza"/>
            <w:noProof/>
          </w:rPr>
          <w:t>o</w:t>
        </w:r>
        <w:r>
          <w:rPr>
            <w:rStyle w:val="Hiperveza"/>
            <w:noProof/>
          </w:rPr>
          <w:t>stornih planova</w:t>
        </w:r>
        <w:r>
          <w:rPr>
            <w:noProof/>
            <w:webHidden/>
          </w:rPr>
          <w:tab/>
        </w:r>
        <w:r>
          <w:rPr>
            <w:noProof/>
            <w:webHidden/>
          </w:rPr>
          <w:fldChar w:fldCharType="begin"/>
        </w:r>
        <w:r>
          <w:rPr>
            <w:noProof/>
            <w:webHidden/>
          </w:rPr>
          <w:instrText xml:space="preserve"> PAGEREF _Toc95140624 \h </w:instrText>
        </w:r>
        <w:r>
          <w:rPr>
            <w:noProof/>
          </w:rPr>
        </w:r>
        <w:r>
          <w:rPr>
            <w:noProof/>
            <w:webHidden/>
          </w:rPr>
          <w:fldChar w:fldCharType="separate"/>
        </w:r>
        <w:r w:rsidR="002B1815">
          <w:rPr>
            <w:noProof/>
            <w:webHidden/>
          </w:rPr>
          <w:t>103</w:t>
        </w:r>
        <w:r>
          <w:rPr>
            <w:noProof/>
            <w:webHidden/>
          </w:rPr>
          <w:fldChar w:fldCharType="end"/>
        </w:r>
      </w:hyperlink>
    </w:p>
    <w:p w:rsidR="00012172" w:rsidRDefault="00012172">
      <w:pPr>
        <w:pStyle w:val="Sadraj2"/>
        <w:tabs>
          <w:tab w:val="right" w:leader="dot" w:pos="9074"/>
        </w:tabs>
        <w:rPr>
          <w:noProof/>
        </w:rPr>
      </w:pPr>
      <w:hyperlink w:anchor="_Toc95140625" w:history="1">
        <w:r>
          <w:rPr>
            <w:rStyle w:val="Hiperveza"/>
            <w:noProof/>
          </w:rPr>
          <w:t>9.2. Primjena posebnih razvojnih i drugih mjera</w:t>
        </w:r>
        <w:r>
          <w:rPr>
            <w:noProof/>
            <w:webHidden/>
          </w:rPr>
          <w:tab/>
        </w:r>
        <w:r>
          <w:rPr>
            <w:noProof/>
            <w:webHidden/>
          </w:rPr>
          <w:fldChar w:fldCharType="begin"/>
        </w:r>
        <w:r>
          <w:rPr>
            <w:noProof/>
            <w:webHidden/>
          </w:rPr>
          <w:instrText xml:space="preserve"> PAGEREF _Toc95140625 \h </w:instrText>
        </w:r>
        <w:r>
          <w:rPr>
            <w:noProof/>
          </w:rPr>
        </w:r>
        <w:r>
          <w:rPr>
            <w:noProof/>
            <w:webHidden/>
          </w:rPr>
          <w:fldChar w:fldCharType="separate"/>
        </w:r>
        <w:r w:rsidR="002B1815">
          <w:rPr>
            <w:noProof/>
            <w:webHidden/>
          </w:rPr>
          <w:t>103</w:t>
        </w:r>
        <w:r>
          <w:rPr>
            <w:noProof/>
            <w:webHidden/>
          </w:rPr>
          <w:fldChar w:fldCharType="end"/>
        </w:r>
      </w:hyperlink>
    </w:p>
    <w:p w:rsidR="00012172" w:rsidRDefault="00012172">
      <w:pPr>
        <w:pStyle w:val="Sadraj2"/>
        <w:tabs>
          <w:tab w:val="right" w:leader="dot" w:pos="9074"/>
        </w:tabs>
        <w:rPr>
          <w:noProof/>
        </w:rPr>
      </w:pPr>
      <w:hyperlink w:anchor="_Toc95140626" w:history="1">
        <w:r>
          <w:rPr>
            <w:rStyle w:val="Hiperveza"/>
            <w:noProof/>
          </w:rPr>
          <w:t>9.3. Rekonstrukcija građevina čija je namjena protivna planiranoj namjeni.</w:t>
        </w:r>
        <w:r>
          <w:rPr>
            <w:noProof/>
            <w:webHidden/>
          </w:rPr>
          <w:tab/>
        </w:r>
        <w:r>
          <w:rPr>
            <w:noProof/>
            <w:webHidden/>
          </w:rPr>
          <w:fldChar w:fldCharType="begin"/>
        </w:r>
        <w:r>
          <w:rPr>
            <w:noProof/>
            <w:webHidden/>
          </w:rPr>
          <w:instrText xml:space="preserve"> PAGEREF _Toc95140626 \h </w:instrText>
        </w:r>
        <w:r>
          <w:rPr>
            <w:noProof/>
          </w:rPr>
        </w:r>
        <w:r>
          <w:rPr>
            <w:noProof/>
            <w:webHidden/>
          </w:rPr>
          <w:fldChar w:fldCharType="separate"/>
        </w:r>
        <w:r w:rsidR="002B1815">
          <w:rPr>
            <w:noProof/>
            <w:webHidden/>
          </w:rPr>
          <w:t>104</w:t>
        </w:r>
        <w:r>
          <w:rPr>
            <w:noProof/>
            <w:webHidden/>
          </w:rPr>
          <w:fldChar w:fldCharType="end"/>
        </w:r>
      </w:hyperlink>
    </w:p>
    <w:p w:rsidR="00012172" w:rsidRDefault="00012172">
      <w:pPr>
        <w:pStyle w:val="Sadraj1"/>
        <w:tabs>
          <w:tab w:val="left" w:pos="720"/>
          <w:tab w:val="right" w:leader="dot" w:pos="9074"/>
        </w:tabs>
        <w:rPr>
          <w:b w:val="0"/>
          <w:bCs w:val="0"/>
          <w:noProof/>
        </w:rPr>
      </w:pPr>
      <w:hyperlink w:anchor="_Toc95140627" w:history="1">
        <w:r>
          <w:rPr>
            <w:rStyle w:val="Hiperveza"/>
            <w:noProof/>
          </w:rPr>
          <w:t>III.</w:t>
        </w:r>
        <w:r>
          <w:rPr>
            <w:b w:val="0"/>
            <w:bCs w:val="0"/>
            <w:noProof/>
          </w:rPr>
          <w:tab/>
        </w:r>
        <w:r>
          <w:rPr>
            <w:rStyle w:val="Hiperveza"/>
            <w:noProof/>
          </w:rPr>
          <w:t>PRIJELAZNE I ZAVRŠNE ODREDBE</w:t>
        </w:r>
        <w:r>
          <w:rPr>
            <w:noProof/>
            <w:webHidden/>
          </w:rPr>
          <w:tab/>
        </w:r>
        <w:r>
          <w:rPr>
            <w:noProof/>
            <w:webHidden/>
          </w:rPr>
          <w:fldChar w:fldCharType="begin"/>
        </w:r>
        <w:r>
          <w:rPr>
            <w:noProof/>
            <w:webHidden/>
          </w:rPr>
          <w:instrText xml:space="preserve"> PAGEREF _Toc95140627 \h </w:instrText>
        </w:r>
        <w:r>
          <w:rPr>
            <w:noProof/>
          </w:rPr>
        </w:r>
        <w:r>
          <w:rPr>
            <w:noProof/>
            <w:webHidden/>
          </w:rPr>
          <w:fldChar w:fldCharType="separate"/>
        </w:r>
        <w:r w:rsidR="002B1815">
          <w:rPr>
            <w:noProof/>
            <w:webHidden/>
          </w:rPr>
          <w:t>104</w:t>
        </w:r>
        <w:r>
          <w:rPr>
            <w:noProof/>
            <w:webHidden/>
          </w:rPr>
          <w:fldChar w:fldCharType="end"/>
        </w:r>
      </w:hyperlink>
    </w:p>
    <w:p w:rsidR="00012172" w:rsidRDefault="00012172">
      <w:pPr>
        <w:rPr>
          <w:b/>
        </w:rPr>
      </w:pPr>
      <w:r>
        <w:rPr>
          <w:bCs/>
        </w:rPr>
        <w:fldChar w:fldCharType="end"/>
      </w:r>
    </w:p>
    <w:p w:rsidR="00012172" w:rsidRDefault="00012172">
      <w:pPr>
        <w:rPr>
          <w:b/>
        </w:rPr>
      </w:pPr>
    </w:p>
    <w:p w:rsidR="00012172" w:rsidRDefault="00012172">
      <w:pPr>
        <w:rPr>
          <w:b/>
        </w:rPr>
      </w:pPr>
      <w:r>
        <w:rPr>
          <w:b/>
        </w:rPr>
        <w:t>Dokumentacija  i suradnja</w:t>
      </w:r>
    </w:p>
    <w:p w:rsidR="00012172" w:rsidRDefault="00012172">
      <w:r>
        <w:t>a) Pregled korištenih relevantnih dokumenata</w:t>
      </w:r>
    </w:p>
    <w:p w:rsidR="00012172" w:rsidRDefault="00012172">
      <w:r>
        <w:t>b) Suradnja tijela, ustanova i subjekata</w:t>
      </w:r>
    </w:p>
    <w:p w:rsidR="00012172" w:rsidRDefault="00012172"/>
    <w:p w:rsidR="00012172" w:rsidRDefault="00012172"/>
    <w:p w:rsidR="00012172" w:rsidRDefault="00012172">
      <w:pPr>
        <w:rPr>
          <w:sz w:val="22"/>
        </w:rPr>
      </w:pPr>
      <w:r>
        <w:rPr>
          <w:sz w:val="22"/>
        </w:rPr>
        <w:t>POPIS SLIKA</w:t>
      </w:r>
    </w:p>
    <w:p w:rsidR="00012172" w:rsidRDefault="00012172">
      <w:pPr>
        <w:rPr>
          <w:sz w:val="22"/>
        </w:rPr>
      </w:pPr>
      <w:r>
        <w:rPr>
          <w:sz w:val="22"/>
        </w:rPr>
        <w:t>POPIS TABLICA</w:t>
      </w:r>
    </w:p>
    <w:p w:rsidR="00012172" w:rsidRDefault="00012172">
      <w:pPr>
        <w:pStyle w:val="Sadraj1"/>
      </w:pPr>
    </w:p>
    <w:p w:rsidR="00012172" w:rsidRDefault="00012172"/>
    <w:p w:rsidR="00012172" w:rsidRDefault="00012172"/>
    <w:p w:rsidR="00012172" w:rsidRDefault="00012172">
      <w:pPr>
        <w:rPr>
          <w:sz w:val="22"/>
          <w:szCs w:val="22"/>
        </w:rPr>
      </w:pPr>
      <w:r>
        <w:rPr>
          <w:sz w:val="22"/>
          <w:szCs w:val="22"/>
        </w:rPr>
        <w:t>GRAFIČKI DIO</w:t>
      </w:r>
    </w:p>
    <w:p w:rsidR="00012172" w:rsidRDefault="00012172">
      <w:pPr>
        <w:rPr>
          <w:sz w:val="22"/>
          <w:szCs w:val="22"/>
        </w:rPr>
      </w:pPr>
    </w:p>
    <w:p w:rsidR="00012172" w:rsidRDefault="00012172">
      <w:pPr>
        <w:rPr>
          <w:sz w:val="22"/>
          <w:szCs w:val="22"/>
        </w:rPr>
      </w:pPr>
      <w:r>
        <w:rPr>
          <w:sz w:val="22"/>
          <w:szCs w:val="22"/>
        </w:rPr>
        <w:t xml:space="preserve">1. KORIŠTENJE I NAMJENA POVRŠINA </w:t>
      </w:r>
      <w:r>
        <w:rPr>
          <w:sz w:val="22"/>
          <w:szCs w:val="22"/>
        </w:rPr>
        <w:tab/>
      </w:r>
      <w:r>
        <w:rPr>
          <w:sz w:val="22"/>
          <w:szCs w:val="22"/>
        </w:rPr>
        <w:tab/>
      </w:r>
      <w:r>
        <w:rPr>
          <w:sz w:val="22"/>
          <w:szCs w:val="22"/>
        </w:rPr>
        <w:tab/>
      </w:r>
      <w:r>
        <w:rPr>
          <w:sz w:val="22"/>
          <w:szCs w:val="22"/>
        </w:rPr>
        <w:tab/>
      </w:r>
      <w:r>
        <w:rPr>
          <w:sz w:val="22"/>
          <w:szCs w:val="22"/>
        </w:rPr>
        <w:tab/>
      </w:r>
      <w:r>
        <w:rPr>
          <w:sz w:val="22"/>
          <w:szCs w:val="22"/>
        </w:rPr>
        <w:tab/>
        <w:t>1: 25.000</w:t>
      </w:r>
    </w:p>
    <w:p w:rsidR="00012172" w:rsidRDefault="00012172">
      <w:pPr>
        <w:rPr>
          <w:sz w:val="22"/>
          <w:szCs w:val="22"/>
        </w:rPr>
      </w:pPr>
      <w:r>
        <w:rPr>
          <w:sz w:val="22"/>
          <w:szCs w:val="22"/>
        </w:rPr>
        <w:t xml:space="preserve">2. INFRASTRUKTURNI SUSTAVI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1: 25.000</w:t>
      </w:r>
    </w:p>
    <w:p w:rsidR="00012172" w:rsidRDefault="00012172">
      <w:pPr>
        <w:rPr>
          <w:sz w:val="22"/>
          <w:szCs w:val="22"/>
        </w:rPr>
      </w:pPr>
      <w:r>
        <w:rPr>
          <w:sz w:val="22"/>
          <w:szCs w:val="22"/>
        </w:rPr>
        <w:t xml:space="preserve">3. UVJETI ZA KORIŠTENJE, UREĐENJE I ZAŠTITU PROSTORA </w:t>
      </w:r>
      <w:r>
        <w:rPr>
          <w:sz w:val="22"/>
          <w:szCs w:val="22"/>
        </w:rPr>
        <w:tab/>
      </w:r>
      <w:r>
        <w:rPr>
          <w:sz w:val="22"/>
          <w:szCs w:val="22"/>
        </w:rPr>
        <w:tab/>
      </w:r>
      <w:r>
        <w:rPr>
          <w:sz w:val="22"/>
          <w:szCs w:val="22"/>
        </w:rPr>
        <w:tab/>
        <w:t>1: 25.000</w:t>
      </w:r>
    </w:p>
    <w:p w:rsidR="00012172" w:rsidRDefault="00012172">
      <w:pPr>
        <w:rPr>
          <w:sz w:val="22"/>
          <w:szCs w:val="22"/>
        </w:rPr>
      </w:pPr>
    </w:p>
    <w:p w:rsidR="00012172" w:rsidRDefault="00012172">
      <w:pPr>
        <w:rPr>
          <w:sz w:val="22"/>
          <w:szCs w:val="22"/>
        </w:rPr>
      </w:pPr>
      <w:r>
        <w:rPr>
          <w:sz w:val="22"/>
          <w:szCs w:val="22"/>
        </w:rPr>
        <w:t>4. GRAĐEVINSKA PODRUČJA NASELJA:</w:t>
      </w:r>
    </w:p>
    <w:p w:rsidR="00012172" w:rsidRDefault="00012172">
      <w:pPr>
        <w:rPr>
          <w:sz w:val="22"/>
          <w:szCs w:val="22"/>
        </w:rPr>
      </w:pPr>
      <w:r>
        <w:rPr>
          <w:sz w:val="22"/>
          <w:szCs w:val="22"/>
        </w:rPr>
        <w:t>4.1. Deklešanec, Dropkovec, Gornja Rijeka, Štrigovec, Kostanjevec Riječki</w:t>
      </w:r>
      <w:r>
        <w:rPr>
          <w:sz w:val="22"/>
          <w:szCs w:val="22"/>
        </w:rPr>
        <w:tab/>
      </w:r>
      <w:r>
        <w:rPr>
          <w:sz w:val="22"/>
          <w:szCs w:val="22"/>
        </w:rPr>
        <w:tab/>
        <w:t>1: 5.000</w:t>
      </w:r>
    </w:p>
    <w:p w:rsidR="00012172" w:rsidRDefault="00012172">
      <w:pPr>
        <w:rPr>
          <w:sz w:val="22"/>
          <w:szCs w:val="22"/>
        </w:rPr>
      </w:pPr>
      <w:r>
        <w:rPr>
          <w:sz w:val="22"/>
          <w:szCs w:val="22"/>
        </w:rPr>
        <w:t>4.2. Fodrovec Riječki, Kolarec, Pofuki, Vukšinec Riječki</w:t>
      </w:r>
      <w:r>
        <w:rPr>
          <w:sz w:val="22"/>
          <w:szCs w:val="22"/>
        </w:rPr>
        <w:tab/>
        <w:t xml:space="preserve"> </w:t>
      </w:r>
      <w:r>
        <w:rPr>
          <w:sz w:val="22"/>
          <w:szCs w:val="22"/>
        </w:rPr>
        <w:tab/>
      </w:r>
      <w:r>
        <w:rPr>
          <w:sz w:val="22"/>
          <w:szCs w:val="22"/>
        </w:rPr>
        <w:tab/>
      </w:r>
      <w:r>
        <w:rPr>
          <w:sz w:val="22"/>
          <w:szCs w:val="22"/>
        </w:rPr>
        <w:tab/>
        <w:t>1: 5.000</w:t>
      </w:r>
    </w:p>
    <w:p w:rsidR="00012172" w:rsidRDefault="00012172">
      <w:pPr>
        <w:rPr>
          <w:sz w:val="22"/>
          <w:szCs w:val="22"/>
        </w:rPr>
      </w:pPr>
      <w:r>
        <w:rPr>
          <w:sz w:val="22"/>
          <w:szCs w:val="22"/>
        </w:rPr>
        <w:t>4.3. Barlabaševec, Donja Rijeka, Fajerovec, Lukačevec, Nemčevec</w:t>
      </w:r>
      <w:r>
        <w:rPr>
          <w:sz w:val="22"/>
          <w:szCs w:val="22"/>
        </w:rPr>
        <w:tab/>
      </w:r>
      <w:r>
        <w:rPr>
          <w:sz w:val="22"/>
          <w:szCs w:val="22"/>
        </w:rPr>
        <w:tab/>
      </w:r>
      <w:r>
        <w:rPr>
          <w:sz w:val="22"/>
          <w:szCs w:val="22"/>
        </w:rPr>
        <w:tab/>
        <w:t>1: 5.000</w:t>
      </w:r>
    </w:p>
    <w:p w:rsidR="00012172" w:rsidRDefault="00012172"/>
    <w:p w:rsidR="00012172" w:rsidRDefault="00012172">
      <w:pPr>
        <w:rPr>
          <w:b/>
          <w:sz w:val="28"/>
          <w:szCs w:val="22"/>
        </w:rPr>
      </w:pPr>
      <w:r>
        <w:rPr>
          <w:rFonts w:ascii="Arial" w:hAnsi="Arial" w:cs="Arial"/>
          <w:b/>
          <w:bCs/>
          <w:i/>
          <w:iCs/>
        </w:rPr>
        <w:br w:type="page"/>
      </w:r>
      <w:r>
        <w:rPr>
          <w:b/>
          <w:sz w:val="28"/>
          <w:szCs w:val="22"/>
        </w:rPr>
        <w:lastRenderedPageBreak/>
        <w:t>UVOD</w:t>
      </w:r>
    </w:p>
    <w:p w:rsidR="00012172" w:rsidRDefault="00012172">
      <w:pPr>
        <w:rPr>
          <w:b/>
          <w:szCs w:val="22"/>
        </w:rPr>
      </w:pPr>
    </w:p>
    <w:p w:rsidR="00012172" w:rsidRDefault="00012172">
      <w:pPr>
        <w:rPr>
          <w:b/>
          <w:szCs w:val="22"/>
        </w:rPr>
      </w:pPr>
    </w:p>
    <w:p w:rsidR="00012172" w:rsidRDefault="00012172">
      <w:pPr>
        <w:jc w:val="both"/>
        <w:rPr>
          <w:szCs w:val="22"/>
        </w:rPr>
      </w:pPr>
      <w:r>
        <w:rPr>
          <w:szCs w:val="22"/>
        </w:rPr>
        <w:t xml:space="preserve">U skladu sa Zakonom o prostornom uređenju („Narodne novine” broj 30/94, 68/98, 61/00,   32/02 i 100/04) i na temelju Programa mjera za unapređenje stanja u prostoru («Službeni glasnik Koprivničko-križevačke županije» broj 10/02) općina Gornja Rijeka pristupila je izradi Prostornog plana uređenja Općine Gornja Rijeka. </w:t>
      </w:r>
    </w:p>
    <w:p w:rsidR="00012172" w:rsidRDefault="00012172">
      <w:pPr>
        <w:jc w:val="both"/>
        <w:rPr>
          <w:szCs w:val="22"/>
        </w:rPr>
      </w:pPr>
    </w:p>
    <w:p w:rsidR="00012172" w:rsidRDefault="00012172">
      <w:pPr>
        <w:jc w:val="both"/>
        <w:rPr>
          <w:szCs w:val="22"/>
        </w:rPr>
      </w:pPr>
      <w:r>
        <w:rPr>
          <w:szCs w:val="22"/>
        </w:rPr>
        <w:t xml:space="preserve">U skladu sa Uredbom o javnoj raspravi u postupku donošenja prostornih planova (Narodne novine broj 101/98) u svrhu izrade nacrta prijedloga prostornog plana održana je </w:t>
      </w:r>
      <w:r>
        <w:t>29. studenog 2005. godine</w:t>
      </w:r>
      <w:r>
        <w:rPr>
          <w:szCs w:val="22"/>
        </w:rPr>
        <w:t xml:space="preserve"> prethodna stručna rasprava na kojoj su definirani ciljevi i moguća rješenja značajna za razvitak, uređenje i oblikovanje prostora na području obuhvata ovoga Plana. Usvajanjem Nacrta prijedloga prostornog plana uređenja općine Gornja Rijeka i Izvješća o prethodnoj stručnoj raspravi Općinsko vijeće utvrdilo je Prijedlog prostornog plana za javnu raspravu.</w:t>
      </w:r>
    </w:p>
    <w:p w:rsidR="00012172" w:rsidRDefault="00012172">
      <w:pPr>
        <w:jc w:val="both"/>
        <w:rPr>
          <w:szCs w:val="22"/>
        </w:rPr>
      </w:pPr>
    </w:p>
    <w:p w:rsidR="00FC10DE" w:rsidRPr="00FC10DE" w:rsidRDefault="00012172">
      <w:pPr>
        <w:jc w:val="both"/>
        <w:rPr>
          <w:rFonts w:cs="Arial"/>
          <w:bCs/>
          <w:szCs w:val="22"/>
        </w:rPr>
      </w:pPr>
      <w:r>
        <w:t xml:space="preserve">Javna rasprava trajala je od  23. 01. 2006. do  23. 02. 2006. godine. Javno izlaganje Prijedloga Prostornog plana uređenja organizirano je dana  09. 02. 2006., u  16. sati, </w:t>
      </w:r>
      <w:r>
        <w:rPr>
          <w:rFonts w:cs="Arial"/>
          <w:bCs/>
          <w:szCs w:val="22"/>
        </w:rPr>
        <w:t>u Gornjoj Rijeci.</w:t>
      </w:r>
      <w:r w:rsidR="00FC10DE">
        <w:rPr>
          <w:rFonts w:cs="Arial"/>
          <w:bCs/>
          <w:szCs w:val="22"/>
        </w:rPr>
        <w:t xml:space="preserve"> Konačni prijedlog prostornog plana uređenja Općine Gornja Rijeka usvojen je 25. travnja na 2. sjednici Općinskog poglavarstva Općine Gornja Rijeka.</w:t>
      </w:r>
    </w:p>
    <w:p w:rsidR="00012172" w:rsidRDefault="00012172">
      <w:pPr>
        <w:jc w:val="both"/>
        <w:rPr>
          <w:szCs w:val="22"/>
        </w:rPr>
      </w:pPr>
    </w:p>
    <w:p w:rsidR="00012172" w:rsidRDefault="00012172">
      <w:pPr>
        <w:jc w:val="both"/>
        <w:rPr>
          <w:rFonts w:ascii="Arial" w:hAnsi="Arial" w:cs="Arial"/>
          <w:sz w:val="22"/>
          <w:szCs w:val="22"/>
        </w:rPr>
      </w:pPr>
    </w:p>
    <w:p w:rsidR="00012172" w:rsidRDefault="00012172">
      <w:pPr>
        <w:jc w:val="both"/>
        <w:rPr>
          <w:rFonts w:ascii="Arial" w:hAnsi="Arial" w:cs="Arial"/>
          <w:sz w:val="22"/>
          <w:szCs w:val="22"/>
        </w:rPr>
      </w:pPr>
    </w:p>
    <w:p w:rsidR="00012172" w:rsidRDefault="00012172">
      <w:pPr>
        <w:pStyle w:val="StandardWeb"/>
        <w:jc w:val="both"/>
        <w:rPr>
          <w:sz w:val="32"/>
          <w:szCs w:val="32"/>
        </w:rPr>
      </w:pPr>
      <w:r>
        <w:rPr>
          <w:rFonts w:ascii="Arial" w:hAnsi="Arial" w:cs="Arial"/>
          <w:bCs/>
          <w:iCs/>
        </w:rPr>
        <w:br w:type="page"/>
      </w:r>
      <w:r>
        <w:rPr>
          <w:b/>
          <w:bCs/>
          <w:i/>
          <w:iCs/>
          <w:sz w:val="32"/>
          <w:szCs w:val="32"/>
        </w:rPr>
        <w:lastRenderedPageBreak/>
        <w:t>I. Obrazloženje</w:t>
      </w:r>
      <w:r>
        <w:rPr>
          <w:sz w:val="32"/>
          <w:szCs w:val="32"/>
        </w:rPr>
        <w:t xml:space="preserve"> </w:t>
      </w:r>
    </w:p>
    <w:p w:rsidR="00012172" w:rsidRDefault="00012172">
      <w:pPr>
        <w:pStyle w:val="Naslov1"/>
        <w:rPr>
          <w:rFonts w:ascii="Times New Roman" w:hAnsi="Times New Roman" w:cs="Times New Roman"/>
        </w:rPr>
      </w:pPr>
      <w:bookmarkStart w:id="1" w:name="_Toc95140572"/>
      <w:r>
        <w:rPr>
          <w:rFonts w:ascii="Times New Roman" w:hAnsi="Times New Roman" w:cs="Times New Roman"/>
        </w:rPr>
        <w:t>1. POLAZIŠTA</w:t>
      </w:r>
      <w:bookmarkEnd w:id="1"/>
      <w:r>
        <w:rPr>
          <w:rFonts w:ascii="Times New Roman" w:hAnsi="Times New Roman" w:cs="Times New Roman"/>
        </w:rPr>
        <w:t xml:space="preserve"> </w:t>
      </w:r>
    </w:p>
    <w:p w:rsidR="00012172" w:rsidRDefault="00012172">
      <w:pPr>
        <w:pStyle w:val="Naslov2"/>
        <w:rPr>
          <w:rFonts w:ascii="Times New Roman" w:hAnsi="Times New Roman" w:cs="Times New Roman"/>
        </w:rPr>
      </w:pPr>
      <w:bookmarkStart w:id="2" w:name="_Toc95140573"/>
      <w:r>
        <w:rPr>
          <w:rFonts w:ascii="Times New Roman" w:hAnsi="Times New Roman" w:cs="Times New Roman"/>
        </w:rPr>
        <w:t>1.1. Položaj, značaj i posebnosti područja općine u odnosu na prostor i sustave Županije i Države</w:t>
      </w:r>
      <w:bookmarkEnd w:id="2"/>
      <w:r>
        <w:rPr>
          <w:rFonts w:ascii="Times New Roman" w:hAnsi="Times New Roman" w:cs="Times New Roman"/>
        </w:rPr>
        <w:t xml:space="preserve"> </w:t>
      </w:r>
    </w:p>
    <w:p w:rsidR="00012172" w:rsidRDefault="00012172"/>
    <w:p w:rsidR="00012172" w:rsidRDefault="00012172"/>
    <w:p w:rsidR="00012172" w:rsidRDefault="008F6679">
      <w:r>
        <w:rPr>
          <w:noProof/>
        </w:rPr>
        <w:drawing>
          <wp:inline distT="0" distB="0" distL="0" distR="0">
            <wp:extent cx="5765800" cy="3822700"/>
            <wp:effectExtent l="19050" t="19050" r="25400" b="25400"/>
            <wp:docPr id="12" name="Slika 1" descr="poloz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oza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5800" cy="3822700"/>
                    </a:xfrm>
                    <a:prstGeom prst="rect">
                      <a:avLst/>
                    </a:prstGeom>
                    <a:noFill/>
                    <a:ln w="19050" cmpd="dbl">
                      <a:solidFill>
                        <a:srgbClr val="000000"/>
                      </a:solidFill>
                      <a:miter lim="800000"/>
                      <a:headEnd/>
                      <a:tailEnd/>
                    </a:ln>
                    <a:effectLst/>
                  </pic:spPr>
                </pic:pic>
              </a:graphicData>
            </a:graphic>
          </wp:inline>
        </w:drawing>
      </w:r>
    </w:p>
    <w:p w:rsidR="00012172" w:rsidRDefault="00012172">
      <w:pPr>
        <w:pStyle w:val="Opisslike"/>
        <w:rPr>
          <w:b/>
        </w:rPr>
      </w:pPr>
      <w:bookmarkStart w:id="3" w:name="_Toc135185914"/>
      <w:r>
        <w:rPr>
          <w:b/>
        </w:rPr>
        <w:t xml:space="preserve">Slika </w:t>
      </w:r>
      <w:r>
        <w:rPr>
          <w:b/>
        </w:rPr>
        <w:fldChar w:fldCharType="begin"/>
      </w:r>
      <w:r>
        <w:rPr>
          <w:b/>
        </w:rPr>
        <w:instrText xml:space="preserve"> SEQ Slika \* ARABIC </w:instrText>
      </w:r>
      <w:r>
        <w:rPr>
          <w:b/>
        </w:rPr>
        <w:fldChar w:fldCharType="separate"/>
      </w:r>
      <w:r w:rsidR="002B1815">
        <w:rPr>
          <w:b/>
          <w:noProof/>
        </w:rPr>
        <w:t>1</w:t>
      </w:r>
      <w:r>
        <w:rPr>
          <w:b/>
        </w:rPr>
        <w:fldChar w:fldCharType="end"/>
      </w:r>
      <w:r>
        <w:rPr>
          <w:b/>
        </w:rPr>
        <w:t xml:space="preserve">: Položaj Općine  </w:t>
      </w:r>
      <w:r>
        <w:rPr>
          <w:b/>
          <w:bCs w:val="0"/>
        </w:rPr>
        <w:t>Gornja Rijeka</w:t>
      </w:r>
      <w:r>
        <w:rPr>
          <w:b/>
        </w:rPr>
        <w:t xml:space="preserve"> u Koprivničko-križevačkoj županiji</w:t>
      </w:r>
      <w:bookmarkEnd w:id="3"/>
    </w:p>
    <w:p w:rsidR="00012172" w:rsidRDefault="00012172"/>
    <w:p w:rsidR="00012172" w:rsidRDefault="00012172"/>
    <w:p w:rsidR="00012172" w:rsidRDefault="00012172">
      <w:pPr>
        <w:pStyle w:val="Naslov2"/>
        <w:numPr>
          <w:ilvl w:val="2"/>
          <w:numId w:val="2"/>
        </w:numPr>
      </w:pPr>
      <w:bookmarkStart w:id="4" w:name="_Toc95140574"/>
      <w:r>
        <w:t>Osnovni podaci o stanju u prostoru</w:t>
      </w:r>
      <w:bookmarkEnd w:id="4"/>
      <w:r>
        <w:t xml:space="preserve"> </w:t>
      </w:r>
    </w:p>
    <w:p w:rsidR="00012172" w:rsidRDefault="00012172"/>
    <w:p w:rsidR="00012172" w:rsidRDefault="00012172">
      <w:pPr>
        <w:pStyle w:val="Naslov"/>
        <w:jc w:val="left"/>
        <w:rPr>
          <w:sz w:val="20"/>
        </w:rPr>
      </w:pPr>
    </w:p>
    <w:p w:rsidR="00012172" w:rsidRDefault="00012172">
      <w:pPr>
        <w:pStyle w:val="Naslov"/>
        <w:jc w:val="left"/>
        <w:rPr>
          <w:rFonts w:ascii="Arial" w:hAnsi="Arial" w:cs="Arial"/>
          <w:sz w:val="22"/>
          <w:szCs w:val="22"/>
        </w:rPr>
      </w:pPr>
      <w:r>
        <w:rPr>
          <w:rFonts w:ascii="Arial" w:hAnsi="Arial" w:cs="Arial"/>
          <w:sz w:val="22"/>
          <w:szCs w:val="22"/>
        </w:rPr>
        <w:t>Površina</w:t>
      </w:r>
    </w:p>
    <w:p w:rsidR="00012172" w:rsidRDefault="00012172">
      <w:pPr>
        <w:jc w:val="both"/>
      </w:pPr>
    </w:p>
    <w:p w:rsidR="00012172" w:rsidRDefault="00012172">
      <w:pPr>
        <w:jc w:val="both"/>
        <w:rPr>
          <w:rFonts w:ascii="Arial" w:hAnsi="Arial" w:cs="Arial"/>
          <w:sz w:val="22"/>
        </w:rPr>
      </w:pPr>
      <w:r>
        <w:rPr>
          <w:rFonts w:ascii="Arial" w:hAnsi="Arial" w:cs="Arial"/>
          <w:sz w:val="22"/>
        </w:rPr>
        <w:t>Općina Gornja Rijeka ima 2035 stanovnika i 32,72 km</w:t>
      </w:r>
      <w:r>
        <w:rPr>
          <w:rFonts w:ascii="Arial" w:hAnsi="Arial" w:cs="Arial"/>
          <w:sz w:val="22"/>
          <w:vertAlign w:val="superscript"/>
        </w:rPr>
        <w:t>2</w:t>
      </w:r>
      <w:r>
        <w:rPr>
          <w:rFonts w:ascii="Arial" w:hAnsi="Arial" w:cs="Arial"/>
          <w:sz w:val="22"/>
        </w:rPr>
        <w:t xml:space="preserve"> površine. Gustoća naseljenosti iznosi </w:t>
      </w:r>
      <w:smartTag w:uri="urn:schemas-microsoft-com:office:smarttags" w:element="metricconverter">
        <w:smartTagPr>
          <w:attr w:name="ProductID" w:val="62,2 st"/>
        </w:smartTagPr>
        <w:r>
          <w:rPr>
            <w:rFonts w:ascii="Arial" w:hAnsi="Arial" w:cs="Arial"/>
            <w:sz w:val="22"/>
          </w:rPr>
          <w:t>62,2 st</w:t>
        </w:r>
      </w:smartTag>
      <w:r>
        <w:rPr>
          <w:rFonts w:ascii="Arial" w:hAnsi="Arial" w:cs="Arial"/>
          <w:sz w:val="22"/>
        </w:rPr>
        <w:t>./km</w:t>
      </w:r>
      <w:r>
        <w:rPr>
          <w:rFonts w:ascii="Arial" w:hAnsi="Arial" w:cs="Arial"/>
          <w:sz w:val="22"/>
          <w:vertAlign w:val="superscript"/>
        </w:rPr>
        <w:t>2</w:t>
      </w:r>
      <w:r>
        <w:rPr>
          <w:rFonts w:ascii="Arial" w:hAnsi="Arial" w:cs="Arial"/>
          <w:sz w:val="22"/>
        </w:rPr>
        <w:t xml:space="preserve">. </w:t>
      </w:r>
    </w:p>
    <w:p w:rsidR="00012172" w:rsidRDefault="00012172">
      <w:pPr>
        <w:jc w:val="both"/>
        <w:rPr>
          <w:rFonts w:ascii="Arial" w:hAnsi="Arial" w:cs="Arial"/>
          <w:sz w:val="22"/>
          <w:szCs w:val="22"/>
        </w:rPr>
      </w:pPr>
    </w:p>
    <w:p w:rsidR="00012172" w:rsidRDefault="00012172">
      <w:pPr>
        <w:rPr>
          <w:rFonts w:ascii="Arial" w:hAnsi="Arial" w:cs="Arial"/>
          <w:b/>
          <w:sz w:val="22"/>
          <w:lang w:val="en-AU"/>
        </w:rPr>
      </w:pPr>
    </w:p>
    <w:p w:rsidR="00012172" w:rsidRDefault="00012172">
      <w:pPr>
        <w:rPr>
          <w:rFonts w:ascii="Arial" w:hAnsi="Arial" w:cs="Arial"/>
          <w:b/>
          <w:sz w:val="22"/>
          <w:lang w:val="en-AU"/>
        </w:rPr>
      </w:pPr>
    </w:p>
    <w:p w:rsidR="00012172" w:rsidRDefault="00012172">
      <w:pPr>
        <w:rPr>
          <w:rFonts w:ascii="Arial" w:hAnsi="Arial" w:cs="Arial"/>
          <w:b/>
          <w:sz w:val="22"/>
          <w:lang w:val="en-AU"/>
        </w:rPr>
      </w:pPr>
    </w:p>
    <w:p w:rsidR="00012172" w:rsidRDefault="00012172">
      <w:pPr>
        <w:rPr>
          <w:rFonts w:ascii="Arial" w:hAnsi="Arial" w:cs="Arial"/>
          <w:b/>
          <w:sz w:val="22"/>
          <w:lang w:val="en-AU"/>
        </w:rPr>
      </w:pPr>
    </w:p>
    <w:p w:rsidR="00012172" w:rsidRDefault="00012172">
      <w:pPr>
        <w:rPr>
          <w:rFonts w:ascii="Arial" w:hAnsi="Arial" w:cs="Arial"/>
          <w:b/>
          <w:sz w:val="22"/>
          <w:lang w:val="en-AU"/>
        </w:rPr>
      </w:pPr>
    </w:p>
    <w:p w:rsidR="00012172" w:rsidRDefault="00012172">
      <w:pPr>
        <w:rPr>
          <w:rFonts w:ascii="Arial" w:hAnsi="Arial" w:cs="Arial"/>
          <w:b/>
          <w:sz w:val="22"/>
          <w:lang w:val="en-AU"/>
        </w:rPr>
      </w:pPr>
    </w:p>
    <w:p w:rsidR="00012172" w:rsidRDefault="00012172">
      <w:pPr>
        <w:rPr>
          <w:rFonts w:ascii="Arial" w:hAnsi="Arial" w:cs="Arial"/>
          <w:b/>
          <w:sz w:val="22"/>
          <w:lang w:val="en-AU"/>
        </w:rPr>
      </w:pPr>
    </w:p>
    <w:p w:rsidR="00012172" w:rsidRDefault="00012172">
      <w:pPr>
        <w:rPr>
          <w:rFonts w:ascii="Arial" w:hAnsi="Arial" w:cs="Arial"/>
          <w:b/>
          <w:sz w:val="22"/>
        </w:rPr>
      </w:pPr>
      <w:r>
        <w:rPr>
          <w:rFonts w:ascii="Arial" w:hAnsi="Arial" w:cs="Arial"/>
          <w:b/>
          <w:sz w:val="22"/>
          <w:lang w:val="en-AU"/>
        </w:rPr>
        <w:lastRenderedPageBreak/>
        <w:t>Stanovni</w:t>
      </w:r>
      <w:r>
        <w:rPr>
          <w:rFonts w:ascii="Arial" w:hAnsi="Arial" w:cs="Arial"/>
          <w:b/>
          <w:sz w:val="22"/>
        </w:rPr>
        <w:t>š</w:t>
      </w:r>
      <w:r>
        <w:rPr>
          <w:rFonts w:ascii="Arial" w:hAnsi="Arial" w:cs="Arial"/>
          <w:b/>
          <w:sz w:val="22"/>
          <w:lang w:val="en-AU"/>
        </w:rPr>
        <w:t>tvo</w:t>
      </w:r>
    </w:p>
    <w:p w:rsidR="00012172" w:rsidRDefault="00012172">
      <w:pPr>
        <w:pStyle w:val="Tijeloteksta"/>
        <w:jc w:val="both"/>
      </w:pPr>
    </w:p>
    <w:p w:rsidR="00012172" w:rsidRDefault="00012172">
      <w:pPr>
        <w:pStyle w:val="Tijeloteksta"/>
        <w:jc w:val="both"/>
        <w:rPr>
          <w:rFonts w:ascii="Arial" w:hAnsi="Arial" w:cs="Arial"/>
          <w:sz w:val="22"/>
        </w:rPr>
      </w:pPr>
      <w:r>
        <w:rPr>
          <w:rFonts w:ascii="Arial" w:hAnsi="Arial" w:cs="Arial"/>
          <w:sz w:val="22"/>
        </w:rPr>
        <w:t xml:space="preserve">Broj stanovnika u općini Gornja Rijeka smanjio se u razdoblju od 1948. do 2001. godine za 40,9%. Najveći pad zabilježila su najmanja naselja (Nemčevec –78,0%, Lukačevec –56,9% i Barlabaševec –54,2%) dok su najmanji pad zabilježila naselja Vukšinec Riječki (-21,7%) i Fodrovec Riječki (-25,2%). </w:t>
      </w:r>
    </w:p>
    <w:p w:rsidR="00012172" w:rsidRDefault="00012172"/>
    <w:p w:rsidR="00012172" w:rsidRDefault="00012172">
      <w:pPr>
        <w:pStyle w:val="Opisslike"/>
        <w:rPr>
          <w:b/>
          <w:bCs w:val="0"/>
        </w:rPr>
      </w:pPr>
      <w:bookmarkStart w:id="5" w:name="_Toc132763251"/>
      <w:r>
        <w:rPr>
          <w:b/>
          <w:bCs w:val="0"/>
        </w:rPr>
        <w:t xml:space="preserve">Tablica </w:t>
      </w:r>
      <w:r>
        <w:rPr>
          <w:b/>
          <w:bCs w:val="0"/>
        </w:rPr>
        <w:fldChar w:fldCharType="begin"/>
      </w:r>
      <w:r>
        <w:rPr>
          <w:b/>
          <w:bCs w:val="0"/>
        </w:rPr>
        <w:instrText xml:space="preserve"> SEQ Tablica \* ARABIC </w:instrText>
      </w:r>
      <w:r>
        <w:rPr>
          <w:b/>
          <w:bCs w:val="0"/>
        </w:rPr>
        <w:fldChar w:fldCharType="separate"/>
      </w:r>
      <w:r w:rsidR="002B1815">
        <w:rPr>
          <w:b/>
          <w:bCs w:val="0"/>
          <w:noProof/>
        </w:rPr>
        <w:t>1</w:t>
      </w:r>
      <w:r>
        <w:rPr>
          <w:b/>
          <w:bCs w:val="0"/>
        </w:rPr>
        <w:fldChar w:fldCharType="end"/>
      </w:r>
      <w:r>
        <w:rPr>
          <w:b/>
          <w:bCs w:val="0"/>
        </w:rPr>
        <w:t>: Stanovništvo općine Gornja Rijeka</w:t>
      </w:r>
      <w:bookmarkEnd w:id="5"/>
    </w:p>
    <w:tbl>
      <w:tblPr>
        <w:tblW w:w="0" w:type="auto"/>
        <w:tblInd w:w="28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F" w:firstRow="1" w:lastRow="0" w:firstColumn="1" w:lastColumn="0" w:noHBand="0" w:noVBand="0"/>
      </w:tblPr>
      <w:tblGrid>
        <w:gridCol w:w="2160"/>
        <w:gridCol w:w="900"/>
        <w:gridCol w:w="900"/>
        <w:gridCol w:w="900"/>
        <w:gridCol w:w="1080"/>
        <w:gridCol w:w="1080"/>
        <w:gridCol w:w="1800"/>
      </w:tblGrid>
      <w:tr w:rsidR="00012172">
        <w:tblPrEx>
          <w:tblCellMar>
            <w:top w:w="0" w:type="dxa"/>
            <w:bottom w:w="0" w:type="dxa"/>
          </w:tblCellMar>
        </w:tblPrEx>
        <w:trPr>
          <w:cantSplit/>
          <w:trHeight w:val="285"/>
        </w:trPr>
        <w:tc>
          <w:tcPr>
            <w:tcW w:w="2160" w:type="dxa"/>
            <w:vMerge w:val="restart"/>
            <w:tcBorders>
              <w:top w:val="double" w:sz="6" w:space="0" w:color="000000"/>
              <w:right w:val="double" w:sz="2" w:space="0" w:color="000000"/>
            </w:tcBorders>
            <w:vAlign w:val="center"/>
          </w:tcPr>
          <w:p w:rsidR="00012172" w:rsidRDefault="00012172">
            <w:pPr>
              <w:rPr>
                <w:sz w:val="18"/>
                <w:lang w:val="de-DE"/>
              </w:rPr>
            </w:pPr>
            <w:r>
              <w:rPr>
                <w:sz w:val="18"/>
                <w:lang w:val="de-DE"/>
              </w:rPr>
              <w:t>Općina</w:t>
            </w:r>
            <w:bookmarkStart w:id="6" w:name="_Toc512587476"/>
            <w:r>
              <w:rPr>
                <w:sz w:val="18"/>
                <w:lang w:val="de-DE"/>
              </w:rPr>
              <w:t xml:space="preserve">          </w:t>
            </w:r>
            <w:r>
              <w:rPr>
                <w:b/>
                <w:i/>
                <w:iCs/>
                <w:sz w:val="18"/>
                <w:lang w:val="de-DE"/>
              </w:rPr>
              <w:t>naziv naselja</w:t>
            </w:r>
            <w:bookmarkEnd w:id="6"/>
          </w:p>
        </w:tc>
        <w:tc>
          <w:tcPr>
            <w:tcW w:w="2700" w:type="dxa"/>
            <w:gridSpan w:val="3"/>
            <w:tcBorders>
              <w:top w:val="double" w:sz="6" w:space="0" w:color="000000"/>
              <w:left w:val="double" w:sz="2" w:space="0" w:color="000000"/>
              <w:bottom w:val="single" w:sz="4" w:space="0" w:color="auto"/>
              <w:right w:val="double" w:sz="2" w:space="0" w:color="000000"/>
            </w:tcBorders>
            <w:vAlign w:val="center"/>
          </w:tcPr>
          <w:p w:rsidR="00012172" w:rsidRDefault="00012172">
            <w:pPr>
              <w:jc w:val="center"/>
              <w:rPr>
                <w:sz w:val="20"/>
                <w:lang w:val="de-DE"/>
              </w:rPr>
            </w:pPr>
            <w:r>
              <w:rPr>
                <w:sz w:val="20"/>
                <w:lang w:val="de-DE"/>
              </w:rPr>
              <w:t>broj stanovnika</w:t>
            </w:r>
          </w:p>
        </w:tc>
        <w:tc>
          <w:tcPr>
            <w:tcW w:w="1080" w:type="dxa"/>
            <w:vMerge w:val="restart"/>
            <w:tcBorders>
              <w:top w:val="double" w:sz="6" w:space="0" w:color="000000"/>
              <w:left w:val="double" w:sz="2" w:space="0" w:color="000000"/>
              <w:right w:val="double" w:sz="2" w:space="0" w:color="000000"/>
            </w:tcBorders>
            <w:vAlign w:val="center"/>
          </w:tcPr>
          <w:p w:rsidR="00012172" w:rsidRDefault="00012172">
            <w:pPr>
              <w:rPr>
                <w:caps/>
                <w:sz w:val="16"/>
                <w:lang w:val="de-DE"/>
              </w:rPr>
            </w:pPr>
            <w:r>
              <w:rPr>
                <w:caps/>
                <w:sz w:val="16"/>
                <w:lang w:val="de-DE"/>
              </w:rPr>
              <w:t>2001/1948</w:t>
            </w:r>
          </w:p>
          <w:p w:rsidR="00012172" w:rsidRDefault="00012172">
            <w:pPr>
              <w:rPr>
                <w:caps/>
                <w:sz w:val="16"/>
                <w:lang w:val="de-DE"/>
              </w:rPr>
            </w:pPr>
            <w:r>
              <w:rPr>
                <w:caps/>
                <w:sz w:val="16"/>
                <w:lang w:val="de-DE"/>
              </w:rPr>
              <w:t xml:space="preserve">      (%)</w:t>
            </w:r>
          </w:p>
        </w:tc>
        <w:tc>
          <w:tcPr>
            <w:tcW w:w="1080" w:type="dxa"/>
            <w:vMerge w:val="restart"/>
            <w:tcBorders>
              <w:top w:val="double" w:sz="6" w:space="0" w:color="000000"/>
              <w:left w:val="double" w:sz="2" w:space="0" w:color="000000"/>
              <w:right w:val="double" w:sz="2" w:space="0" w:color="000000"/>
            </w:tcBorders>
            <w:vAlign w:val="center"/>
          </w:tcPr>
          <w:p w:rsidR="00012172" w:rsidRDefault="00012172">
            <w:pPr>
              <w:jc w:val="center"/>
              <w:rPr>
                <w:caps/>
                <w:sz w:val="20"/>
                <w:lang w:val="de-DE"/>
              </w:rPr>
            </w:pPr>
            <w:r>
              <w:rPr>
                <w:sz w:val="20"/>
                <w:lang w:val="de-DE"/>
              </w:rPr>
              <w:t>površina</w:t>
            </w:r>
          </w:p>
          <w:p w:rsidR="00012172" w:rsidRDefault="00012172">
            <w:pPr>
              <w:jc w:val="center"/>
              <w:rPr>
                <w:caps/>
                <w:sz w:val="20"/>
              </w:rPr>
            </w:pPr>
            <w:r>
              <w:rPr>
                <w:sz w:val="20"/>
              </w:rPr>
              <w:t>(km²)</w:t>
            </w:r>
          </w:p>
        </w:tc>
        <w:tc>
          <w:tcPr>
            <w:tcW w:w="1800" w:type="dxa"/>
            <w:vMerge w:val="restart"/>
            <w:tcBorders>
              <w:top w:val="double" w:sz="6" w:space="0" w:color="000000"/>
              <w:left w:val="double" w:sz="2" w:space="0" w:color="000000"/>
            </w:tcBorders>
            <w:vAlign w:val="center"/>
          </w:tcPr>
          <w:p w:rsidR="00012172" w:rsidRDefault="00012172">
            <w:pPr>
              <w:jc w:val="center"/>
              <w:rPr>
                <w:caps/>
                <w:sz w:val="20"/>
              </w:rPr>
            </w:pPr>
            <w:r>
              <w:rPr>
                <w:sz w:val="20"/>
              </w:rPr>
              <w:t>gustoća</w:t>
            </w:r>
          </w:p>
          <w:p w:rsidR="00012172" w:rsidRDefault="00012172">
            <w:pPr>
              <w:jc w:val="center"/>
              <w:rPr>
                <w:sz w:val="20"/>
              </w:rPr>
            </w:pPr>
            <w:r>
              <w:rPr>
                <w:caps/>
                <w:sz w:val="20"/>
              </w:rPr>
              <w:t>(</w:t>
            </w:r>
            <w:r>
              <w:rPr>
                <w:sz w:val="20"/>
              </w:rPr>
              <w:t>st/km</w:t>
            </w:r>
            <w:r>
              <w:rPr>
                <w:caps/>
                <w:sz w:val="20"/>
              </w:rPr>
              <w:t>²)</w:t>
            </w:r>
          </w:p>
        </w:tc>
      </w:tr>
      <w:tr w:rsidR="00012172">
        <w:tblPrEx>
          <w:tblCellMar>
            <w:top w:w="0" w:type="dxa"/>
            <w:bottom w:w="0" w:type="dxa"/>
          </w:tblCellMar>
        </w:tblPrEx>
        <w:trPr>
          <w:cantSplit/>
          <w:trHeight w:val="184"/>
        </w:trPr>
        <w:tc>
          <w:tcPr>
            <w:tcW w:w="2160" w:type="dxa"/>
            <w:vMerge/>
            <w:tcBorders>
              <w:right w:val="double" w:sz="2" w:space="0" w:color="000000"/>
            </w:tcBorders>
            <w:vAlign w:val="center"/>
          </w:tcPr>
          <w:p w:rsidR="00012172" w:rsidRDefault="00012172">
            <w:pPr>
              <w:pStyle w:val="Naslov1"/>
              <w:rPr>
                <w:sz w:val="16"/>
              </w:rPr>
            </w:pPr>
          </w:p>
        </w:tc>
        <w:tc>
          <w:tcPr>
            <w:tcW w:w="900" w:type="dxa"/>
            <w:tcBorders>
              <w:left w:val="double" w:sz="2" w:space="0" w:color="000000"/>
              <w:right w:val="single" w:sz="4" w:space="0" w:color="auto"/>
            </w:tcBorders>
          </w:tcPr>
          <w:p w:rsidR="00012172" w:rsidRDefault="00012172">
            <w:pPr>
              <w:jc w:val="center"/>
              <w:rPr>
                <w:bCs/>
                <w:sz w:val="16"/>
              </w:rPr>
            </w:pPr>
            <w:r>
              <w:rPr>
                <w:bCs/>
                <w:sz w:val="16"/>
              </w:rPr>
              <w:t>1948.</w:t>
            </w:r>
          </w:p>
        </w:tc>
        <w:tc>
          <w:tcPr>
            <w:tcW w:w="900" w:type="dxa"/>
            <w:tcBorders>
              <w:left w:val="single" w:sz="4" w:space="0" w:color="auto"/>
              <w:right w:val="single" w:sz="4" w:space="0" w:color="auto"/>
            </w:tcBorders>
          </w:tcPr>
          <w:p w:rsidR="00012172" w:rsidRDefault="00012172">
            <w:pPr>
              <w:jc w:val="center"/>
              <w:rPr>
                <w:bCs/>
                <w:sz w:val="16"/>
              </w:rPr>
            </w:pPr>
            <w:r>
              <w:rPr>
                <w:bCs/>
                <w:sz w:val="16"/>
              </w:rPr>
              <w:t>1991.</w:t>
            </w:r>
          </w:p>
        </w:tc>
        <w:tc>
          <w:tcPr>
            <w:tcW w:w="900" w:type="dxa"/>
            <w:tcBorders>
              <w:left w:val="single" w:sz="4" w:space="0" w:color="auto"/>
              <w:right w:val="double" w:sz="2" w:space="0" w:color="000000"/>
            </w:tcBorders>
          </w:tcPr>
          <w:p w:rsidR="00012172" w:rsidRDefault="00012172">
            <w:pPr>
              <w:jc w:val="center"/>
              <w:rPr>
                <w:bCs/>
                <w:sz w:val="16"/>
              </w:rPr>
            </w:pPr>
            <w:r>
              <w:rPr>
                <w:bCs/>
                <w:sz w:val="16"/>
              </w:rPr>
              <w:t>2001.</w:t>
            </w:r>
          </w:p>
        </w:tc>
        <w:tc>
          <w:tcPr>
            <w:tcW w:w="1080" w:type="dxa"/>
            <w:vMerge/>
            <w:tcBorders>
              <w:left w:val="double" w:sz="2" w:space="0" w:color="000000"/>
              <w:right w:val="double" w:sz="2" w:space="0" w:color="000000"/>
            </w:tcBorders>
          </w:tcPr>
          <w:p w:rsidR="00012172" w:rsidRDefault="00012172">
            <w:pPr>
              <w:jc w:val="center"/>
              <w:rPr>
                <w:b/>
                <w:sz w:val="16"/>
              </w:rPr>
            </w:pPr>
          </w:p>
        </w:tc>
        <w:tc>
          <w:tcPr>
            <w:tcW w:w="1080" w:type="dxa"/>
            <w:vMerge/>
            <w:tcBorders>
              <w:left w:val="double" w:sz="2" w:space="0" w:color="000000"/>
              <w:right w:val="double" w:sz="2" w:space="0" w:color="000000"/>
            </w:tcBorders>
            <w:vAlign w:val="center"/>
          </w:tcPr>
          <w:p w:rsidR="00012172" w:rsidRDefault="00012172">
            <w:pPr>
              <w:jc w:val="center"/>
              <w:rPr>
                <w:b/>
                <w:sz w:val="16"/>
              </w:rPr>
            </w:pPr>
          </w:p>
        </w:tc>
        <w:tc>
          <w:tcPr>
            <w:tcW w:w="1800" w:type="dxa"/>
            <w:vMerge/>
            <w:tcBorders>
              <w:left w:val="double" w:sz="2" w:space="0" w:color="000000"/>
            </w:tcBorders>
            <w:vAlign w:val="center"/>
          </w:tcPr>
          <w:p w:rsidR="00012172" w:rsidRDefault="00012172">
            <w:pPr>
              <w:jc w:val="center"/>
              <w:rPr>
                <w:b/>
                <w:sz w:val="16"/>
              </w:rPr>
            </w:pPr>
          </w:p>
        </w:tc>
      </w:tr>
      <w:tr w:rsidR="00012172">
        <w:tblPrEx>
          <w:tblCellMar>
            <w:top w:w="0" w:type="dxa"/>
            <w:bottom w:w="0" w:type="dxa"/>
          </w:tblCellMar>
        </w:tblPrEx>
        <w:trPr>
          <w:cantSplit/>
        </w:trPr>
        <w:tc>
          <w:tcPr>
            <w:tcW w:w="2160" w:type="dxa"/>
            <w:tcBorders>
              <w:top w:val="single" w:sz="12" w:space="0" w:color="000000"/>
              <w:right w:val="double" w:sz="2" w:space="0" w:color="000000"/>
            </w:tcBorders>
            <w:vAlign w:val="center"/>
          </w:tcPr>
          <w:p w:rsidR="00012172" w:rsidRDefault="00012172">
            <w:pPr>
              <w:rPr>
                <w:b/>
                <w:bCs/>
                <w:sz w:val="18"/>
              </w:rPr>
            </w:pPr>
            <w:r>
              <w:rPr>
                <w:b/>
                <w:bCs/>
                <w:sz w:val="18"/>
              </w:rPr>
              <w:t>Gornja Rijeka</w:t>
            </w:r>
          </w:p>
        </w:tc>
        <w:tc>
          <w:tcPr>
            <w:tcW w:w="900" w:type="dxa"/>
            <w:tcBorders>
              <w:top w:val="single" w:sz="12" w:space="0" w:color="000000"/>
              <w:left w:val="double" w:sz="2" w:space="0" w:color="000000"/>
            </w:tcBorders>
          </w:tcPr>
          <w:p w:rsidR="00012172" w:rsidRDefault="00012172">
            <w:pPr>
              <w:jc w:val="center"/>
              <w:rPr>
                <w:b/>
                <w:sz w:val="16"/>
              </w:rPr>
            </w:pPr>
            <w:r>
              <w:rPr>
                <w:b/>
                <w:sz w:val="16"/>
              </w:rPr>
              <w:t>3.442</w:t>
            </w:r>
          </w:p>
        </w:tc>
        <w:tc>
          <w:tcPr>
            <w:tcW w:w="900" w:type="dxa"/>
            <w:tcBorders>
              <w:top w:val="single" w:sz="12" w:space="0" w:color="000000"/>
            </w:tcBorders>
          </w:tcPr>
          <w:p w:rsidR="00012172" w:rsidRDefault="00012172">
            <w:pPr>
              <w:jc w:val="center"/>
              <w:rPr>
                <w:b/>
                <w:sz w:val="16"/>
              </w:rPr>
            </w:pPr>
            <w:r>
              <w:rPr>
                <w:b/>
                <w:sz w:val="16"/>
              </w:rPr>
              <w:t>2.330</w:t>
            </w:r>
          </w:p>
        </w:tc>
        <w:tc>
          <w:tcPr>
            <w:tcW w:w="900" w:type="dxa"/>
            <w:tcBorders>
              <w:top w:val="single" w:sz="12" w:space="0" w:color="000000"/>
              <w:right w:val="double" w:sz="2" w:space="0" w:color="000000"/>
            </w:tcBorders>
          </w:tcPr>
          <w:p w:rsidR="00012172" w:rsidRDefault="00012172">
            <w:pPr>
              <w:jc w:val="center"/>
              <w:rPr>
                <w:b/>
                <w:sz w:val="16"/>
              </w:rPr>
            </w:pPr>
            <w:r>
              <w:rPr>
                <w:b/>
                <w:sz w:val="16"/>
              </w:rPr>
              <w:t>2.035</w:t>
            </w:r>
          </w:p>
        </w:tc>
        <w:tc>
          <w:tcPr>
            <w:tcW w:w="1080" w:type="dxa"/>
            <w:tcBorders>
              <w:top w:val="single" w:sz="12" w:space="0" w:color="000000"/>
              <w:left w:val="double" w:sz="2" w:space="0" w:color="000000"/>
              <w:right w:val="double" w:sz="2" w:space="0" w:color="000000"/>
            </w:tcBorders>
          </w:tcPr>
          <w:p w:rsidR="00012172" w:rsidRDefault="00012172">
            <w:pPr>
              <w:jc w:val="center"/>
              <w:rPr>
                <w:b/>
                <w:sz w:val="16"/>
              </w:rPr>
            </w:pPr>
            <w:r>
              <w:rPr>
                <w:b/>
                <w:sz w:val="16"/>
              </w:rPr>
              <w:t>-40,9</w:t>
            </w:r>
          </w:p>
        </w:tc>
        <w:tc>
          <w:tcPr>
            <w:tcW w:w="1080" w:type="dxa"/>
            <w:tcBorders>
              <w:top w:val="single" w:sz="12" w:space="0" w:color="000000"/>
              <w:left w:val="double" w:sz="2" w:space="0" w:color="000000"/>
              <w:right w:val="double" w:sz="2" w:space="0" w:color="000000"/>
            </w:tcBorders>
            <w:vAlign w:val="center"/>
          </w:tcPr>
          <w:p w:rsidR="00012172" w:rsidRDefault="00012172">
            <w:pPr>
              <w:jc w:val="center"/>
              <w:rPr>
                <w:b/>
                <w:sz w:val="16"/>
              </w:rPr>
            </w:pPr>
            <w:r>
              <w:rPr>
                <w:b/>
                <w:sz w:val="16"/>
              </w:rPr>
              <w:t>32,72</w:t>
            </w:r>
          </w:p>
        </w:tc>
        <w:tc>
          <w:tcPr>
            <w:tcW w:w="1800" w:type="dxa"/>
            <w:tcBorders>
              <w:top w:val="single" w:sz="12" w:space="0" w:color="000000"/>
              <w:left w:val="double" w:sz="2" w:space="0" w:color="000000"/>
            </w:tcBorders>
            <w:vAlign w:val="center"/>
          </w:tcPr>
          <w:p w:rsidR="00012172" w:rsidRDefault="00012172">
            <w:pPr>
              <w:jc w:val="center"/>
              <w:rPr>
                <w:b/>
                <w:sz w:val="16"/>
              </w:rPr>
            </w:pPr>
            <w:r>
              <w:rPr>
                <w:b/>
                <w:sz w:val="16"/>
              </w:rPr>
              <w:t>62,2</w:t>
            </w:r>
          </w:p>
        </w:tc>
      </w:tr>
      <w:tr w:rsidR="00012172">
        <w:tblPrEx>
          <w:tblCellMar>
            <w:top w:w="0" w:type="dxa"/>
            <w:bottom w:w="0" w:type="dxa"/>
          </w:tblCellMar>
        </w:tblPrEx>
        <w:trPr>
          <w:cantSplit/>
        </w:trPr>
        <w:tc>
          <w:tcPr>
            <w:tcW w:w="2160" w:type="dxa"/>
            <w:tcBorders>
              <w:right w:val="double" w:sz="2" w:space="0" w:color="000000"/>
            </w:tcBorders>
          </w:tcPr>
          <w:p w:rsidR="00012172" w:rsidRDefault="00012172">
            <w:pPr>
              <w:jc w:val="right"/>
              <w:rPr>
                <w:sz w:val="16"/>
              </w:rPr>
            </w:pPr>
            <w:r>
              <w:rPr>
                <w:sz w:val="16"/>
              </w:rPr>
              <w:t>Barlabaševec</w:t>
            </w:r>
          </w:p>
        </w:tc>
        <w:tc>
          <w:tcPr>
            <w:tcW w:w="900" w:type="dxa"/>
            <w:tcBorders>
              <w:left w:val="double" w:sz="2" w:space="0" w:color="000000"/>
            </w:tcBorders>
          </w:tcPr>
          <w:p w:rsidR="00012172" w:rsidRDefault="00012172">
            <w:pPr>
              <w:jc w:val="center"/>
              <w:rPr>
                <w:sz w:val="16"/>
              </w:rPr>
            </w:pPr>
            <w:r>
              <w:rPr>
                <w:sz w:val="16"/>
              </w:rPr>
              <w:t>48</w:t>
            </w:r>
          </w:p>
        </w:tc>
        <w:tc>
          <w:tcPr>
            <w:tcW w:w="900" w:type="dxa"/>
          </w:tcPr>
          <w:p w:rsidR="00012172" w:rsidRDefault="00012172">
            <w:pPr>
              <w:jc w:val="center"/>
              <w:rPr>
                <w:sz w:val="16"/>
              </w:rPr>
            </w:pPr>
            <w:r>
              <w:rPr>
                <w:sz w:val="16"/>
              </w:rPr>
              <w:t>29</w:t>
            </w:r>
          </w:p>
        </w:tc>
        <w:tc>
          <w:tcPr>
            <w:tcW w:w="900" w:type="dxa"/>
            <w:tcBorders>
              <w:right w:val="double" w:sz="2" w:space="0" w:color="000000"/>
            </w:tcBorders>
          </w:tcPr>
          <w:p w:rsidR="00012172" w:rsidRDefault="00012172">
            <w:pPr>
              <w:jc w:val="center"/>
              <w:rPr>
                <w:sz w:val="16"/>
              </w:rPr>
            </w:pPr>
            <w:r>
              <w:rPr>
                <w:sz w:val="16"/>
              </w:rPr>
              <w:t>22</w:t>
            </w:r>
          </w:p>
        </w:tc>
        <w:tc>
          <w:tcPr>
            <w:tcW w:w="1080" w:type="dxa"/>
            <w:tcBorders>
              <w:left w:val="double" w:sz="2" w:space="0" w:color="000000"/>
              <w:right w:val="double" w:sz="2" w:space="0" w:color="000000"/>
            </w:tcBorders>
          </w:tcPr>
          <w:p w:rsidR="00012172" w:rsidRDefault="00012172">
            <w:pPr>
              <w:jc w:val="center"/>
              <w:rPr>
                <w:sz w:val="16"/>
              </w:rPr>
            </w:pPr>
            <w:r>
              <w:rPr>
                <w:sz w:val="16"/>
              </w:rPr>
              <w:t>-54,2</w:t>
            </w:r>
          </w:p>
        </w:tc>
        <w:tc>
          <w:tcPr>
            <w:tcW w:w="1080" w:type="dxa"/>
            <w:tcBorders>
              <w:left w:val="double" w:sz="2" w:space="0" w:color="000000"/>
              <w:right w:val="double" w:sz="2" w:space="0" w:color="000000"/>
            </w:tcBorders>
            <w:vAlign w:val="center"/>
          </w:tcPr>
          <w:p w:rsidR="00012172" w:rsidRDefault="00012172">
            <w:pPr>
              <w:jc w:val="center"/>
              <w:rPr>
                <w:sz w:val="16"/>
              </w:rPr>
            </w:pPr>
            <w:r>
              <w:rPr>
                <w:sz w:val="16"/>
              </w:rPr>
              <w:t>0,39</w:t>
            </w:r>
          </w:p>
        </w:tc>
        <w:tc>
          <w:tcPr>
            <w:tcW w:w="1800" w:type="dxa"/>
            <w:tcBorders>
              <w:left w:val="double" w:sz="2" w:space="0" w:color="000000"/>
            </w:tcBorders>
            <w:vAlign w:val="center"/>
          </w:tcPr>
          <w:p w:rsidR="00012172" w:rsidRDefault="00012172">
            <w:pPr>
              <w:jc w:val="center"/>
              <w:rPr>
                <w:sz w:val="16"/>
              </w:rPr>
            </w:pPr>
            <w:r>
              <w:rPr>
                <w:sz w:val="16"/>
              </w:rPr>
              <w:t>56,4</w:t>
            </w:r>
          </w:p>
        </w:tc>
      </w:tr>
      <w:tr w:rsidR="00012172">
        <w:tblPrEx>
          <w:tblCellMar>
            <w:top w:w="0" w:type="dxa"/>
            <w:bottom w:w="0" w:type="dxa"/>
          </w:tblCellMar>
        </w:tblPrEx>
        <w:trPr>
          <w:cantSplit/>
        </w:trPr>
        <w:tc>
          <w:tcPr>
            <w:tcW w:w="2160" w:type="dxa"/>
            <w:tcBorders>
              <w:right w:val="double" w:sz="2" w:space="0" w:color="000000"/>
            </w:tcBorders>
          </w:tcPr>
          <w:p w:rsidR="00012172" w:rsidRDefault="00012172">
            <w:pPr>
              <w:jc w:val="right"/>
              <w:rPr>
                <w:sz w:val="16"/>
              </w:rPr>
            </w:pPr>
            <w:r>
              <w:rPr>
                <w:sz w:val="16"/>
              </w:rPr>
              <w:t>Deklešanec</w:t>
            </w:r>
          </w:p>
        </w:tc>
        <w:tc>
          <w:tcPr>
            <w:tcW w:w="900" w:type="dxa"/>
            <w:tcBorders>
              <w:left w:val="double" w:sz="2" w:space="0" w:color="000000"/>
            </w:tcBorders>
          </w:tcPr>
          <w:p w:rsidR="00012172" w:rsidRDefault="00012172">
            <w:pPr>
              <w:jc w:val="center"/>
              <w:rPr>
                <w:sz w:val="16"/>
              </w:rPr>
            </w:pPr>
            <w:r>
              <w:rPr>
                <w:sz w:val="16"/>
              </w:rPr>
              <w:t>226</w:t>
            </w:r>
          </w:p>
        </w:tc>
        <w:tc>
          <w:tcPr>
            <w:tcW w:w="900" w:type="dxa"/>
          </w:tcPr>
          <w:p w:rsidR="00012172" w:rsidRDefault="00012172">
            <w:pPr>
              <w:jc w:val="center"/>
              <w:rPr>
                <w:sz w:val="16"/>
              </w:rPr>
            </w:pPr>
            <w:r>
              <w:rPr>
                <w:sz w:val="16"/>
              </w:rPr>
              <w:t>151</w:t>
            </w:r>
          </w:p>
        </w:tc>
        <w:tc>
          <w:tcPr>
            <w:tcW w:w="900" w:type="dxa"/>
            <w:tcBorders>
              <w:right w:val="double" w:sz="2" w:space="0" w:color="000000"/>
            </w:tcBorders>
          </w:tcPr>
          <w:p w:rsidR="00012172" w:rsidRDefault="00012172">
            <w:pPr>
              <w:jc w:val="center"/>
              <w:rPr>
                <w:sz w:val="16"/>
              </w:rPr>
            </w:pPr>
            <w:r>
              <w:rPr>
                <w:sz w:val="16"/>
              </w:rPr>
              <w:t>141</w:t>
            </w:r>
          </w:p>
        </w:tc>
        <w:tc>
          <w:tcPr>
            <w:tcW w:w="1080" w:type="dxa"/>
            <w:tcBorders>
              <w:left w:val="double" w:sz="2" w:space="0" w:color="000000"/>
              <w:right w:val="double" w:sz="2" w:space="0" w:color="000000"/>
            </w:tcBorders>
          </w:tcPr>
          <w:p w:rsidR="00012172" w:rsidRDefault="00012172">
            <w:pPr>
              <w:jc w:val="center"/>
              <w:rPr>
                <w:sz w:val="16"/>
              </w:rPr>
            </w:pPr>
            <w:r>
              <w:rPr>
                <w:sz w:val="16"/>
              </w:rPr>
              <w:t>-37,6</w:t>
            </w:r>
          </w:p>
        </w:tc>
        <w:tc>
          <w:tcPr>
            <w:tcW w:w="1080" w:type="dxa"/>
            <w:tcBorders>
              <w:left w:val="double" w:sz="2" w:space="0" w:color="000000"/>
              <w:right w:val="double" w:sz="2" w:space="0" w:color="000000"/>
            </w:tcBorders>
            <w:vAlign w:val="center"/>
          </w:tcPr>
          <w:p w:rsidR="00012172" w:rsidRDefault="00012172">
            <w:pPr>
              <w:jc w:val="center"/>
              <w:rPr>
                <w:sz w:val="16"/>
              </w:rPr>
            </w:pPr>
            <w:r>
              <w:rPr>
                <w:sz w:val="16"/>
              </w:rPr>
              <w:t>4,03</w:t>
            </w:r>
          </w:p>
        </w:tc>
        <w:tc>
          <w:tcPr>
            <w:tcW w:w="1800" w:type="dxa"/>
            <w:tcBorders>
              <w:left w:val="double" w:sz="2" w:space="0" w:color="000000"/>
            </w:tcBorders>
            <w:vAlign w:val="center"/>
          </w:tcPr>
          <w:p w:rsidR="00012172" w:rsidRDefault="00012172">
            <w:pPr>
              <w:jc w:val="center"/>
              <w:rPr>
                <w:sz w:val="16"/>
              </w:rPr>
            </w:pPr>
            <w:r>
              <w:rPr>
                <w:sz w:val="16"/>
              </w:rPr>
              <w:t>34,9</w:t>
            </w:r>
          </w:p>
        </w:tc>
      </w:tr>
      <w:tr w:rsidR="00012172">
        <w:tblPrEx>
          <w:tblCellMar>
            <w:top w:w="0" w:type="dxa"/>
            <w:bottom w:w="0" w:type="dxa"/>
          </w:tblCellMar>
        </w:tblPrEx>
        <w:trPr>
          <w:cantSplit/>
        </w:trPr>
        <w:tc>
          <w:tcPr>
            <w:tcW w:w="2160" w:type="dxa"/>
            <w:tcBorders>
              <w:right w:val="double" w:sz="2" w:space="0" w:color="000000"/>
            </w:tcBorders>
          </w:tcPr>
          <w:p w:rsidR="00012172" w:rsidRDefault="00012172">
            <w:pPr>
              <w:jc w:val="right"/>
              <w:rPr>
                <w:sz w:val="16"/>
              </w:rPr>
            </w:pPr>
            <w:r>
              <w:rPr>
                <w:sz w:val="16"/>
              </w:rPr>
              <w:t>Donja Rijeka</w:t>
            </w:r>
          </w:p>
        </w:tc>
        <w:tc>
          <w:tcPr>
            <w:tcW w:w="900" w:type="dxa"/>
            <w:tcBorders>
              <w:left w:val="double" w:sz="2" w:space="0" w:color="000000"/>
            </w:tcBorders>
          </w:tcPr>
          <w:p w:rsidR="00012172" w:rsidRDefault="00012172">
            <w:pPr>
              <w:jc w:val="center"/>
              <w:rPr>
                <w:sz w:val="16"/>
              </w:rPr>
            </w:pPr>
            <w:r>
              <w:rPr>
                <w:sz w:val="16"/>
              </w:rPr>
              <w:t>474</w:t>
            </w:r>
          </w:p>
        </w:tc>
        <w:tc>
          <w:tcPr>
            <w:tcW w:w="900" w:type="dxa"/>
          </w:tcPr>
          <w:p w:rsidR="00012172" w:rsidRDefault="00012172">
            <w:pPr>
              <w:jc w:val="center"/>
              <w:rPr>
                <w:sz w:val="16"/>
              </w:rPr>
            </w:pPr>
            <w:r>
              <w:rPr>
                <w:sz w:val="16"/>
              </w:rPr>
              <w:t>281</w:t>
            </w:r>
          </w:p>
        </w:tc>
        <w:tc>
          <w:tcPr>
            <w:tcW w:w="900" w:type="dxa"/>
            <w:tcBorders>
              <w:right w:val="double" w:sz="2" w:space="0" w:color="000000"/>
            </w:tcBorders>
          </w:tcPr>
          <w:p w:rsidR="00012172" w:rsidRDefault="00012172">
            <w:pPr>
              <w:jc w:val="center"/>
              <w:rPr>
                <w:sz w:val="16"/>
              </w:rPr>
            </w:pPr>
            <w:r>
              <w:rPr>
                <w:sz w:val="16"/>
              </w:rPr>
              <w:t>241</w:t>
            </w:r>
          </w:p>
        </w:tc>
        <w:tc>
          <w:tcPr>
            <w:tcW w:w="1080" w:type="dxa"/>
            <w:tcBorders>
              <w:left w:val="double" w:sz="2" w:space="0" w:color="000000"/>
              <w:right w:val="double" w:sz="2" w:space="0" w:color="000000"/>
            </w:tcBorders>
          </w:tcPr>
          <w:p w:rsidR="00012172" w:rsidRDefault="00012172">
            <w:pPr>
              <w:jc w:val="center"/>
              <w:rPr>
                <w:sz w:val="16"/>
              </w:rPr>
            </w:pPr>
            <w:r>
              <w:rPr>
                <w:sz w:val="16"/>
              </w:rPr>
              <w:t>-47,9</w:t>
            </w:r>
          </w:p>
        </w:tc>
        <w:tc>
          <w:tcPr>
            <w:tcW w:w="1080" w:type="dxa"/>
            <w:tcBorders>
              <w:left w:val="double" w:sz="2" w:space="0" w:color="000000"/>
              <w:right w:val="double" w:sz="2" w:space="0" w:color="000000"/>
            </w:tcBorders>
            <w:vAlign w:val="center"/>
          </w:tcPr>
          <w:p w:rsidR="00012172" w:rsidRDefault="00012172">
            <w:pPr>
              <w:jc w:val="center"/>
              <w:rPr>
                <w:sz w:val="16"/>
              </w:rPr>
            </w:pPr>
            <w:r>
              <w:rPr>
                <w:sz w:val="16"/>
              </w:rPr>
              <w:t>6,48</w:t>
            </w:r>
          </w:p>
        </w:tc>
        <w:tc>
          <w:tcPr>
            <w:tcW w:w="1800" w:type="dxa"/>
            <w:tcBorders>
              <w:left w:val="double" w:sz="2" w:space="0" w:color="000000"/>
            </w:tcBorders>
            <w:vAlign w:val="center"/>
          </w:tcPr>
          <w:p w:rsidR="00012172" w:rsidRDefault="00012172">
            <w:pPr>
              <w:jc w:val="center"/>
              <w:rPr>
                <w:sz w:val="16"/>
              </w:rPr>
            </w:pPr>
            <w:r>
              <w:rPr>
                <w:sz w:val="16"/>
              </w:rPr>
              <w:t>37,2</w:t>
            </w:r>
          </w:p>
        </w:tc>
      </w:tr>
      <w:tr w:rsidR="00012172">
        <w:tblPrEx>
          <w:tblCellMar>
            <w:top w:w="0" w:type="dxa"/>
            <w:bottom w:w="0" w:type="dxa"/>
          </w:tblCellMar>
        </w:tblPrEx>
        <w:trPr>
          <w:cantSplit/>
        </w:trPr>
        <w:tc>
          <w:tcPr>
            <w:tcW w:w="2160" w:type="dxa"/>
            <w:tcBorders>
              <w:right w:val="double" w:sz="2" w:space="0" w:color="000000"/>
            </w:tcBorders>
          </w:tcPr>
          <w:p w:rsidR="00012172" w:rsidRDefault="00012172">
            <w:pPr>
              <w:jc w:val="right"/>
              <w:rPr>
                <w:sz w:val="16"/>
              </w:rPr>
            </w:pPr>
            <w:r>
              <w:rPr>
                <w:sz w:val="16"/>
              </w:rPr>
              <w:t>Dropkovec</w:t>
            </w:r>
          </w:p>
        </w:tc>
        <w:tc>
          <w:tcPr>
            <w:tcW w:w="900" w:type="dxa"/>
            <w:tcBorders>
              <w:left w:val="double" w:sz="2" w:space="0" w:color="000000"/>
            </w:tcBorders>
          </w:tcPr>
          <w:p w:rsidR="00012172" w:rsidRDefault="00012172">
            <w:pPr>
              <w:jc w:val="center"/>
              <w:rPr>
                <w:sz w:val="16"/>
              </w:rPr>
            </w:pPr>
            <w:r>
              <w:rPr>
                <w:sz w:val="16"/>
              </w:rPr>
              <w:t>335</w:t>
            </w:r>
          </w:p>
        </w:tc>
        <w:tc>
          <w:tcPr>
            <w:tcW w:w="900" w:type="dxa"/>
          </w:tcPr>
          <w:p w:rsidR="00012172" w:rsidRDefault="00012172">
            <w:pPr>
              <w:jc w:val="center"/>
              <w:rPr>
                <w:sz w:val="16"/>
              </w:rPr>
            </w:pPr>
            <w:r>
              <w:rPr>
                <w:sz w:val="16"/>
              </w:rPr>
              <w:t>222</w:t>
            </w:r>
          </w:p>
        </w:tc>
        <w:tc>
          <w:tcPr>
            <w:tcW w:w="900" w:type="dxa"/>
            <w:tcBorders>
              <w:right w:val="double" w:sz="2" w:space="0" w:color="000000"/>
            </w:tcBorders>
          </w:tcPr>
          <w:p w:rsidR="00012172" w:rsidRDefault="00012172">
            <w:pPr>
              <w:jc w:val="center"/>
              <w:rPr>
                <w:sz w:val="16"/>
              </w:rPr>
            </w:pPr>
            <w:r>
              <w:rPr>
                <w:sz w:val="16"/>
              </w:rPr>
              <w:t>193</w:t>
            </w:r>
          </w:p>
        </w:tc>
        <w:tc>
          <w:tcPr>
            <w:tcW w:w="1080" w:type="dxa"/>
            <w:tcBorders>
              <w:left w:val="double" w:sz="2" w:space="0" w:color="000000"/>
              <w:right w:val="double" w:sz="2" w:space="0" w:color="000000"/>
            </w:tcBorders>
          </w:tcPr>
          <w:p w:rsidR="00012172" w:rsidRDefault="00012172">
            <w:pPr>
              <w:jc w:val="center"/>
              <w:rPr>
                <w:sz w:val="16"/>
              </w:rPr>
            </w:pPr>
            <w:r>
              <w:rPr>
                <w:sz w:val="16"/>
              </w:rPr>
              <w:t>-43,9</w:t>
            </w:r>
          </w:p>
        </w:tc>
        <w:tc>
          <w:tcPr>
            <w:tcW w:w="1080" w:type="dxa"/>
            <w:tcBorders>
              <w:left w:val="double" w:sz="2" w:space="0" w:color="000000"/>
              <w:right w:val="double" w:sz="2" w:space="0" w:color="000000"/>
            </w:tcBorders>
            <w:vAlign w:val="center"/>
          </w:tcPr>
          <w:p w:rsidR="00012172" w:rsidRDefault="00012172">
            <w:pPr>
              <w:jc w:val="center"/>
              <w:rPr>
                <w:sz w:val="16"/>
              </w:rPr>
            </w:pPr>
            <w:r>
              <w:rPr>
                <w:sz w:val="16"/>
              </w:rPr>
              <w:t>2,10</w:t>
            </w:r>
          </w:p>
        </w:tc>
        <w:tc>
          <w:tcPr>
            <w:tcW w:w="1800" w:type="dxa"/>
            <w:tcBorders>
              <w:left w:val="double" w:sz="2" w:space="0" w:color="000000"/>
            </w:tcBorders>
            <w:vAlign w:val="center"/>
          </w:tcPr>
          <w:p w:rsidR="00012172" w:rsidRDefault="00012172">
            <w:pPr>
              <w:jc w:val="center"/>
              <w:rPr>
                <w:sz w:val="16"/>
              </w:rPr>
            </w:pPr>
            <w:r>
              <w:rPr>
                <w:sz w:val="16"/>
              </w:rPr>
              <w:t>91,9</w:t>
            </w:r>
          </w:p>
        </w:tc>
      </w:tr>
      <w:tr w:rsidR="00012172">
        <w:tblPrEx>
          <w:tblCellMar>
            <w:top w:w="0" w:type="dxa"/>
            <w:bottom w:w="0" w:type="dxa"/>
          </w:tblCellMar>
        </w:tblPrEx>
        <w:trPr>
          <w:cantSplit/>
        </w:trPr>
        <w:tc>
          <w:tcPr>
            <w:tcW w:w="2160" w:type="dxa"/>
            <w:tcBorders>
              <w:right w:val="double" w:sz="2" w:space="0" w:color="000000"/>
            </w:tcBorders>
          </w:tcPr>
          <w:p w:rsidR="00012172" w:rsidRDefault="00012172">
            <w:pPr>
              <w:jc w:val="right"/>
              <w:rPr>
                <w:sz w:val="16"/>
              </w:rPr>
            </w:pPr>
            <w:r>
              <w:rPr>
                <w:sz w:val="16"/>
              </w:rPr>
              <w:t>Fajerovec</w:t>
            </w:r>
          </w:p>
        </w:tc>
        <w:tc>
          <w:tcPr>
            <w:tcW w:w="900" w:type="dxa"/>
            <w:tcBorders>
              <w:left w:val="double" w:sz="2" w:space="0" w:color="000000"/>
            </w:tcBorders>
          </w:tcPr>
          <w:p w:rsidR="00012172" w:rsidRDefault="00012172">
            <w:pPr>
              <w:jc w:val="center"/>
              <w:rPr>
                <w:sz w:val="16"/>
              </w:rPr>
            </w:pPr>
            <w:r>
              <w:rPr>
                <w:sz w:val="16"/>
              </w:rPr>
              <w:t>172</w:t>
            </w:r>
          </w:p>
        </w:tc>
        <w:tc>
          <w:tcPr>
            <w:tcW w:w="900" w:type="dxa"/>
          </w:tcPr>
          <w:p w:rsidR="00012172" w:rsidRDefault="00012172">
            <w:pPr>
              <w:jc w:val="center"/>
              <w:rPr>
                <w:sz w:val="16"/>
              </w:rPr>
            </w:pPr>
            <w:r>
              <w:rPr>
                <w:sz w:val="16"/>
              </w:rPr>
              <w:t>112</w:t>
            </w:r>
          </w:p>
        </w:tc>
        <w:tc>
          <w:tcPr>
            <w:tcW w:w="900" w:type="dxa"/>
            <w:tcBorders>
              <w:right w:val="double" w:sz="2" w:space="0" w:color="000000"/>
            </w:tcBorders>
          </w:tcPr>
          <w:p w:rsidR="00012172" w:rsidRDefault="00012172">
            <w:pPr>
              <w:jc w:val="center"/>
              <w:rPr>
                <w:sz w:val="16"/>
              </w:rPr>
            </w:pPr>
            <w:r>
              <w:rPr>
                <w:sz w:val="16"/>
              </w:rPr>
              <w:t>100</w:t>
            </w:r>
          </w:p>
        </w:tc>
        <w:tc>
          <w:tcPr>
            <w:tcW w:w="1080" w:type="dxa"/>
            <w:tcBorders>
              <w:left w:val="double" w:sz="2" w:space="0" w:color="000000"/>
              <w:right w:val="double" w:sz="2" w:space="0" w:color="000000"/>
            </w:tcBorders>
          </w:tcPr>
          <w:p w:rsidR="00012172" w:rsidRDefault="00012172">
            <w:pPr>
              <w:jc w:val="center"/>
              <w:rPr>
                <w:sz w:val="16"/>
              </w:rPr>
            </w:pPr>
            <w:r>
              <w:rPr>
                <w:sz w:val="16"/>
              </w:rPr>
              <w:t>-41,9</w:t>
            </w:r>
          </w:p>
        </w:tc>
        <w:tc>
          <w:tcPr>
            <w:tcW w:w="1080" w:type="dxa"/>
            <w:tcBorders>
              <w:left w:val="double" w:sz="2" w:space="0" w:color="000000"/>
              <w:right w:val="double" w:sz="2" w:space="0" w:color="000000"/>
            </w:tcBorders>
            <w:vAlign w:val="center"/>
          </w:tcPr>
          <w:p w:rsidR="00012172" w:rsidRDefault="00012172">
            <w:pPr>
              <w:jc w:val="center"/>
              <w:rPr>
                <w:sz w:val="16"/>
              </w:rPr>
            </w:pPr>
            <w:r>
              <w:rPr>
                <w:sz w:val="16"/>
              </w:rPr>
              <w:t>0,65</w:t>
            </w:r>
          </w:p>
        </w:tc>
        <w:tc>
          <w:tcPr>
            <w:tcW w:w="1800" w:type="dxa"/>
            <w:tcBorders>
              <w:left w:val="double" w:sz="2" w:space="0" w:color="000000"/>
            </w:tcBorders>
            <w:vAlign w:val="center"/>
          </w:tcPr>
          <w:p w:rsidR="00012172" w:rsidRDefault="00012172">
            <w:pPr>
              <w:jc w:val="center"/>
              <w:rPr>
                <w:sz w:val="16"/>
              </w:rPr>
            </w:pPr>
            <w:r>
              <w:rPr>
                <w:sz w:val="16"/>
              </w:rPr>
              <w:t>153,8</w:t>
            </w:r>
          </w:p>
        </w:tc>
      </w:tr>
      <w:tr w:rsidR="00012172">
        <w:tblPrEx>
          <w:tblCellMar>
            <w:top w:w="0" w:type="dxa"/>
            <w:bottom w:w="0" w:type="dxa"/>
          </w:tblCellMar>
        </w:tblPrEx>
        <w:trPr>
          <w:cantSplit/>
        </w:trPr>
        <w:tc>
          <w:tcPr>
            <w:tcW w:w="2160" w:type="dxa"/>
            <w:tcBorders>
              <w:right w:val="double" w:sz="2" w:space="0" w:color="000000"/>
            </w:tcBorders>
          </w:tcPr>
          <w:p w:rsidR="00012172" w:rsidRDefault="00012172">
            <w:pPr>
              <w:jc w:val="right"/>
              <w:rPr>
                <w:sz w:val="16"/>
              </w:rPr>
            </w:pPr>
            <w:r>
              <w:rPr>
                <w:sz w:val="16"/>
              </w:rPr>
              <w:t>Fodrovec Riječki</w:t>
            </w:r>
          </w:p>
        </w:tc>
        <w:tc>
          <w:tcPr>
            <w:tcW w:w="900" w:type="dxa"/>
            <w:tcBorders>
              <w:left w:val="double" w:sz="2" w:space="0" w:color="000000"/>
            </w:tcBorders>
          </w:tcPr>
          <w:p w:rsidR="00012172" w:rsidRDefault="00012172">
            <w:pPr>
              <w:jc w:val="center"/>
              <w:rPr>
                <w:sz w:val="16"/>
                <w:lang w:val="de-DE"/>
              </w:rPr>
            </w:pPr>
            <w:r>
              <w:rPr>
                <w:sz w:val="16"/>
                <w:lang w:val="de-DE"/>
              </w:rPr>
              <w:t>115</w:t>
            </w:r>
          </w:p>
        </w:tc>
        <w:tc>
          <w:tcPr>
            <w:tcW w:w="900" w:type="dxa"/>
          </w:tcPr>
          <w:p w:rsidR="00012172" w:rsidRDefault="00012172">
            <w:pPr>
              <w:jc w:val="center"/>
              <w:rPr>
                <w:sz w:val="16"/>
                <w:lang w:val="de-DE"/>
              </w:rPr>
            </w:pPr>
            <w:r>
              <w:rPr>
                <w:sz w:val="16"/>
                <w:lang w:val="de-DE"/>
              </w:rPr>
              <w:t>91</w:t>
            </w:r>
          </w:p>
        </w:tc>
        <w:tc>
          <w:tcPr>
            <w:tcW w:w="900" w:type="dxa"/>
            <w:tcBorders>
              <w:right w:val="double" w:sz="2" w:space="0" w:color="000000"/>
            </w:tcBorders>
          </w:tcPr>
          <w:p w:rsidR="00012172" w:rsidRDefault="00012172">
            <w:pPr>
              <w:jc w:val="center"/>
              <w:rPr>
                <w:sz w:val="16"/>
              </w:rPr>
            </w:pPr>
            <w:r>
              <w:rPr>
                <w:sz w:val="16"/>
              </w:rPr>
              <w:t>86</w:t>
            </w:r>
          </w:p>
        </w:tc>
        <w:tc>
          <w:tcPr>
            <w:tcW w:w="1080" w:type="dxa"/>
            <w:tcBorders>
              <w:left w:val="double" w:sz="2" w:space="0" w:color="000000"/>
              <w:right w:val="double" w:sz="2" w:space="0" w:color="000000"/>
            </w:tcBorders>
          </w:tcPr>
          <w:p w:rsidR="00012172" w:rsidRDefault="00012172">
            <w:pPr>
              <w:jc w:val="center"/>
              <w:rPr>
                <w:sz w:val="16"/>
              </w:rPr>
            </w:pPr>
            <w:r>
              <w:rPr>
                <w:sz w:val="16"/>
              </w:rPr>
              <w:t>-25,2</w:t>
            </w:r>
          </w:p>
        </w:tc>
        <w:tc>
          <w:tcPr>
            <w:tcW w:w="1080" w:type="dxa"/>
            <w:tcBorders>
              <w:left w:val="double" w:sz="2" w:space="0" w:color="000000"/>
              <w:right w:val="double" w:sz="2" w:space="0" w:color="000000"/>
            </w:tcBorders>
            <w:vAlign w:val="center"/>
          </w:tcPr>
          <w:p w:rsidR="00012172" w:rsidRDefault="00012172">
            <w:pPr>
              <w:jc w:val="center"/>
              <w:rPr>
                <w:sz w:val="16"/>
                <w:lang w:val="de-DE"/>
              </w:rPr>
            </w:pPr>
            <w:r>
              <w:rPr>
                <w:sz w:val="16"/>
                <w:lang w:val="de-DE"/>
              </w:rPr>
              <w:t>4,06</w:t>
            </w:r>
          </w:p>
        </w:tc>
        <w:tc>
          <w:tcPr>
            <w:tcW w:w="1800" w:type="dxa"/>
            <w:tcBorders>
              <w:left w:val="double" w:sz="2" w:space="0" w:color="000000"/>
            </w:tcBorders>
            <w:vAlign w:val="center"/>
          </w:tcPr>
          <w:p w:rsidR="00012172" w:rsidRDefault="00012172">
            <w:pPr>
              <w:jc w:val="center"/>
              <w:rPr>
                <w:sz w:val="16"/>
                <w:lang w:val="de-DE"/>
              </w:rPr>
            </w:pPr>
            <w:r>
              <w:rPr>
                <w:sz w:val="16"/>
                <w:lang w:val="de-DE"/>
              </w:rPr>
              <w:t>21,2</w:t>
            </w:r>
          </w:p>
        </w:tc>
      </w:tr>
      <w:tr w:rsidR="00012172">
        <w:tblPrEx>
          <w:tblCellMar>
            <w:top w:w="0" w:type="dxa"/>
            <w:bottom w:w="0" w:type="dxa"/>
          </w:tblCellMar>
        </w:tblPrEx>
        <w:trPr>
          <w:cantSplit/>
        </w:trPr>
        <w:tc>
          <w:tcPr>
            <w:tcW w:w="2160" w:type="dxa"/>
            <w:tcBorders>
              <w:right w:val="double" w:sz="2" w:space="0" w:color="000000"/>
            </w:tcBorders>
          </w:tcPr>
          <w:p w:rsidR="00012172" w:rsidRDefault="00012172">
            <w:pPr>
              <w:jc w:val="right"/>
              <w:rPr>
                <w:sz w:val="16"/>
                <w:lang w:val="de-DE"/>
              </w:rPr>
            </w:pPr>
            <w:r>
              <w:rPr>
                <w:sz w:val="16"/>
                <w:lang w:val="de-DE"/>
              </w:rPr>
              <w:t>Gornja Rijeka</w:t>
            </w:r>
          </w:p>
        </w:tc>
        <w:tc>
          <w:tcPr>
            <w:tcW w:w="900" w:type="dxa"/>
            <w:tcBorders>
              <w:left w:val="double" w:sz="2" w:space="0" w:color="000000"/>
            </w:tcBorders>
          </w:tcPr>
          <w:p w:rsidR="00012172" w:rsidRDefault="00012172">
            <w:pPr>
              <w:jc w:val="center"/>
              <w:rPr>
                <w:sz w:val="16"/>
                <w:lang w:val="de-DE"/>
              </w:rPr>
            </w:pPr>
            <w:r>
              <w:rPr>
                <w:sz w:val="16"/>
                <w:lang w:val="de-DE"/>
              </w:rPr>
              <w:t>581</w:t>
            </w:r>
          </w:p>
        </w:tc>
        <w:tc>
          <w:tcPr>
            <w:tcW w:w="900" w:type="dxa"/>
          </w:tcPr>
          <w:p w:rsidR="00012172" w:rsidRDefault="00012172">
            <w:pPr>
              <w:jc w:val="center"/>
              <w:rPr>
                <w:sz w:val="16"/>
                <w:lang w:val="de-DE"/>
              </w:rPr>
            </w:pPr>
            <w:r>
              <w:rPr>
                <w:sz w:val="16"/>
                <w:lang w:val="de-DE"/>
              </w:rPr>
              <w:t>450</w:t>
            </w:r>
          </w:p>
        </w:tc>
        <w:tc>
          <w:tcPr>
            <w:tcW w:w="900" w:type="dxa"/>
            <w:tcBorders>
              <w:right w:val="double" w:sz="2" w:space="0" w:color="000000"/>
            </w:tcBorders>
          </w:tcPr>
          <w:p w:rsidR="00012172" w:rsidRDefault="00012172">
            <w:pPr>
              <w:jc w:val="center"/>
              <w:rPr>
                <w:sz w:val="16"/>
              </w:rPr>
            </w:pPr>
            <w:r>
              <w:rPr>
                <w:sz w:val="16"/>
              </w:rPr>
              <w:t>383</w:t>
            </w:r>
          </w:p>
        </w:tc>
        <w:tc>
          <w:tcPr>
            <w:tcW w:w="1080" w:type="dxa"/>
            <w:tcBorders>
              <w:left w:val="double" w:sz="2" w:space="0" w:color="000000"/>
              <w:right w:val="double" w:sz="2" w:space="0" w:color="000000"/>
            </w:tcBorders>
          </w:tcPr>
          <w:p w:rsidR="00012172" w:rsidRDefault="00012172">
            <w:pPr>
              <w:jc w:val="center"/>
              <w:rPr>
                <w:sz w:val="16"/>
              </w:rPr>
            </w:pPr>
            <w:r>
              <w:rPr>
                <w:sz w:val="16"/>
              </w:rPr>
              <w:t>-34,3</w:t>
            </w:r>
          </w:p>
        </w:tc>
        <w:tc>
          <w:tcPr>
            <w:tcW w:w="1080" w:type="dxa"/>
            <w:tcBorders>
              <w:left w:val="double" w:sz="2" w:space="0" w:color="000000"/>
              <w:right w:val="double" w:sz="2" w:space="0" w:color="000000"/>
            </w:tcBorders>
            <w:vAlign w:val="center"/>
          </w:tcPr>
          <w:p w:rsidR="00012172" w:rsidRDefault="00012172">
            <w:pPr>
              <w:jc w:val="center"/>
              <w:rPr>
                <w:sz w:val="16"/>
                <w:lang w:val="de-DE"/>
              </w:rPr>
            </w:pPr>
            <w:r>
              <w:rPr>
                <w:sz w:val="16"/>
                <w:lang w:val="de-DE"/>
              </w:rPr>
              <w:t>4,76</w:t>
            </w:r>
          </w:p>
        </w:tc>
        <w:tc>
          <w:tcPr>
            <w:tcW w:w="1800" w:type="dxa"/>
            <w:tcBorders>
              <w:left w:val="double" w:sz="2" w:space="0" w:color="000000"/>
            </w:tcBorders>
            <w:vAlign w:val="center"/>
          </w:tcPr>
          <w:p w:rsidR="00012172" w:rsidRDefault="00012172">
            <w:pPr>
              <w:jc w:val="center"/>
              <w:rPr>
                <w:sz w:val="16"/>
                <w:lang w:val="de-DE"/>
              </w:rPr>
            </w:pPr>
            <w:r>
              <w:rPr>
                <w:sz w:val="16"/>
                <w:lang w:val="de-DE"/>
              </w:rPr>
              <w:t>80,5</w:t>
            </w:r>
          </w:p>
        </w:tc>
      </w:tr>
      <w:tr w:rsidR="00012172">
        <w:tblPrEx>
          <w:tblCellMar>
            <w:top w:w="0" w:type="dxa"/>
            <w:bottom w:w="0" w:type="dxa"/>
          </w:tblCellMar>
        </w:tblPrEx>
        <w:trPr>
          <w:cantSplit/>
        </w:trPr>
        <w:tc>
          <w:tcPr>
            <w:tcW w:w="2160" w:type="dxa"/>
            <w:tcBorders>
              <w:right w:val="double" w:sz="2" w:space="0" w:color="000000"/>
            </w:tcBorders>
          </w:tcPr>
          <w:p w:rsidR="00012172" w:rsidRDefault="00012172">
            <w:pPr>
              <w:jc w:val="right"/>
              <w:rPr>
                <w:sz w:val="16"/>
                <w:lang w:val="de-DE"/>
              </w:rPr>
            </w:pPr>
            <w:r>
              <w:rPr>
                <w:sz w:val="16"/>
                <w:lang w:val="de-DE"/>
              </w:rPr>
              <w:t>Kolarec</w:t>
            </w:r>
          </w:p>
        </w:tc>
        <w:tc>
          <w:tcPr>
            <w:tcW w:w="900" w:type="dxa"/>
            <w:tcBorders>
              <w:left w:val="double" w:sz="2" w:space="0" w:color="000000"/>
            </w:tcBorders>
          </w:tcPr>
          <w:p w:rsidR="00012172" w:rsidRDefault="00012172">
            <w:pPr>
              <w:jc w:val="center"/>
              <w:rPr>
                <w:sz w:val="16"/>
                <w:lang w:val="de-DE"/>
              </w:rPr>
            </w:pPr>
            <w:r>
              <w:rPr>
                <w:sz w:val="16"/>
                <w:lang w:val="de-DE"/>
              </w:rPr>
              <w:t>343</w:t>
            </w:r>
          </w:p>
        </w:tc>
        <w:tc>
          <w:tcPr>
            <w:tcW w:w="900" w:type="dxa"/>
          </w:tcPr>
          <w:p w:rsidR="00012172" w:rsidRDefault="00012172">
            <w:pPr>
              <w:jc w:val="center"/>
              <w:rPr>
                <w:sz w:val="16"/>
                <w:lang w:val="de-DE"/>
              </w:rPr>
            </w:pPr>
            <w:r>
              <w:rPr>
                <w:sz w:val="16"/>
                <w:lang w:val="de-DE"/>
              </w:rPr>
              <w:t>219</w:t>
            </w:r>
          </w:p>
        </w:tc>
        <w:tc>
          <w:tcPr>
            <w:tcW w:w="900" w:type="dxa"/>
            <w:tcBorders>
              <w:right w:val="double" w:sz="2" w:space="0" w:color="000000"/>
            </w:tcBorders>
          </w:tcPr>
          <w:p w:rsidR="00012172" w:rsidRDefault="00012172">
            <w:pPr>
              <w:jc w:val="center"/>
              <w:rPr>
                <w:sz w:val="16"/>
              </w:rPr>
            </w:pPr>
            <w:r>
              <w:rPr>
                <w:sz w:val="16"/>
              </w:rPr>
              <w:t>184</w:t>
            </w:r>
          </w:p>
        </w:tc>
        <w:tc>
          <w:tcPr>
            <w:tcW w:w="1080" w:type="dxa"/>
            <w:tcBorders>
              <w:left w:val="double" w:sz="2" w:space="0" w:color="000000"/>
              <w:right w:val="double" w:sz="2" w:space="0" w:color="000000"/>
            </w:tcBorders>
          </w:tcPr>
          <w:p w:rsidR="00012172" w:rsidRDefault="00012172">
            <w:pPr>
              <w:jc w:val="center"/>
              <w:rPr>
                <w:sz w:val="16"/>
              </w:rPr>
            </w:pPr>
            <w:r>
              <w:rPr>
                <w:sz w:val="16"/>
              </w:rPr>
              <w:t>-46,6</w:t>
            </w:r>
          </w:p>
        </w:tc>
        <w:tc>
          <w:tcPr>
            <w:tcW w:w="1080" w:type="dxa"/>
            <w:tcBorders>
              <w:left w:val="double" w:sz="2" w:space="0" w:color="000000"/>
              <w:right w:val="double" w:sz="2" w:space="0" w:color="000000"/>
            </w:tcBorders>
            <w:vAlign w:val="center"/>
          </w:tcPr>
          <w:p w:rsidR="00012172" w:rsidRDefault="00012172">
            <w:pPr>
              <w:jc w:val="center"/>
              <w:rPr>
                <w:sz w:val="16"/>
                <w:lang w:val="de-DE"/>
              </w:rPr>
            </w:pPr>
            <w:r>
              <w:rPr>
                <w:sz w:val="16"/>
                <w:lang w:val="de-DE"/>
              </w:rPr>
              <w:t>2,61</w:t>
            </w:r>
          </w:p>
        </w:tc>
        <w:tc>
          <w:tcPr>
            <w:tcW w:w="1800" w:type="dxa"/>
            <w:tcBorders>
              <w:left w:val="double" w:sz="2" w:space="0" w:color="000000"/>
            </w:tcBorders>
            <w:vAlign w:val="center"/>
          </w:tcPr>
          <w:p w:rsidR="00012172" w:rsidRDefault="00012172">
            <w:pPr>
              <w:jc w:val="center"/>
              <w:rPr>
                <w:sz w:val="16"/>
                <w:lang w:val="de-DE"/>
              </w:rPr>
            </w:pPr>
            <w:r>
              <w:rPr>
                <w:sz w:val="16"/>
                <w:lang w:val="de-DE"/>
              </w:rPr>
              <w:t>70,5</w:t>
            </w:r>
          </w:p>
        </w:tc>
      </w:tr>
      <w:tr w:rsidR="00012172">
        <w:tblPrEx>
          <w:tblCellMar>
            <w:top w:w="0" w:type="dxa"/>
            <w:bottom w:w="0" w:type="dxa"/>
          </w:tblCellMar>
        </w:tblPrEx>
        <w:trPr>
          <w:cantSplit/>
        </w:trPr>
        <w:tc>
          <w:tcPr>
            <w:tcW w:w="2160" w:type="dxa"/>
            <w:tcBorders>
              <w:right w:val="double" w:sz="2" w:space="0" w:color="000000"/>
            </w:tcBorders>
          </w:tcPr>
          <w:p w:rsidR="00012172" w:rsidRDefault="00012172">
            <w:pPr>
              <w:jc w:val="right"/>
              <w:rPr>
                <w:sz w:val="16"/>
              </w:rPr>
            </w:pPr>
            <w:r>
              <w:rPr>
                <w:sz w:val="16"/>
                <w:lang w:val="de-DE"/>
              </w:rPr>
              <w:t>Kostanjevec</w:t>
            </w:r>
            <w:r>
              <w:rPr>
                <w:sz w:val="16"/>
              </w:rPr>
              <w:t xml:space="preserve"> </w:t>
            </w:r>
            <w:r>
              <w:rPr>
                <w:sz w:val="16"/>
                <w:lang w:val="de-DE"/>
              </w:rPr>
              <w:t>Rije</w:t>
            </w:r>
            <w:r>
              <w:rPr>
                <w:sz w:val="16"/>
              </w:rPr>
              <w:t>č</w:t>
            </w:r>
            <w:r>
              <w:rPr>
                <w:sz w:val="16"/>
                <w:lang w:val="de-DE"/>
              </w:rPr>
              <w:t>ki</w:t>
            </w:r>
          </w:p>
        </w:tc>
        <w:tc>
          <w:tcPr>
            <w:tcW w:w="900" w:type="dxa"/>
            <w:tcBorders>
              <w:left w:val="double" w:sz="2" w:space="0" w:color="000000"/>
            </w:tcBorders>
          </w:tcPr>
          <w:p w:rsidR="00012172" w:rsidRDefault="00012172">
            <w:pPr>
              <w:jc w:val="center"/>
              <w:rPr>
                <w:sz w:val="16"/>
                <w:lang w:val="de-DE"/>
              </w:rPr>
            </w:pPr>
            <w:r>
              <w:rPr>
                <w:sz w:val="16"/>
                <w:lang w:val="de-DE"/>
              </w:rPr>
              <w:t>431</w:t>
            </w:r>
          </w:p>
        </w:tc>
        <w:tc>
          <w:tcPr>
            <w:tcW w:w="900" w:type="dxa"/>
          </w:tcPr>
          <w:p w:rsidR="00012172" w:rsidRDefault="00012172">
            <w:pPr>
              <w:jc w:val="center"/>
              <w:rPr>
                <w:sz w:val="16"/>
                <w:lang w:val="de-DE"/>
              </w:rPr>
            </w:pPr>
            <w:r>
              <w:rPr>
                <w:sz w:val="16"/>
                <w:lang w:val="de-DE"/>
              </w:rPr>
              <w:t>317</w:t>
            </w:r>
          </w:p>
        </w:tc>
        <w:tc>
          <w:tcPr>
            <w:tcW w:w="900" w:type="dxa"/>
            <w:tcBorders>
              <w:right w:val="double" w:sz="2" w:space="0" w:color="000000"/>
            </w:tcBorders>
          </w:tcPr>
          <w:p w:rsidR="00012172" w:rsidRDefault="00012172">
            <w:pPr>
              <w:jc w:val="center"/>
              <w:rPr>
                <w:sz w:val="16"/>
              </w:rPr>
            </w:pPr>
            <w:r>
              <w:rPr>
                <w:sz w:val="16"/>
              </w:rPr>
              <w:t>285</w:t>
            </w:r>
          </w:p>
        </w:tc>
        <w:tc>
          <w:tcPr>
            <w:tcW w:w="1080" w:type="dxa"/>
            <w:tcBorders>
              <w:left w:val="double" w:sz="2" w:space="0" w:color="000000"/>
              <w:right w:val="double" w:sz="2" w:space="0" w:color="000000"/>
            </w:tcBorders>
          </w:tcPr>
          <w:p w:rsidR="00012172" w:rsidRDefault="00012172">
            <w:pPr>
              <w:jc w:val="center"/>
              <w:rPr>
                <w:sz w:val="16"/>
              </w:rPr>
            </w:pPr>
            <w:r>
              <w:rPr>
                <w:sz w:val="16"/>
              </w:rPr>
              <w:t>-33,9</w:t>
            </w:r>
          </w:p>
        </w:tc>
        <w:tc>
          <w:tcPr>
            <w:tcW w:w="1080" w:type="dxa"/>
            <w:tcBorders>
              <w:left w:val="double" w:sz="2" w:space="0" w:color="000000"/>
              <w:right w:val="double" w:sz="2" w:space="0" w:color="000000"/>
            </w:tcBorders>
            <w:vAlign w:val="center"/>
          </w:tcPr>
          <w:p w:rsidR="00012172" w:rsidRDefault="00012172">
            <w:pPr>
              <w:jc w:val="center"/>
              <w:rPr>
                <w:sz w:val="16"/>
                <w:lang w:val="de-DE"/>
              </w:rPr>
            </w:pPr>
            <w:r>
              <w:rPr>
                <w:sz w:val="16"/>
                <w:lang w:val="de-DE"/>
              </w:rPr>
              <w:t>2,60</w:t>
            </w:r>
          </w:p>
        </w:tc>
        <w:tc>
          <w:tcPr>
            <w:tcW w:w="1800" w:type="dxa"/>
            <w:tcBorders>
              <w:left w:val="double" w:sz="2" w:space="0" w:color="000000"/>
            </w:tcBorders>
            <w:vAlign w:val="center"/>
          </w:tcPr>
          <w:p w:rsidR="00012172" w:rsidRDefault="00012172">
            <w:pPr>
              <w:jc w:val="center"/>
              <w:rPr>
                <w:sz w:val="16"/>
                <w:lang w:val="de-DE"/>
              </w:rPr>
            </w:pPr>
            <w:r>
              <w:rPr>
                <w:sz w:val="16"/>
                <w:lang w:val="de-DE"/>
              </w:rPr>
              <w:t>109,6</w:t>
            </w:r>
          </w:p>
        </w:tc>
      </w:tr>
      <w:tr w:rsidR="00012172">
        <w:tblPrEx>
          <w:tblCellMar>
            <w:top w:w="0" w:type="dxa"/>
            <w:bottom w:w="0" w:type="dxa"/>
          </w:tblCellMar>
        </w:tblPrEx>
        <w:trPr>
          <w:cantSplit/>
        </w:trPr>
        <w:tc>
          <w:tcPr>
            <w:tcW w:w="2160" w:type="dxa"/>
            <w:tcBorders>
              <w:right w:val="double" w:sz="2" w:space="0" w:color="000000"/>
            </w:tcBorders>
          </w:tcPr>
          <w:p w:rsidR="00012172" w:rsidRDefault="00012172">
            <w:pPr>
              <w:jc w:val="right"/>
              <w:rPr>
                <w:sz w:val="16"/>
              </w:rPr>
            </w:pPr>
            <w:r>
              <w:rPr>
                <w:sz w:val="16"/>
                <w:lang w:val="de-DE"/>
              </w:rPr>
              <w:t>Luka</w:t>
            </w:r>
            <w:r>
              <w:rPr>
                <w:sz w:val="16"/>
              </w:rPr>
              <w:t>č</w:t>
            </w:r>
            <w:r>
              <w:rPr>
                <w:sz w:val="16"/>
                <w:lang w:val="de-DE"/>
              </w:rPr>
              <w:t>evec</w:t>
            </w:r>
          </w:p>
        </w:tc>
        <w:tc>
          <w:tcPr>
            <w:tcW w:w="900" w:type="dxa"/>
            <w:tcBorders>
              <w:left w:val="double" w:sz="2" w:space="0" w:color="000000"/>
            </w:tcBorders>
          </w:tcPr>
          <w:p w:rsidR="00012172" w:rsidRDefault="00012172">
            <w:pPr>
              <w:jc w:val="center"/>
              <w:rPr>
                <w:sz w:val="16"/>
              </w:rPr>
            </w:pPr>
            <w:r>
              <w:rPr>
                <w:sz w:val="16"/>
              </w:rPr>
              <w:t>58</w:t>
            </w:r>
          </w:p>
        </w:tc>
        <w:tc>
          <w:tcPr>
            <w:tcW w:w="900" w:type="dxa"/>
          </w:tcPr>
          <w:p w:rsidR="00012172" w:rsidRDefault="00012172">
            <w:pPr>
              <w:jc w:val="center"/>
              <w:rPr>
                <w:sz w:val="16"/>
              </w:rPr>
            </w:pPr>
            <w:r>
              <w:rPr>
                <w:sz w:val="16"/>
              </w:rPr>
              <w:t>33</w:t>
            </w:r>
          </w:p>
        </w:tc>
        <w:tc>
          <w:tcPr>
            <w:tcW w:w="900" w:type="dxa"/>
            <w:tcBorders>
              <w:right w:val="double" w:sz="2" w:space="0" w:color="000000"/>
            </w:tcBorders>
          </w:tcPr>
          <w:p w:rsidR="00012172" w:rsidRDefault="00012172">
            <w:pPr>
              <w:jc w:val="center"/>
              <w:rPr>
                <w:sz w:val="16"/>
              </w:rPr>
            </w:pPr>
            <w:r>
              <w:rPr>
                <w:sz w:val="16"/>
              </w:rPr>
              <w:t>25</w:t>
            </w:r>
          </w:p>
        </w:tc>
        <w:tc>
          <w:tcPr>
            <w:tcW w:w="1080" w:type="dxa"/>
            <w:tcBorders>
              <w:left w:val="double" w:sz="2" w:space="0" w:color="000000"/>
              <w:right w:val="double" w:sz="2" w:space="0" w:color="000000"/>
            </w:tcBorders>
          </w:tcPr>
          <w:p w:rsidR="00012172" w:rsidRDefault="00012172">
            <w:pPr>
              <w:jc w:val="center"/>
              <w:rPr>
                <w:sz w:val="16"/>
              </w:rPr>
            </w:pPr>
            <w:r>
              <w:rPr>
                <w:sz w:val="16"/>
              </w:rPr>
              <w:t>-56,9</w:t>
            </w:r>
          </w:p>
        </w:tc>
        <w:tc>
          <w:tcPr>
            <w:tcW w:w="1080" w:type="dxa"/>
            <w:tcBorders>
              <w:left w:val="double" w:sz="2" w:space="0" w:color="000000"/>
              <w:right w:val="double" w:sz="2" w:space="0" w:color="000000"/>
            </w:tcBorders>
            <w:vAlign w:val="center"/>
          </w:tcPr>
          <w:p w:rsidR="00012172" w:rsidRDefault="00012172">
            <w:pPr>
              <w:jc w:val="center"/>
              <w:rPr>
                <w:sz w:val="16"/>
              </w:rPr>
            </w:pPr>
            <w:r>
              <w:rPr>
                <w:sz w:val="16"/>
              </w:rPr>
              <w:t>0,45</w:t>
            </w:r>
          </w:p>
        </w:tc>
        <w:tc>
          <w:tcPr>
            <w:tcW w:w="1800" w:type="dxa"/>
            <w:tcBorders>
              <w:left w:val="double" w:sz="2" w:space="0" w:color="000000"/>
            </w:tcBorders>
            <w:vAlign w:val="center"/>
          </w:tcPr>
          <w:p w:rsidR="00012172" w:rsidRDefault="00012172">
            <w:pPr>
              <w:jc w:val="center"/>
              <w:rPr>
                <w:sz w:val="16"/>
              </w:rPr>
            </w:pPr>
            <w:r>
              <w:rPr>
                <w:sz w:val="16"/>
              </w:rPr>
              <w:t>55,5</w:t>
            </w:r>
          </w:p>
        </w:tc>
      </w:tr>
      <w:tr w:rsidR="00012172">
        <w:tblPrEx>
          <w:tblCellMar>
            <w:top w:w="0" w:type="dxa"/>
            <w:bottom w:w="0" w:type="dxa"/>
          </w:tblCellMar>
        </w:tblPrEx>
        <w:trPr>
          <w:cantSplit/>
        </w:trPr>
        <w:tc>
          <w:tcPr>
            <w:tcW w:w="2160" w:type="dxa"/>
            <w:tcBorders>
              <w:right w:val="double" w:sz="2" w:space="0" w:color="000000"/>
            </w:tcBorders>
          </w:tcPr>
          <w:p w:rsidR="00012172" w:rsidRDefault="00012172">
            <w:pPr>
              <w:jc w:val="right"/>
              <w:rPr>
                <w:sz w:val="16"/>
              </w:rPr>
            </w:pPr>
            <w:r>
              <w:rPr>
                <w:sz w:val="16"/>
              </w:rPr>
              <w:t>Nemčevec</w:t>
            </w:r>
          </w:p>
        </w:tc>
        <w:tc>
          <w:tcPr>
            <w:tcW w:w="900" w:type="dxa"/>
            <w:tcBorders>
              <w:left w:val="double" w:sz="2" w:space="0" w:color="000000"/>
            </w:tcBorders>
          </w:tcPr>
          <w:p w:rsidR="00012172" w:rsidRDefault="00012172">
            <w:pPr>
              <w:jc w:val="center"/>
              <w:rPr>
                <w:sz w:val="16"/>
              </w:rPr>
            </w:pPr>
            <w:r>
              <w:rPr>
                <w:sz w:val="16"/>
              </w:rPr>
              <w:t>132</w:t>
            </w:r>
          </w:p>
        </w:tc>
        <w:tc>
          <w:tcPr>
            <w:tcW w:w="900" w:type="dxa"/>
          </w:tcPr>
          <w:p w:rsidR="00012172" w:rsidRDefault="00012172">
            <w:pPr>
              <w:jc w:val="center"/>
              <w:rPr>
                <w:sz w:val="16"/>
              </w:rPr>
            </w:pPr>
            <w:r>
              <w:rPr>
                <w:sz w:val="16"/>
              </w:rPr>
              <w:t>46</w:t>
            </w:r>
          </w:p>
        </w:tc>
        <w:tc>
          <w:tcPr>
            <w:tcW w:w="900" w:type="dxa"/>
            <w:tcBorders>
              <w:right w:val="double" w:sz="2" w:space="0" w:color="000000"/>
            </w:tcBorders>
          </w:tcPr>
          <w:p w:rsidR="00012172" w:rsidRDefault="00012172">
            <w:pPr>
              <w:jc w:val="center"/>
              <w:rPr>
                <w:sz w:val="16"/>
              </w:rPr>
            </w:pPr>
            <w:r>
              <w:rPr>
                <w:sz w:val="16"/>
              </w:rPr>
              <w:t>29</w:t>
            </w:r>
          </w:p>
        </w:tc>
        <w:tc>
          <w:tcPr>
            <w:tcW w:w="1080" w:type="dxa"/>
            <w:tcBorders>
              <w:left w:val="double" w:sz="2" w:space="0" w:color="000000"/>
              <w:right w:val="double" w:sz="2" w:space="0" w:color="000000"/>
            </w:tcBorders>
          </w:tcPr>
          <w:p w:rsidR="00012172" w:rsidRDefault="00012172">
            <w:pPr>
              <w:jc w:val="center"/>
              <w:rPr>
                <w:sz w:val="16"/>
              </w:rPr>
            </w:pPr>
            <w:r>
              <w:rPr>
                <w:sz w:val="16"/>
              </w:rPr>
              <w:t>-78,0</w:t>
            </w:r>
          </w:p>
        </w:tc>
        <w:tc>
          <w:tcPr>
            <w:tcW w:w="1080" w:type="dxa"/>
            <w:tcBorders>
              <w:left w:val="double" w:sz="2" w:space="0" w:color="000000"/>
              <w:right w:val="double" w:sz="2" w:space="0" w:color="000000"/>
            </w:tcBorders>
            <w:vAlign w:val="center"/>
          </w:tcPr>
          <w:p w:rsidR="00012172" w:rsidRDefault="00012172">
            <w:pPr>
              <w:jc w:val="center"/>
              <w:rPr>
                <w:sz w:val="16"/>
              </w:rPr>
            </w:pPr>
            <w:r>
              <w:rPr>
                <w:sz w:val="16"/>
              </w:rPr>
              <w:t>0,91</w:t>
            </w:r>
          </w:p>
        </w:tc>
        <w:tc>
          <w:tcPr>
            <w:tcW w:w="1800" w:type="dxa"/>
            <w:tcBorders>
              <w:left w:val="double" w:sz="2" w:space="0" w:color="000000"/>
            </w:tcBorders>
            <w:vAlign w:val="center"/>
          </w:tcPr>
          <w:p w:rsidR="00012172" w:rsidRDefault="00012172">
            <w:pPr>
              <w:jc w:val="center"/>
              <w:rPr>
                <w:sz w:val="16"/>
              </w:rPr>
            </w:pPr>
            <w:r>
              <w:rPr>
                <w:sz w:val="16"/>
              </w:rPr>
              <w:t>31,8</w:t>
            </w:r>
          </w:p>
        </w:tc>
      </w:tr>
      <w:tr w:rsidR="00012172">
        <w:tblPrEx>
          <w:tblCellMar>
            <w:top w:w="0" w:type="dxa"/>
            <w:bottom w:w="0" w:type="dxa"/>
          </w:tblCellMar>
        </w:tblPrEx>
        <w:trPr>
          <w:cantSplit/>
        </w:trPr>
        <w:tc>
          <w:tcPr>
            <w:tcW w:w="2160" w:type="dxa"/>
            <w:tcBorders>
              <w:bottom w:val="single" w:sz="6" w:space="0" w:color="000000"/>
              <w:right w:val="double" w:sz="2" w:space="0" w:color="000000"/>
            </w:tcBorders>
          </w:tcPr>
          <w:p w:rsidR="00012172" w:rsidRDefault="00012172">
            <w:pPr>
              <w:jc w:val="right"/>
              <w:rPr>
                <w:sz w:val="16"/>
              </w:rPr>
            </w:pPr>
            <w:r>
              <w:rPr>
                <w:sz w:val="16"/>
              </w:rPr>
              <w:t>Pofuki</w:t>
            </w:r>
          </w:p>
        </w:tc>
        <w:tc>
          <w:tcPr>
            <w:tcW w:w="900" w:type="dxa"/>
            <w:tcBorders>
              <w:left w:val="double" w:sz="2" w:space="0" w:color="000000"/>
              <w:bottom w:val="single" w:sz="6" w:space="0" w:color="000000"/>
            </w:tcBorders>
          </w:tcPr>
          <w:p w:rsidR="00012172" w:rsidRDefault="00012172">
            <w:pPr>
              <w:jc w:val="center"/>
              <w:rPr>
                <w:sz w:val="16"/>
              </w:rPr>
            </w:pPr>
            <w:r>
              <w:rPr>
                <w:sz w:val="16"/>
              </w:rPr>
              <w:t>343</w:t>
            </w:r>
          </w:p>
        </w:tc>
        <w:tc>
          <w:tcPr>
            <w:tcW w:w="900" w:type="dxa"/>
            <w:tcBorders>
              <w:bottom w:val="single" w:sz="6" w:space="0" w:color="000000"/>
            </w:tcBorders>
          </w:tcPr>
          <w:p w:rsidR="00012172" w:rsidRDefault="00012172">
            <w:pPr>
              <w:jc w:val="center"/>
              <w:rPr>
                <w:sz w:val="16"/>
              </w:rPr>
            </w:pPr>
            <w:r>
              <w:rPr>
                <w:sz w:val="16"/>
              </w:rPr>
              <w:t>242</w:t>
            </w:r>
          </w:p>
        </w:tc>
        <w:tc>
          <w:tcPr>
            <w:tcW w:w="900" w:type="dxa"/>
            <w:tcBorders>
              <w:bottom w:val="single" w:sz="6" w:space="0" w:color="000000"/>
              <w:right w:val="double" w:sz="2" w:space="0" w:color="000000"/>
            </w:tcBorders>
          </w:tcPr>
          <w:p w:rsidR="00012172" w:rsidRDefault="00012172">
            <w:pPr>
              <w:jc w:val="center"/>
              <w:rPr>
                <w:sz w:val="16"/>
              </w:rPr>
            </w:pPr>
            <w:r>
              <w:rPr>
                <w:sz w:val="16"/>
              </w:rPr>
              <w:t>221</w:t>
            </w:r>
          </w:p>
        </w:tc>
        <w:tc>
          <w:tcPr>
            <w:tcW w:w="1080" w:type="dxa"/>
            <w:tcBorders>
              <w:left w:val="double" w:sz="2" w:space="0" w:color="000000"/>
              <w:bottom w:val="single" w:sz="6" w:space="0" w:color="000000"/>
              <w:right w:val="double" w:sz="2" w:space="0" w:color="000000"/>
            </w:tcBorders>
          </w:tcPr>
          <w:p w:rsidR="00012172" w:rsidRDefault="00012172">
            <w:pPr>
              <w:jc w:val="center"/>
              <w:rPr>
                <w:sz w:val="16"/>
              </w:rPr>
            </w:pPr>
            <w:r>
              <w:rPr>
                <w:sz w:val="16"/>
              </w:rPr>
              <w:t>-35,9</w:t>
            </w:r>
          </w:p>
        </w:tc>
        <w:tc>
          <w:tcPr>
            <w:tcW w:w="1080" w:type="dxa"/>
            <w:tcBorders>
              <w:left w:val="double" w:sz="2" w:space="0" w:color="000000"/>
              <w:bottom w:val="single" w:sz="6" w:space="0" w:color="000000"/>
              <w:right w:val="double" w:sz="2" w:space="0" w:color="000000"/>
            </w:tcBorders>
            <w:vAlign w:val="center"/>
          </w:tcPr>
          <w:p w:rsidR="00012172" w:rsidRDefault="00012172">
            <w:pPr>
              <w:jc w:val="center"/>
              <w:rPr>
                <w:sz w:val="16"/>
              </w:rPr>
            </w:pPr>
            <w:r>
              <w:rPr>
                <w:sz w:val="16"/>
              </w:rPr>
              <w:t>2,49</w:t>
            </w:r>
          </w:p>
        </w:tc>
        <w:tc>
          <w:tcPr>
            <w:tcW w:w="1800" w:type="dxa"/>
            <w:tcBorders>
              <w:left w:val="double" w:sz="2" w:space="0" w:color="000000"/>
              <w:bottom w:val="single" w:sz="6" w:space="0" w:color="000000"/>
            </w:tcBorders>
            <w:vAlign w:val="center"/>
          </w:tcPr>
          <w:p w:rsidR="00012172" w:rsidRDefault="00012172">
            <w:pPr>
              <w:jc w:val="center"/>
              <w:rPr>
                <w:sz w:val="16"/>
              </w:rPr>
            </w:pPr>
            <w:r>
              <w:rPr>
                <w:sz w:val="16"/>
              </w:rPr>
              <w:t>88,7</w:t>
            </w:r>
          </w:p>
        </w:tc>
      </w:tr>
      <w:tr w:rsidR="00012172">
        <w:tblPrEx>
          <w:tblCellMar>
            <w:top w:w="0" w:type="dxa"/>
            <w:bottom w:w="0" w:type="dxa"/>
          </w:tblCellMar>
        </w:tblPrEx>
        <w:trPr>
          <w:cantSplit/>
        </w:trPr>
        <w:tc>
          <w:tcPr>
            <w:tcW w:w="2160" w:type="dxa"/>
            <w:tcBorders>
              <w:bottom w:val="single" w:sz="6" w:space="0" w:color="000000"/>
              <w:right w:val="double" w:sz="2" w:space="0" w:color="000000"/>
            </w:tcBorders>
          </w:tcPr>
          <w:p w:rsidR="00012172" w:rsidRDefault="00012172">
            <w:pPr>
              <w:jc w:val="right"/>
              <w:rPr>
                <w:sz w:val="16"/>
              </w:rPr>
            </w:pPr>
            <w:r>
              <w:rPr>
                <w:sz w:val="16"/>
              </w:rPr>
              <w:t>Štrigovec</w:t>
            </w:r>
          </w:p>
        </w:tc>
        <w:tc>
          <w:tcPr>
            <w:tcW w:w="900" w:type="dxa"/>
            <w:tcBorders>
              <w:left w:val="double" w:sz="2" w:space="0" w:color="000000"/>
              <w:bottom w:val="single" w:sz="6" w:space="0" w:color="000000"/>
            </w:tcBorders>
          </w:tcPr>
          <w:p w:rsidR="00012172" w:rsidRDefault="00012172">
            <w:pPr>
              <w:jc w:val="center"/>
              <w:rPr>
                <w:sz w:val="16"/>
              </w:rPr>
            </w:pPr>
            <w:r>
              <w:rPr>
                <w:sz w:val="16"/>
              </w:rPr>
              <w:t>78</w:t>
            </w:r>
          </w:p>
        </w:tc>
        <w:tc>
          <w:tcPr>
            <w:tcW w:w="900" w:type="dxa"/>
            <w:tcBorders>
              <w:bottom w:val="single" w:sz="6" w:space="0" w:color="000000"/>
            </w:tcBorders>
          </w:tcPr>
          <w:p w:rsidR="00012172" w:rsidRDefault="00012172">
            <w:pPr>
              <w:jc w:val="center"/>
              <w:rPr>
                <w:sz w:val="16"/>
              </w:rPr>
            </w:pPr>
            <w:r>
              <w:rPr>
                <w:sz w:val="16"/>
              </w:rPr>
              <w:t>51</w:t>
            </w:r>
          </w:p>
        </w:tc>
        <w:tc>
          <w:tcPr>
            <w:tcW w:w="900" w:type="dxa"/>
            <w:tcBorders>
              <w:bottom w:val="single" w:sz="6" w:space="0" w:color="000000"/>
              <w:right w:val="double" w:sz="2" w:space="0" w:color="000000"/>
            </w:tcBorders>
          </w:tcPr>
          <w:p w:rsidR="00012172" w:rsidRDefault="00012172">
            <w:pPr>
              <w:jc w:val="center"/>
              <w:rPr>
                <w:sz w:val="16"/>
              </w:rPr>
            </w:pPr>
            <w:r>
              <w:rPr>
                <w:sz w:val="16"/>
              </w:rPr>
              <w:t>42</w:t>
            </w:r>
          </w:p>
        </w:tc>
        <w:tc>
          <w:tcPr>
            <w:tcW w:w="1080" w:type="dxa"/>
            <w:tcBorders>
              <w:left w:val="double" w:sz="2" w:space="0" w:color="000000"/>
              <w:bottom w:val="single" w:sz="6" w:space="0" w:color="000000"/>
              <w:right w:val="double" w:sz="2" w:space="0" w:color="000000"/>
            </w:tcBorders>
          </w:tcPr>
          <w:p w:rsidR="00012172" w:rsidRDefault="00012172">
            <w:pPr>
              <w:jc w:val="center"/>
              <w:rPr>
                <w:sz w:val="16"/>
              </w:rPr>
            </w:pPr>
            <w:r>
              <w:rPr>
                <w:sz w:val="16"/>
              </w:rPr>
              <w:t>-46,2</w:t>
            </w:r>
          </w:p>
        </w:tc>
        <w:tc>
          <w:tcPr>
            <w:tcW w:w="1080" w:type="dxa"/>
            <w:tcBorders>
              <w:left w:val="double" w:sz="2" w:space="0" w:color="000000"/>
              <w:bottom w:val="single" w:sz="6" w:space="0" w:color="000000"/>
              <w:right w:val="double" w:sz="2" w:space="0" w:color="000000"/>
            </w:tcBorders>
            <w:vAlign w:val="center"/>
          </w:tcPr>
          <w:p w:rsidR="00012172" w:rsidRDefault="00012172">
            <w:pPr>
              <w:jc w:val="center"/>
              <w:rPr>
                <w:sz w:val="16"/>
              </w:rPr>
            </w:pPr>
            <w:r>
              <w:rPr>
                <w:sz w:val="16"/>
              </w:rPr>
              <w:t>0,64</w:t>
            </w:r>
          </w:p>
        </w:tc>
        <w:tc>
          <w:tcPr>
            <w:tcW w:w="1800" w:type="dxa"/>
            <w:tcBorders>
              <w:left w:val="double" w:sz="2" w:space="0" w:color="000000"/>
              <w:bottom w:val="single" w:sz="6" w:space="0" w:color="000000"/>
            </w:tcBorders>
            <w:vAlign w:val="center"/>
          </w:tcPr>
          <w:p w:rsidR="00012172" w:rsidRDefault="00012172">
            <w:pPr>
              <w:jc w:val="center"/>
              <w:rPr>
                <w:sz w:val="16"/>
              </w:rPr>
            </w:pPr>
            <w:r>
              <w:rPr>
                <w:sz w:val="16"/>
              </w:rPr>
              <w:t>65,6</w:t>
            </w:r>
          </w:p>
        </w:tc>
      </w:tr>
      <w:tr w:rsidR="00012172">
        <w:tblPrEx>
          <w:tblCellMar>
            <w:top w:w="0" w:type="dxa"/>
            <w:bottom w:w="0" w:type="dxa"/>
          </w:tblCellMar>
        </w:tblPrEx>
        <w:trPr>
          <w:cantSplit/>
        </w:trPr>
        <w:tc>
          <w:tcPr>
            <w:tcW w:w="2160" w:type="dxa"/>
            <w:tcBorders>
              <w:top w:val="single" w:sz="6" w:space="0" w:color="000000"/>
              <w:bottom w:val="double" w:sz="6" w:space="0" w:color="000000"/>
              <w:right w:val="double" w:sz="2" w:space="0" w:color="000000"/>
            </w:tcBorders>
          </w:tcPr>
          <w:p w:rsidR="00012172" w:rsidRDefault="00012172">
            <w:pPr>
              <w:jc w:val="right"/>
              <w:rPr>
                <w:sz w:val="16"/>
              </w:rPr>
            </w:pPr>
            <w:r>
              <w:rPr>
                <w:sz w:val="16"/>
              </w:rPr>
              <w:t>Vukšinec Riječki</w:t>
            </w:r>
          </w:p>
        </w:tc>
        <w:tc>
          <w:tcPr>
            <w:tcW w:w="900" w:type="dxa"/>
            <w:tcBorders>
              <w:top w:val="single" w:sz="6" w:space="0" w:color="000000"/>
              <w:left w:val="double" w:sz="2" w:space="0" w:color="000000"/>
              <w:bottom w:val="double" w:sz="6" w:space="0" w:color="000000"/>
            </w:tcBorders>
          </w:tcPr>
          <w:p w:rsidR="00012172" w:rsidRDefault="00012172">
            <w:pPr>
              <w:jc w:val="center"/>
              <w:rPr>
                <w:sz w:val="16"/>
              </w:rPr>
            </w:pPr>
            <w:r>
              <w:rPr>
                <w:sz w:val="16"/>
              </w:rPr>
              <w:t>106</w:t>
            </w:r>
          </w:p>
        </w:tc>
        <w:tc>
          <w:tcPr>
            <w:tcW w:w="900" w:type="dxa"/>
            <w:tcBorders>
              <w:top w:val="single" w:sz="6" w:space="0" w:color="000000"/>
              <w:bottom w:val="double" w:sz="6" w:space="0" w:color="000000"/>
            </w:tcBorders>
          </w:tcPr>
          <w:p w:rsidR="00012172" w:rsidRDefault="00012172">
            <w:pPr>
              <w:jc w:val="center"/>
              <w:rPr>
                <w:sz w:val="16"/>
              </w:rPr>
            </w:pPr>
            <w:r>
              <w:rPr>
                <w:sz w:val="16"/>
              </w:rPr>
              <w:t>86</w:t>
            </w:r>
          </w:p>
        </w:tc>
        <w:tc>
          <w:tcPr>
            <w:tcW w:w="900" w:type="dxa"/>
            <w:tcBorders>
              <w:top w:val="single" w:sz="6" w:space="0" w:color="000000"/>
              <w:bottom w:val="double" w:sz="6" w:space="0" w:color="000000"/>
              <w:right w:val="double" w:sz="2" w:space="0" w:color="000000"/>
            </w:tcBorders>
          </w:tcPr>
          <w:p w:rsidR="00012172" w:rsidRDefault="00012172">
            <w:pPr>
              <w:jc w:val="center"/>
              <w:rPr>
                <w:sz w:val="16"/>
              </w:rPr>
            </w:pPr>
            <w:r>
              <w:rPr>
                <w:sz w:val="16"/>
              </w:rPr>
              <w:t>83</w:t>
            </w:r>
          </w:p>
        </w:tc>
        <w:tc>
          <w:tcPr>
            <w:tcW w:w="1080" w:type="dxa"/>
            <w:tcBorders>
              <w:top w:val="single" w:sz="6" w:space="0" w:color="000000"/>
              <w:left w:val="double" w:sz="2" w:space="0" w:color="000000"/>
              <w:bottom w:val="double" w:sz="6" w:space="0" w:color="000000"/>
              <w:right w:val="double" w:sz="2" w:space="0" w:color="000000"/>
            </w:tcBorders>
          </w:tcPr>
          <w:p w:rsidR="00012172" w:rsidRDefault="00012172">
            <w:pPr>
              <w:jc w:val="center"/>
              <w:rPr>
                <w:sz w:val="16"/>
              </w:rPr>
            </w:pPr>
            <w:r>
              <w:rPr>
                <w:sz w:val="16"/>
              </w:rPr>
              <w:t>-21,7</w:t>
            </w:r>
          </w:p>
        </w:tc>
        <w:tc>
          <w:tcPr>
            <w:tcW w:w="1080" w:type="dxa"/>
            <w:tcBorders>
              <w:top w:val="single" w:sz="6" w:space="0" w:color="000000"/>
              <w:left w:val="double" w:sz="2" w:space="0" w:color="000000"/>
              <w:bottom w:val="double" w:sz="6" w:space="0" w:color="000000"/>
              <w:right w:val="double" w:sz="2" w:space="0" w:color="000000"/>
            </w:tcBorders>
            <w:vAlign w:val="center"/>
          </w:tcPr>
          <w:p w:rsidR="00012172" w:rsidRDefault="00012172">
            <w:pPr>
              <w:jc w:val="center"/>
              <w:rPr>
                <w:sz w:val="16"/>
              </w:rPr>
            </w:pPr>
            <w:r>
              <w:rPr>
                <w:sz w:val="16"/>
              </w:rPr>
              <w:t>0,55</w:t>
            </w:r>
          </w:p>
        </w:tc>
        <w:tc>
          <w:tcPr>
            <w:tcW w:w="1800" w:type="dxa"/>
            <w:tcBorders>
              <w:top w:val="single" w:sz="6" w:space="0" w:color="000000"/>
              <w:left w:val="double" w:sz="2" w:space="0" w:color="000000"/>
              <w:bottom w:val="double" w:sz="6" w:space="0" w:color="000000"/>
            </w:tcBorders>
            <w:vAlign w:val="center"/>
          </w:tcPr>
          <w:p w:rsidR="00012172" w:rsidRDefault="00012172">
            <w:pPr>
              <w:jc w:val="center"/>
              <w:rPr>
                <w:sz w:val="16"/>
              </w:rPr>
            </w:pPr>
            <w:r>
              <w:rPr>
                <w:sz w:val="16"/>
              </w:rPr>
              <w:t>150,9</w:t>
            </w:r>
          </w:p>
        </w:tc>
      </w:tr>
    </w:tbl>
    <w:p w:rsidR="00012172" w:rsidRDefault="00012172"/>
    <w:p w:rsidR="00012172" w:rsidRDefault="00012172"/>
    <w:p w:rsidR="00012172" w:rsidRDefault="00012172"/>
    <w:p w:rsidR="00012172" w:rsidRDefault="00012172">
      <w:pPr>
        <w:pStyle w:val="Opisslike"/>
        <w:rPr>
          <w:rFonts w:ascii="Times New Roman" w:hAnsi="Times New Roman"/>
          <w:b/>
          <w:bCs w:val="0"/>
          <w:sz w:val="22"/>
        </w:rPr>
      </w:pPr>
      <w:bookmarkStart w:id="7" w:name="_Toc135185915"/>
      <w:r>
        <w:rPr>
          <w:rFonts w:ascii="Times New Roman" w:hAnsi="Times New Roman"/>
          <w:b/>
          <w:bCs w:val="0"/>
          <w:sz w:val="22"/>
        </w:rPr>
        <w:t xml:space="preserve">Slika </w:t>
      </w:r>
      <w:r>
        <w:rPr>
          <w:rFonts w:ascii="Times New Roman" w:hAnsi="Times New Roman"/>
          <w:b/>
          <w:bCs w:val="0"/>
          <w:sz w:val="22"/>
        </w:rPr>
        <w:fldChar w:fldCharType="begin"/>
      </w:r>
      <w:r>
        <w:rPr>
          <w:rFonts w:ascii="Times New Roman" w:hAnsi="Times New Roman"/>
          <w:b/>
          <w:bCs w:val="0"/>
          <w:sz w:val="22"/>
        </w:rPr>
        <w:instrText xml:space="preserve"> SEQ Slika \* ARABIC </w:instrText>
      </w:r>
      <w:r>
        <w:rPr>
          <w:rFonts w:ascii="Times New Roman" w:hAnsi="Times New Roman"/>
          <w:b/>
          <w:bCs w:val="0"/>
          <w:sz w:val="22"/>
        </w:rPr>
        <w:fldChar w:fldCharType="separate"/>
      </w:r>
      <w:r w:rsidR="002B1815">
        <w:rPr>
          <w:rFonts w:ascii="Times New Roman" w:hAnsi="Times New Roman"/>
          <w:b/>
          <w:bCs w:val="0"/>
          <w:noProof/>
          <w:sz w:val="22"/>
        </w:rPr>
        <w:t>2</w:t>
      </w:r>
      <w:r>
        <w:rPr>
          <w:rFonts w:ascii="Times New Roman" w:hAnsi="Times New Roman"/>
          <w:b/>
          <w:bCs w:val="0"/>
          <w:sz w:val="22"/>
        </w:rPr>
        <w:fldChar w:fldCharType="end"/>
      </w:r>
      <w:r>
        <w:rPr>
          <w:rFonts w:ascii="Times New Roman" w:hAnsi="Times New Roman"/>
          <w:b/>
          <w:bCs w:val="0"/>
          <w:sz w:val="22"/>
        </w:rPr>
        <w:t>: Kretanje broja stanovnika općine Gornja Rijeka</w:t>
      </w:r>
      <w:bookmarkEnd w:id="7"/>
    </w:p>
    <w:p w:rsidR="00012172" w:rsidRDefault="008F6679">
      <w:pPr>
        <w:pStyle w:val="Tijeloteksta"/>
      </w:pPr>
      <w:r>
        <w:rPr>
          <w:noProof/>
        </w:rPr>
        <w:drawing>
          <wp:inline distT="0" distB="0" distL="0" distR="0">
            <wp:extent cx="5778500" cy="3441700"/>
            <wp:effectExtent l="0" t="0" r="0" b="0"/>
            <wp:docPr id="2" name="Objek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12172" w:rsidRDefault="00012172">
      <w:pPr>
        <w:pStyle w:val="Tijeloteksta"/>
      </w:pPr>
    </w:p>
    <w:p w:rsidR="00012172" w:rsidRDefault="00012172">
      <w:r>
        <w:br w:type="page"/>
      </w:r>
    </w:p>
    <w:p w:rsidR="00012172" w:rsidRDefault="00012172"/>
    <w:p w:rsidR="00012172" w:rsidRDefault="00012172">
      <w:pPr>
        <w:pStyle w:val="Opisslike"/>
        <w:rPr>
          <w:b/>
          <w:sz w:val="22"/>
        </w:rPr>
      </w:pPr>
      <w:r>
        <w:rPr>
          <w:b/>
          <w:sz w:val="22"/>
        </w:rPr>
        <w:t>Tablica 4: Broj kućanstava prema broju članova 1991. i 2001. godine</w:t>
      </w:r>
    </w:p>
    <w:tbl>
      <w:tblPr>
        <w:tblW w:w="4950" w:type="pct"/>
        <w:jc w:val="center"/>
        <w:tblInd w:w="-2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105" w:type="dxa"/>
          <w:left w:w="105" w:type="dxa"/>
          <w:bottom w:w="105" w:type="dxa"/>
          <w:right w:w="105" w:type="dxa"/>
        </w:tblCellMar>
        <w:tblLook w:val="00BF" w:firstRow="1" w:lastRow="0" w:firstColumn="1" w:lastColumn="0" w:noHBand="0" w:noVBand="0"/>
      </w:tblPr>
      <w:tblGrid>
        <w:gridCol w:w="2297"/>
        <w:gridCol w:w="1226"/>
        <w:gridCol w:w="867"/>
        <w:gridCol w:w="739"/>
        <w:gridCol w:w="785"/>
        <w:gridCol w:w="710"/>
        <w:gridCol w:w="710"/>
        <w:gridCol w:w="698"/>
        <w:gridCol w:w="584"/>
        <w:gridCol w:w="585"/>
      </w:tblGrid>
      <w:tr w:rsidR="00012172">
        <w:trPr>
          <w:jc w:val="center"/>
        </w:trPr>
        <w:tc>
          <w:tcPr>
            <w:tcW w:w="2297" w:type="dxa"/>
            <w:vAlign w:val="center"/>
          </w:tcPr>
          <w:p w:rsidR="00012172" w:rsidRDefault="00012172">
            <w:pPr>
              <w:jc w:val="center"/>
              <w:rPr>
                <w:caps/>
                <w:sz w:val="20"/>
                <w:szCs w:val="20"/>
              </w:rPr>
            </w:pPr>
            <w:r>
              <w:rPr>
                <w:caps/>
                <w:sz w:val="20"/>
                <w:szCs w:val="20"/>
              </w:rPr>
              <w:t>OPĆINA</w:t>
            </w:r>
          </w:p>
          <w:p w:rsidR="00012172" w:rsidRDefault="00012172">
            <w:pPr>
              <w:jc w:val="center"/>
              <w:rPr>
                <w:caps/>
                <w:sz w:val="20"/>
                <w:szCs w:val="20"/>
              </w:rPr>
            </w:pPr>
            <w:r>
              <w:rPr>
                <w:caps/>
                <w:sz w:val="20"/>
                <w:szCs w:val="20"/>
              </w:rPr>
              <w:t>GORNJA RIJEKA</w:t>
            </w:r>
          </w:p>
        </w:tc>
        <w:tc>
          <w:tcPr>
            <w:tcW w:w="1226" w:type="dxa"/>
            <w:vAlign w:val="center"/>
          </w:tcPr>
          <w:p w:rsidR="00012172" w:rsidRDefault="00012172">
            <w:pPr>
              <w:jc w:val="center"/>
              <w:rPr>
                <w:caps/>
                <w:sz w:val="20"/>
                <w:szCs w:val="20"/>
              </w:rPr>
            </w:pPr>
            <w:r>
              <w:rPr>
                <w:caps/>
                <w:sz w:val="20"/>
                <w:szCs w:val="20"/>
              </w:rPr>
              <w:t>UKUPNO</w:t>
            </w:r>
          </w:p>
        </w:tc>
        <w:tc>
          <w:tcPr>
            <w:tcW w:w="867" w:type="dxa"/>
            <w:vAlign w:val="center"/>
          </w:tcPr>
          <w:p w:rsidR="00012172" w:rsidRDefault="00012172">
            <w:pPr>
              <w:jc w:val="center"/>
              <w:rPr>
                <w:caps/>
                <w:sz w:val="20"/>
                <w:szCs w:val="20"/>
              </w:rPr>
            </w:pPr>
            <w:r>
              <w:rPr>
                <w:caps/>
                <w:sz w:val="20"/>
                <w:szCs w:val="20"/>
              </w:rPr>
              <w:t>1</w:t>
            </w:r>
          </w:p>
        </w:tc>
        <w:tc>
          <w:tcPr>
            <w:tcW w:w="739" w:type="dxa"/>
            <w:vAlign w:val="center"/>
          </w:tcPr>
          <w:p w:rsidR="00012172" w:rsidRDefault="00012172">
            <w:pPr>
              <w:jc w:val="center"/>
              <w:rPr>
                <w:caps/>
                <w:sz w:val="20"/>
                <w:szCs w:val="20"/>
              </w:rPr>
            </w:pPr>
            <w:r>
              <w:rPr>
                <w:caps/>
                <w:sz w:val="20"/>
                <w:szCs w:val="20"/>
              </w:rPr>
              <w:t>2</w:t>
            </w:r>
          </w:p>
        </w:tc>
        <w:tc>
          <w:tcPr>
            <w:tcW w:w="785" w:type="dxa"/>
            <w:vAlign w:val="center"/>
          </w:tcPr>
          <w:p w:rsidR="00012172" w:rsidRDefault="00012172">
            <w:pPr>
              <w:jc w:val="center"/>
              <w:rPr>
                <w:caps/>
                <w:sz w:val="20"/>
                <w:szCs w:val="20"/>
              </w:rPr>
            </w:pPr>
            <w:r>
              <w:rPr>
                <w:caps/>
                <w:sz w:val="20"/>
                <w:szCs w:val="20"/>
              </w:rPr>
              <w:t>3</w:t>
            </w:r>
          </w:p>
        </w:tc>
        <w:tc>
          <w:tcPr>
            <w:tcW w:w="710" w:type="dxa"/>
            <w:vAlign w:val="center"/>
          </w:tcPr>
          <w:p w:rsidR="00012172" w:rsidRDefault="00012172">
            <w:pPr>
              <w:jc w:val="center"/>
              <w:rPr>
                <w:caps/>
                <w:sz w:val="20"/>
                <w:szCs w:val="20"/>
              </w:rPr>
            </w:pPr>
            <w:r>
              <w:rPr>
                <w:caps/>
                <w:sz w:val="20"/>
                <w:szCs w:val="20"/>
              </w:rPr>
              <w:t>4</w:t>
            </w:r>
          </w:p>
        </w:tc>
        <w:tc>
          <w:tcPr>
            <w:tcW w:w="710" w:type="dxa"/>
            <w:vAlign w:val="center"/>
          </w:tcPr>
          <w:p w:rsidR="00012172" w:rsidRDefault="00012172">
            <w:pPr>
              <w:jc w:val="center"/>
              <w:rPr>
                <w:caps/>
                <w:sz w:val="20"/>
                <w:szCs w:val="20"/>
              </w:rPr>
            </w:pPr>
            <w:r>
              <w:rPr>
                <w:caps/>
                <w:sz w:val="20"/>
                <w:szCs w:val="20"/>
              </w:rPr>
              <w:t>5</w:t>
            </w:r>
          </w:p>
        </w:tc>
        <w:tc>
          <w:tcPr>
            <w:tcW w:w="698" w:type="dxa"/>
            <w:vAlign w:val="center"/>
          </w:tcPr>
          <w:p w:rsidR="00012172" w:rsidRDefault="00012172">
            <w:pPr>
              <w:jc w:val="center"/>
              <w:rPr>
                <w:caps/>
                <w:sz w:val="20"/>
                <w:szCs w:val="20"/>
              </w:rPr>
            </w:pPr>
            <w:r>
              <w:rPr>
                <w:caps/>
                <w:sz w:val="20"/>
                <w:szCs w:val="20"/>
              </w:rPr>
              <w:t>6</w:t>
            </w:r>
          </w:p>
        </w:tc>
        <w:tc>
          <w:tcPr>
            <w:tcW w:w="584" w:type="dxa"/>
            <w:vAlign w:val="center"/>
          </w:tcPr>
          <w:p w:rsidR="00012172" w:rsidRDefault="00012172">
            <w:pPr>
              <w:jc w:val="center"/>
              <w:rPr>
                <w:caps/>
                <w:sz w:val="20"/>
                <w:szCs w:val="20"/>
              </w:rPr>
            </w:pPr>
            <w:r>
              <w:rPr>
                <w:caps/>
                <w:sz w:val="20"/>
                <w:szCs w:val="20"/>
              </w:rPr>
              <w:t>7</w:t>
            </w:r>
          </w:p>
        </w:tc>
        <w:tc>
          <w:tcPr>
            <w:tcW w:w="585" w:type="dxa"/>
            <w:vAlign w:val="center"/>
          </w:tcPr>
          <w:p w:rsidR="00012172" w:rsidRDefault="00012172">
            <w:pPr>
              <w:jc w:val="center"/>
              <w:rPr>
                <w:caps/>
                <w:sz w:val="20"/>
                <w:szCs w:val="20"/>
              </w:rPr>
            </w:pPr>
            <w:r>
              <w:rPr>
                <w:caps/>
                <w:sz w:val="20"/>
                <w:szCs w:val="20"/>
              </w:rPr>
              <w:t>8≤</w:t>
            </w:r>
          </w:p>
        </w:tc>
      </w:tr>
      <w:tr w:rsidR="00012172">
        <w:trPr>
          <w:jc w:val="center"/>
        </w:trPr>
        <w:tc>
          <w:tcPr>
            <w:tcW w:w="2297" w:type="dxa"/>
            <w:tcBorders>
              <w:bottom w:val="single" w:sz="4" w:space="0" w:color="auto"/>
            </w:tcBorders>
            <w:vAlign w:val="center"/>
          </w:tcPr>
          <w:p w:rsidR="00012172" w:rsidRDefault="00012172">
            <w:pPr>
              <w:jc w:val="center"/>
              <w:rPr>
                <w:sz w:val="20"/>
                <w:szCs w:val="20"/>
              </w:rPr>
            </w:pPr>
            <w:r>
              <w:rPr>
                <w:sz w:val="20"/>
                <w:szCs w:val="20"/>
              </w:rPr>
              <w:t>2001.</w:t>
            </w:r>
          </w:p>
        </w:tc>
        <w:tc>
          <w:tcPr>
            <w:tcW w:w="1226" w:type="dxa"/>
            <w:vAlign w:val="center"/>
          </w:tcPr>
          <w:p w:rsidR="00012172" w:rsidRDefault="00012172">
            <w:pPr>
              <w:jc w:val="center"/>
              <w:rPr>
                <w:sz w:val="20"/>
                <w:szCs w:val="20"/>
              </w:rPr>
            </w:pPr>
            <w:r>
              <w:rPr>
                <w:sz w:val="20"/>
                <w:szCs w:val="20"/>
              </w:rPr>
              <w:t>573</w:t>
            </w:r>
          </w:p>
        </w:tc>
        <w:tc>
          <w:tcPr>
            <w:tcW w:w="867" w:type="dxa"/>
          </w:tcPr>
          <w:p w:rsidR="00012172" w:rsidRDefault="00012172">
            <w:pPr>
              <w:jc w:val="center"/>
              <w:rPr>
                <w:sz w:val="20"/>
                <w:szCs w:val="20"/>
              </w:rPr>
            </w:pPr>
            <w:r>
              <w:rPr>
                <w:sz w:val="20"/>
                <w:szCs w:val="20"/>
              </w:rPr>
              <w:t>109</w:t>
            </w:r>
          </w:p>
        </w:tc>
        <w:tc>
          <w:tcPr>
            <w:tcW w:w="739" w:type="dxa"/>
            <w:vAlign w:val="center"/>
          </w:tcPr>
          <w:p w:rsidR="00012172" w:rsidRDefault="00012172">
            <w:pPr>
              <w:jc w:val="center"/>
              <w:rPr>
                <w:sz w:val="20"/>
                <w:szCs w:val="20"/>
              </w:rPr>
            </w:pPr>
            <w:r>
              <w:rPr>
                <w:sz w:val="20"/>
                <w:szCs w:val="20"/>
              </w:rPr>
              <w:t>120</w:t>
            </w:r>
          </w:p>
        </w:tc>
        <w:tc>
          <w:tcPr>
            <w:tcW w:w="785" w:type="dxa"/>
            <w:vAlign w:val="center"/>
          </w:tcPr>
          <w:p w:rsidR="00012172" w:rsidRDefault="00012172">
            <w:pPr>
              <w:jc w:val="center"/>
              <w:rPr>
                <w:sz w:val="20"/>
                <w:szCs w:val="20"/>
              </w:rPr>
            </w:pPr>
            <w:r>
              <w:rPr>
                <w:sz w:val="20"/>
                <w:szCs w:val="20"/>
              </w:rPr>
              <w:t>83</w:t>
            </w:r>
          </w:p>
        </w:tc>
        <w:tc>
          <w:tcPr>
            <w:tcW w:w="710" w:type="dxa"/>
            <w:vAlign w:val="center"/>
          </w:tcPr>
          <w:p w:rsidR="00012172" w:rsidRDefault="00012172">
            <w:pPr>
              <w:jc w:val="center"/>
              <w:rPr>
                <w:sz w:val="20"/>
                <w:szCs w:val="20"/>
              </w:rPr>
            </w:pPr>
            <w:r>
              <w:rPr>
                <w:sz w:val="20"/>
                <w:szCs w:val="20"/>
              </w:rPr>
              <w:t>74</w:t>
            </w:r>
          </w:p>
        </w:tc>
        <w:tc>
          <w:tcPr>
            <w:tcW w:w="710" w:type="dxa"/>
            <w:vAlign w:val="center"/>
          </w:tcPr>
          <w:p w:rsidR="00012172" w:rsidRDefault="00012172">
            <w:pPr>
              <w:jc w:val="center"/>
              <w:rPr>
                <w:sz w:val="20"/>
                <w:szCs w:val="20"/>
              </w:rPr>
            </w:pPr>
            <w:r>
              <w:rPr>
                <w:sz w:val="20"/>
                <w:szCs w:val="20"/>
              </w:rPr>
              <w:t>75</w:t>
            </w:r>
          </w:p>
        </w:tc>
        <w:tc>
          <w:tcPr>
            <w:tcW w:w="698" w:type="dxa"/>
            <w:vAlign w:val="center"/>
          </w:tcPr>
          <w:p w:rsidR="00012172" w:rsidRDefault="00012172">
            <w:pPr>
              <w:jc w:val="center"/>
              <w:rPr>
                <w:sz w:val="20"/>
                <w:szCs w:val="20"/>
              </w:rPr>
            </w:pPr>
            <w:r>
              <w:rPr>
                <w:sz w:val="20"/>
                <w:szCs w:val="20"/>
              </w:rPr>
              <w:t>54</w:t>
            </w:r>
          </w:p>
        </w:tc>
        <w:tc>
          <w:tcPr>
            <w:tcW w:w="584" w:type="dxa"/>
            <w:vAlign w:val="center"/>
          </w:tcPr>
          <w:p w:rsidR="00012172" w:rsidRDefault="00012172">
            <w:pPr>
              <w:jc w:val="center"/>
              <w:rPr>
                <w:sz w:val="20"/>
                <w:szCs w:val="20"/>
              </w:rPr>
            </w:pPr>
            <w:r>
              <w:rPr>
                <w:sz w:val="20"/>
                <w:szCs w:val="20"/>
              </w:rPr>
              <w:t>35</w:t>
            </w:r>
          </w:p>
        </w:tc>
        <w:tc>
          <w:tcPr>
            <w:tcW w:w="585" w:type="dxa"/>
            <w:vAlign w:val="center"/>
          </w:tcPr>
          <w:p w:rsidR="00012172" w:rsidRDefault="00012172">
            <w:pPr>
              <w:jc w:val="center"/>
              <w:rPr>
                <w:sz w:val="20"/>
                <w:szCs w:val="20"/>
              </w:rPr>
            </w:pPr>
            <w:r>
              <w:rPr>
                <w:sz w:val="20"/>
                <w:szCs w:val="20"/>
              </w:rPr>
              <w:t>23</w:t>
            </w:r>
          </w:p>
        </w:tc>
      </w:tr>
    </w:tbl>
    <w:p w:rsidR="00012172" w:rsidRDefault="00012172">
      <w:pPr>
        <w:rPr>
          <w:rFonts w:ascii="Arial" w:hAnsi="Arial" w:cs="Arial"/>
          <w:sz w:val="22"/>
          <w:szCs w:val="20"/>
        </w:rPr>
      </w:pPr>
      <w:r>
        <w:rPr>
          <w:rFonts w:ascii="Arial" w:hAnsi="Arial" w:cs="Arial"/>
          <w:sz w:val="22"/>
          <w:szCs w:val="20"/>
        </w:rPr>
        <w:t xml:space="preserve">Izvor:  Popis stanovništva, kućanstava i stanova 2001. </w:t>
      </w:r>
      <w:hyperlink r:id="rId10" w:history="1">
        <w:r>
          <w:rPr>
            <w:rStyle w:val="Hiperveza"/>
            <w:rFonts w:ascii="Arial" w:hAnsi="Arial" w:cs="Arial"/>
            <w:sz w:val="22"/>
            <w:szCs w:val="20"/>
          </w:rPr>
          <w:t>http://www.dzs.hr</w:t>
        </w:r>
      </w:hyperlink>
    </w:p>
    <w:p w:rsidR="00012172" w:rsidRDefault="00012172">
      <w:pPr>
        <w:rPr>
          <w:rFonts w:ascii="Arial" w:hAnsi="Arial" w:cs="Arial"/>
          <w:sz w:val="22"/>
          <w:szCs w:val="20"/>
        </w:rPr>
      </w:pPr>
      <w:r>
        <w:rPr>
          <w:rFonts w:ascii="Arial" w:hAnsi="Arial" w:cs="Arial"/>
          <w:sz w:val="22"/>
          <w:szCs w:val="20"/>
        </w:rPr>
        <w:t xml:space="preserve">          Popis 1991., Dokumentacija 886, Zagreb 1994.</w:t>
      </w:r>
    </w:p>
    <w:p w:rsidR="00012172" w:rsidRDefault="00012172">
      <w:pPr>
        <w:pStyle w:val="Naslov"/>
        <w:jc w:val="left"/>
        <w:rPr>
          <w:sz w:val="20"/>
        </w:rPr>
      </w:pPr>
    </w:p>
    <w:p w:rsidR="00012172" w:rsidRDefault="00012172">
      <w:pPr>
        <w:jc w:val="both"/>
        <w:rPr>
          <w:rFonts w:ascii="Arial" w:hAnsi="Arial" w:cs="Arial"/>
          <w:sz w:val="22"/>
        </w:rPr>
      </w:pPr>
    </w:p>
    <w:p w:rsidR="00012172" w:rsidRDefault="00012172">
      <w:pPr>
        <w:jc w:val="both"/>
        <w:rPr>
          <w:rFonts w:ascii="Arial" w:hAnsi="Arial" w:cs="Arial"/>
          <w:sz w:val="22"/>
        </w:rPr>
      </w:pPr>
    </w:p>
    <w:p w:rsidR="00012172" w:rsidRDefault="00012172">
      <w:pPr>
        <w:pStyle w:val="Naslov7"/>
        <w:rPr>
          <w:rFonts w:cs="Arial"/>
          <w:bCs/>
          <w:szCs w:val="24"/>
        </w:rPr>
      </w:pPr>
      <w:r>
        <w:rPr>
          <w:rFonts w:cs="Arial"/>
          <w:bCs/>
          <w:szCs w:val="24"/>
        </w:rPr>
        <w:t>Naselja</w:t>
      </w:r>
    </w:p>
    <w:p w:rsidR="00012172" w:rsidRDefault="00012172">
      <w:pPr>
        <w:jc w:val="both"/>
        <w:rPr>
          <w:rFonts w:ascii="Arial" w:hAnsi="Arial" w:cs="Arial"/>
          <w:sz w:val="22"/>
        </w:rPr>
      </w:pPr>
      <w:r>
        <w:rPr>
          <w:rFonts w:ascii="Arial" w:hAnsi="Arial" w:cs="Arial"/>
          <w:sz w:val="22"/>
        </w:rPr>
        <w:t xml:space="preserve">Naselja Gornja i Donja Rijeka dobila su naziv po potoku Reka, koji izvire ispod starog grada Reka, a utječe u potok Črnec kod Miholca. </w:t>
      </w:r>
      <w:r w:rsidRPr="00F30AE6">
        <w:rPr>
          <w:rFonts w:ascii="Arial" w:hAnsi="Arial" w:cs="Arial"/>
          <w:b/>
          <w:sz w:val="22"/>
        </w:rPr>
        <w:t>Gornja Rijeka</w:t>
      </w:r>
      <w:r>
        <w:rPr>
          <w:rFonts w:ascii="Arial" w:hAnsi="Arial" w:cs="Arial"/>
          <w:sz w:val="22"/>
        </w:rPr>
        <w:t xml:space="preserve"> prvi puta spominje se 1248. godine kao plemićki posjed Nikole i Abrama. U starijim dokumentima naziva se Kys Kem</w:t>
      </w:r>
      <w:r w:rsidR="00F30AE6">
        <w:rPr>
          <w:rFonts w:ascii="Arial" w:hAnsi="Arial" w:cs="Arial"/>
          <w:sz w:val="22"/>
        </w:rPr>
        <w:t>lek odnosno Mali Kalnik. Naselje</w:t>
      </w:r>
      <w:r>
        <w:rPr>
          <w:rFonts w:ascii="Arial" w:hAnsi="Arial" w:cs="Arial"/>
          <w:sz w:val="22"/>
        </w:rPr>
        <w:t xml:space="preserve"> </w:t>
      </w:r>
      <w:r w:rsidRPr="00F30AE6">
        <w:rPr>
          <w:rFonts w:ascii="Arial" w:hAnsi="Arial" w:cs="Arial"/>
          <w:b/>
          <w:sz w:val="22"/>
        </w:rPr>
        <w:t>Donja Rijeka</w:t>
      </w:r>
      <w:r>
        <w:rPr>
          <w:rFonts w:ascii="Arial" w:hAnsi="Arial" w:cs="Arial"/>
          <w:sz w:val="22"/>
        </w:rPr>
        <w:t xml:space="preserve"> proteže se uz potok Reka južno od dvorca Gornja Rijeka, u duljini od dva i pol kilometra. Ima i nekoliko zaselaka: Hasanec, Batina, Petrač i Oraki. </w:t>
      </w:r>
      <w:r w:rsidRPr="00F30AE6">
        <w:rPr>
          <w:rFonts w:ascii="Arial" w:hAnsi="Arial" w:cs="Arial"/>
          <w:b/>
          <w:sz w:val="22"/>
        </w:rPr>
        <w:t>Barlabaševec</w:t>
      </w:r>
      <w:r>
        <w:rPr>
          <w:rFonts w:ascii="Arial" w:hAnsi="Arial" w:cs="Arial"/>
          <w:sz w:val="22"/>
        </w:rPr>
        <w:t xml:space="preserve"> se spominje kao plemenito selo kalničkih jednoselišnih plemića 1526. </w:t>
      </w:r>
      <w:r w:rsidRPr="00F30AE6">
        <w:rPr>
          <w:rFonts w:ascii="Arial" w:hAnsi="Arial" w:cs="Arial"/>
          <w:b/>
          <w:sz w:val="22"/>
        </w:rPr>
        <w:t>Deklešanec</w:t>
      </w:r>
      <w:r>
        <w:rPr>
          <w:rFonts w:ascii="Arial" w:hAnsi="Arial" w:cs="Arial"/>
          <w:sz w:val="22"/>
        </w:rPr>
        <w:t xml:space="preserve"> se nalazi neposredno ispod Malog Kalnika. Selo se spominje 1573. kao posjed gospoštije. </w:t>
      </w:r>
      <w:r w:rsidRPr="00F30AE6">
        <w:rPr>
          <w:rFonts w:ascii="Arial" w:hAnsi="Arial" w:cs="Arial"/>
          <w:b/>
          <w:sz w:val="22"/>
        </w:rPr>
        <w:t>Dropkovec</w:t>
      </w:r>
      <w:r>
        <w:rPr>
          <w:rFonts w:ascii="Arial" w:hAnsi="Arial" w:cs="Arial"/>
          <w:sz w:val="22"/>
        </w:rPr>
        <w:t xml:space="preserve"> kao plemenito selo plemića spominje se već 1475. godine. Tu je nekada bio centar plemića. </w:t>
      </w:r>
      <w:r w:rsidR="005C1E50" w:rsidRPr="005C1E50">
        <w:rPr>
          <w:rFonts w:ascii="Arial" w:hAnsi="Arial" w:cs="Arial"/>
          <w:b/>
          <w:sz w:val="22"/>
        </w:rPr>
        <w:t>Fajerovec</w:t>
      </w:r>
      <w:r w:rsidR="005C1E50">
        <w:rPr>
          <w:rFonts w:ascii="Arial" w:hAnsi="Arial" w:cs="Arial"/>
          <w:sz w:val="22"/>
        </w:rPr>
        <w:t xml:space="preserve"> je bio nekad plemićko selo kalničkih plemića. To se selo nekada zvalo Šatvari po plemićkoj obitelji Šatvar koja se ovdje spominje već 1646 godine.Plantažni vinogradi popdignuti su 1978. godine. </w:t>
      </w:r>
      <w:r w:rsidR="005C1E50" w:rsidRPr="007E7AF5">
        <w:rPr>
          <w:rFonts w:ascii="Arial" w:hAnsi="Arial" w:cs="Arial"/>
          <w:b/>
          <w:sz w:val="22"/>
        </w:rPr>
        <w:t>Fodrovec Riječki</w:t>
      </w:r>
      <w:r w:rsidR="005C1E50">
        <w:rPr>
          <w:rFonts w:ascii="Arial" w:hAnsi="Arial" w:cs="Arial"/>
          <w:sz w:val="22"/>
        </w:rPr>
        <w:t xml:space="preserve"> spominje se prvi puta 1517. godine. </w:t>
      </w:r>
      <w:r w:rsidR="005C1E50" w:rsidRPr="005C1E50">
        <w:rPr>
          <w:rFonts w:ascii="Arial" w:hAnsi="Arial" w:cs="Arial"/>
          <w:b/>
          <w:sz w:val="22"/>
        </w:rPr>
        <w:t>Kolarec</w:t>
      </w:r>
      <w:r w:rsidR="005C1E50">
        <w:rPr>
          <w:rFonts w:ascii="Arial" w:hAnsi="Arial" w:cs="Arial"/>
          <w:sz w:val="22"/>
        </w:rPr>
        <w:t xml:space="preserve"> se spominje prvi puta u dokumentima 1397. i 1613. godine. Dijeli se na gornji i donji dio sela. Godine 1938. izgorjelo je 30 kuća. Selo je obnovljeno u „tirolskom stilu“ pod vodstvom graditelja Florschutza. </w:t>
      </w:r>
      <w:r w:rsidR="007E7AF5" w:rsidRPr="007E7AF5">
        <w:rPr>
          <w:rFonts w:ascii="Arial" w:hAnsi="Arial" w:cs="Arial"/>
          <w:b/>
          <w:sz w:val="22"/>
        </w:rPr>
        <w:t>Kostanjevec Riječki</w:t>
      </w:r>
      <w:r w:rsidR="007E7AF5">
        <w:rPr>
          <w:rFonts w:ascii="Arial" w:hAnsi="Arial" w:cs="Arial"/>
          <w:sz w:val="22"/>
        </w:rPr>
        <w:t xml:space="preserve"> spominje se 1517., 1573. i 1598. godine kao selo-posjed gospoštije Mali Kalnik ili Gornja Rijeka. Selo </w:t>
      </w:r>
      <w:r w:rsidR="007E7AF5" w:rsidRPr="007E7AF5">
        <w:rPr>
          <w:rFonts w:ascii="Arial" w:hAnsi="Arial" w:cs="Arial"/>
          <w:b/>
          <w:sz w:val="22"/>
        </w:rPr>
        <w:t>Lukačevec</w:t>
      </w:r>
      <w:r w:rsidR="007E7AF5">
        <w:rPr>
          <w:rFonts w:ascii="Arial" w:hAnsi="Arial" w:cs="Arial"/>
          <w:sz w:val="22"/>
        </w:rPr>
        <w:t xml:space="preserve"> se prvi puta spominje 1493. </w:t>
      </w:r>
      <w:r w:rsidR="007E7AF5" w:rsidRPr="007E7AF5">
        <w:rPr>
          <w:rFonts w:ascii="Arial" w:hAnsi="Arial" w:cs="Arial"/>
          <w:b/>
          <w:sz w:val="22"/>
        </w:rPr>
        <w:t xml:space="preserve">Nemčevec </w:t>
      </w:r>
      <w:r w:rsidR="007E7AF5">
        <w:rPr>
          <w:rFonts w:ascii="Arial" w:hAnsi="Arial" w:cs="Arial"/>
          <w:sz w:val="22"/>
        </w:rPr>
        <w:t xml:space="preserve">je staro plemenito selo kalničkih plemića koje se u sačuvanim dokumentima spominje prvi puita 1720. godine. </w:t>
      </w:r>
      <w:r w:rsidR="007E7AF5" w:rsidRPr="007E7AF5">
        <w:rPr>
          <w:rFonts w:ascii="Arial" w:hAnsi="Arial" w:cs="Arial"/>
          <w:b/>
          <w:sz w:val="22"/>
        </w:rPr>
        <w:t>Pofuki</w:t>
      </w:r>
      <w:r w:rsidR="007E7AF5">
        <w:rPr>
          <w:rFonts w:ascii="Arial" w:hAnsi="Arial" w:cs="Arial"/>
          <w:sz w:val="22"/>
        </w:rPr>
        <w:t xml:space="preserve"> se prvu puta spominju 1720. godine. </w:t>
      </w:r>
      <w:r w:rsidR="007E7AF5" w:rsidRPr="007E7AF5">
        <w:rPr>
          <w:rFonts w:ascii="Arial" w:hAnsi="Arial" w:cs="Arial"/>
          <w:b/>
          <w:sz w:val="22"/>
        </w:rPr>
        <w:t>Štrigovec</w:t>
      </w:r>
      <w:r w:rsidR="007E7AF5">
        <w:rPr>
          <w:rFonts w:ascii="Arial" w:hAnsi="Arial" w:cs="Arial"/>
          <w:sz w:val="22"/>
        </w:rPr>
        <w:t xml:space="preserve"> i </w:t>
      </w:r>
      <w:r w:rsidR="007E7AF5" w:rsidRPr="007E7AF5">
        <w:rPr>
          <w:rFonts w:ascii="Arial" w:hAnsi="Arial" w:cs="Arial"/>
          <w:b/>
          <w:sz w:val="22"/>
        </w:rPr>
        <w:t xml:space="preserve">Vukšinec Riječki </w:t>
      </w:r>
      <w:r w:rsidR="007E7AF5">
        <w:rPr>
          <w:rFonts w:ascii="Arial" w:hAnsi="Arial" w:cs="Arial"/>
          <w:sz w:val="22"/>
        </w:rPr>
        <w:t xml:space="preserve">prvi puta se spominju 1646. godine. </w:t>
      </w:r>
      <w:r>
        <w:rPr>
          <w:rFonts w:ascii="Arial" w:hAnsi="Arial" w:cs="Arial"/>
          <w:sz w:val="22"/>
        </w:rPr>
        <w:t>Na području Općine pretežito su građeni stambeno-gospodarski ili stambeno poslovni objekti najčešće međusobno odvojeni, ali ima i objekata u nizu. Jedan dio gospodarskih objekata građenih u nizu i starijim načinom gradnje sa dosta ugrađenog drveta.</w:t>
      </w:r>
    </w:p>
    <w:p w:rsidR="00012172" w:rsidRDefault="00012172">
      <w:pPr>
        <w:jc w:val="both"/>
        <w:rPr>
          <w:rFonts w:ascii="Arial" w:hAnsi="Arial" w:cs="Arial"/>
          <w:sz w:val="22"/>
        </w:rPr>
      </w:pPr>
    </w:p>
    <w:p w:rsidR="00012172" w:rsidRDefault="00012172">
      <w:pPr>
        <w:jc w:val="both"/>
        <w:rPr>
          <w:rFonts w:ascii="Arial" w:hAnsi="Arial" w:cs="Arial"/>
          <w:sz w:val="22"/>
        </w:rPr>
      </w:pPr>
    </w:p>
    <w:p w:rsidR="00012172" w:rsidRDefault="008F6679">
      <w:pPr>
        <w:jc w:val="both"/>
        <w:rPr>
          <w:rFonts w:ascii="Arial" w:hAnsi="Arial" w:cs="Arial"/>
          <w:sz w:val="22"/>
        </w:rPr>
      </w:pPr>
      <w:r>
        <w:rPr>
          <w:rFonts w:ascii="Arial" w:hAnsi="Arial" w:cs="Arial"/>
          <w:noProof/>
          <w:sz w:val="22"/>
        </w:rPr>
        <w:lastRenderedPageBreak/>
        <w:drawing>
          <wp:inline distT="0" distB="0" distL="0" distR="0">
            <wp:extent cx="4305300" cy="5905500"/>
            <wp:effectExtent l="0" t="0" r="0" b="0"/>
            <wp:docPr id="3" name="Slika 3" descr="slika-nase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a-naselj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5300" cy="5905500"/>
                    </a:xfrm>
                    <a:prstGeom prst="rect">
                      <a:avLst/>
                    </a:prstGeom>
                    <a:noFill/>
                    <a:ln>
                      <a:noFill/>
                    </a:ln>
                  </pic:spPr>
                </pic:pic>
              </a:graphicData>
            </a:graphic>
          </wp:inline>
        </w:drawing>
      </w:r>
    </w:p>
    <w:p w:rsidR="00012172" w:rsidRDefault="00012172">
      <w:pPr>
        <w:pStyle w:val="Opisslike"/>
        <w:rPr>
          <w:b/>
        </w:rPr>
      </w:pPr>
      <w:bookmarkStart w:id="8" w:name="_Toc135185916"/>
      <w:r>
        <w:rPr>
          <w:b/>
        </w:rPr>
        <w:t xml:space="preserve">Slika </w:t>
      </w:r>
      <w:r>
        <w:rPr>
          <w:b/>
        </w:rPr>
        <w:fldChar w:fldCharType="begin"/>
      </w:r>
      <w:r>
        <w:rPr>
          <w:b/>
        </w:rPr>
        <w:instrText xml:space="preserve"> SEQ Slika \* ARABIC </w:instrText>
      </w:r>
      <w:r>
        <w:rPr>
          <w:b/>
        </w:rPr>
        <w:fldChar w:fldCharType="separate"/>
      </w:r>
      <w:r w:rsidR="002B1815">
        <w:rPr>
          <w:b/>
          <w:noProof/>
        </w:rPr>
        <w:t>3</w:t>
      </w:r>
      <w:r>
        <w:rPr>
          <w:b/>
        </w:rPr>
        <w:fldChar w:fldCharType="end"/>
      </w:r>
      <w:r>
        <w:rPr>
          <w:b/>
        </w:rPr>
        <w:t>: Naselja</w:t>
      </w:r>
      <w:bookmarkEnd w:id="8"/>
    </w:p>
    <w:p w:rsidR="00012172" w:rsidRDefault="00012172">
      <w:pPr>
        <w:pStyle w:val="Naslov"/>
        <w:jc w:val="left"/>
        <w:rPr>
          <w:sz w:val="20"/>
        </w:rPr>
      </w:pPr>
    </w:p>
    <w:p w:rsidR="00012172" w:rsidRDefault="00012172">
      <w:pPr>
        <w:pStyle w:val="Naslov"/>
        <w:jc w:val="left"/>
        <w:rPr>
          <w:sz w:val="20"/>
        </w:rPr>
      </w:pPr>
    </w:p>
    <w:p w:rsidR="00012172" w:rsidRDefault="00012172">
      <w:pPr>
        <w:pStyle w:val="Naslov"/>
        <w:jc w:val="left"/>
        <w:rPr>
          <w:sz w:val="20"/>
        </w:rPr>
      </w:pPr>
    </w:p>
    <w:p w:rsidR="00012172" w:rsidRDefault="00012172">
      <w:pPr>
        <w:pStyle w:val="Opisslike"/>
        <w:rPr>
          <w:b/>
          <w:sz w:val="22"/>
        </w:rPr>
      </w:pPr>
      <w:bookmarkStart w:id="9" w:name="_Toc132763252"/>
      <w:r>
        <w:rPr>
          <w:b/>
          <w:sz w:val="22"/>
        </w:rPr>
        <w:t xml:space="preserve">Tablica </w:t>
      </w:r>
      <w:r>
        <w:rPr>
          <w:b/>
          <w:sz w:val="22"/>
        </w:rPr>
        <w:fldChar w:fldCharType="begin"/>
      </w:r>
      <w:r>
        <w:rPr>
          <w:b/>
          <w:sz w:val="22"/>
        </w:rPr>
        <w:instrText xml:space="preserve"> SEQ Tablica \* ARABIC </w:instrText>
      </w:r>
      <w:r>
        <w:rPr>
          <w:b/>
          <w:sz w:val="22"/>
        </w:rPr>
        <w:fldChar w:fldCharType="separate"/>
      </w:r>
      <w:r w:rsidR="002B1815">
        <w:rPr>
          <w:b/>
          <w:noProof/>
          <w:sz w:val="22"/>
        </w:rPr>
        <w:t>2</w:t>
      </w:r>
      <w:r>
        <w:rPr>
          <w:b/>
          <w:sz w:val="22"/>
        </w:rPr>
        <w:fldChar w:fldCharType="end"/>
      </w:r>
      <w:r>
        <w:rPr>
          <w:b/>
          <w:sz w:val="22"/>
        </w:rPr>
        <w:t>: Stanovi prema načinu korištenja, druge nastanjene prostorije i broj osoba u stanovima i drugim nastanjenim prostorijama 2001.godine</w:t>
      </w:r>
      <w:bookmarkEnd w:id="9"/>
    </w:p>
    <w:tbl>
      <w:tblPr>
        <w:tblW w:w="8637" w:type="dxa"/>
        <w:jc w:val="center"/>
        <w:tblInd w:w="56" w:type="dxa"/>
        <w:tblBorders>
          <w:top w:val="single" w:sz="6" w:space="0" w:color="auto"/>
          <w:left w:val="single" w:sz="6" w:space="0" w:color="auto"/>
          <w:bottom w:val="single" w:sz="6" w:space="0" w:color="auto"/>
          <w:right w:val="single" w:sz="6" w:space="0" w:color="auto"/>
        </w:tblBorders>
        <w:tblLayout w:type="fixed"/>
        <w:tblCellMar>
          <w:left w:w="56" w:type="dxa"/>
          <w:right w:w="56" w:type="dxa"/>
        </w:tblCellMar>
        <w:tblLook w:val="0000" w:firstRow="0" w:lastRow="0" w:firstColumn="0" w:lastColumn="0" w:noHBand="0" w:noVBand="0"/>
      </w:tblPr>
      <w:tblGrid>
        <w:gridCol w:w="815"/>
        <w:gridCol w:w="815"/>
        <w:gridCol w:w="815"/>
        <w:gridCol w:w="977"/>
        <w:gridCol w:w="1141"/>
        <w:gridCol w:w="978"/>
        <w:gridCol w:w="978"/>
        <w:gridCol w:w="1141"/>
        <w:gridCol w:w="977"/>
      </w:tblGrid>
      <w:tr w:rsidR="00012172">
        <w:tblPrEx>
          <w:tblCellMar>
            <w:top w:w="0" w:type="dxa"/>
            <w:bottom w:w="0" w:type="dxa"/>
          </w:tblCellMar>
        </w:tblPrEx>
        <w:trPr>
          <w:cantSplit/>
          <w:trHeight w:val="194"/>
          <w:jc w:val="center"/>
        </w:trPr>
        <w:tc>
          <w:tcPr>
            <w:tcW w:w="815" w:type="dxa"/>
            <w:vMerge w:val="restart"/>
            <w:tcBorders>
              <w:top w:val="single" w:sz="6" w:space="0" w:color="auto"/>
              <w:right w:val="single" w:sz="6" w:space="0" w:color="auto"/>
            </w:tcBorders>
            <w:vAlign w:val="center"/>
          </w:tcPr>
          <w:p w:rsidR="00012172" w:rsidRDefault="00012172">
            <w:pPr>
              <w:ind w:right="-56"/>
              <w:jc w:val="center"/>
              <w:rPr>
                <w:caps/>
                <w:sz w:val="16"/>
              </w:rPr>
            </w:pPr>
          </w:p>
        </w:tc>
        <w:tc>
          <w:tcPr>
            <w:tcW w:w="815" w:type="dxa"/>
            <w:vMerge w:val="restart"/>
            <w:tcBorders>
              <w:top w:val="single" w:sz="6" w:space="0" w:color="auto"/>
              <w:left w:val="single" w:sz="6" w:space="0" w:color="auto"/>
              <w:right w:val="nil"/>
            </w:tcBorders>
            <w:vAlign w:val="center"/>
          </w:tcPr>
          <w:p w:rsidR="00012172" w:rsidRDefault="00012172">
            <w:pPr>
              <w:jc w:val="center"/>
              <w:rPr>
                <w:caps/>
                <w:sz w:val="16"/>
              </w:rPr>
            </w:pPr>
            <w:r>
              <w:rPr>
                <w:sz w:val="16"/>
              </w:rPr>
              <w:t>ukupan</w:t>
            </w:r>
          </w:p>
          <w:p w:rsidR="00012172" w:rsidRDefault="00012172">
            <w:pPr>
              <w:jc w:val="center"/>
              <w:rPr>
                <w:caps/>
                <w:sz w:val="16"/>
              </w:rPr>
            </w:pPr>
            <w:r>
              <w:rPr>
                <w:sz w:val="16"/>
              </w:rPr>
              <w:t>broj</w:t>
            </w:r>
          </w:p>
          <w:p w:rsidR="00012172" w:rsidRDefault="00012172">
            <w:pPr>
              <w:jc w:val="center"/>
              <w:rPr>
                <w:caps/>
                <w:sz w:val="16"/>
              </w:rPr>
            </w:pPr>
            <w:r>
              <w:rPr>
                <w:sz w:val="16"/>
              </w:rPr>
              <w:t>stanova</w:t>
            </w:r>
          </w:p>
        </w:tc>
        <w:tc>
          <w:tcPr>
            <w:tcW w:w="7006" w:type="dxa"/>
            <w:gridSpan w:val="7"/>
            <w:tcBorders>
              <w:top w:val="single" w:sz="6" w:space="0" w:color="auto"/>
              <w:left w:val="single" w:sz="6" w:space="0" w:color="auto"/>
              <w:bottom w:val="single" w:sz="6" w:space="0" w:color="auto"/>
              <w:right w:val="single" w:sz="6" w:space="0" w:color="auto"/>
            </w:tcBorders>
          </w:tcPr>
          <w:p w:rsidR="00012172" w:rsidRDefault="00012172">
            <w:pPr>
              <w:jc w:val="center"/>
              <w:rPr>
                <w:caps/>
                <w:sz w:val="16"/>
              </w:rPr>
            </w:pPr>
            <w:r>
              <w:rPr>
                <w:sz w:val="16"/>
              </w:rPr>
              <w:t>s t a n o v i</w:t>
            </w:r>
          </w:p>
        </w:tc>
      </w:tr>
      <w:tr w:rsidR="00012172">
        <w:tblPrEx>
          <w:tblCellMar>
            <w:top w:w="0" w:type="dxa"/>
            <w:bottom w:w="0" w:type="dxa"/>
          </w:tblCellMar>
        </w:tblPrEx>
        <w:trPr>
          <w:cantSplit/>
          <w:trHeight w:val="143"/>
          <w:jc w:val="center"/>
        </w:trPr>
        <w:tc>
          <w:tcPr>
            <w:tcW w:w="815" w:type="dxa"/>
            <w:vMerge/>
            <w:tcBorders>
              <w:right w:val="single" w:sz="6" w:space="0" w:color="auto"/>
            </w:tcBorders>
          </w:tcPr>
          <w:p w:rsidR="00012172" w:rsidRDefault="00012172">
            <w:pPr>
              <w:ind w:right="-56"/>
              <w:jc w:val="center"/>
              <w:rPr>
                <w:sz w:val="16"/>
              </w:rPr>
            </w:pPr>
          </w:p>
        </w:tc>
        <w:tc>
          <w:tcPr>
            <w:tcW w:w="815" w:type="dxa"/>
            <w:vMerge/>
            <w:tcBorders>
              <w:left w:val="single" w:sz="6" w:space="0" w:color="auto"/>
              <w:right w:val="single" w:sz="6" w:space="0" w:color="auto"/>
            </w:tcBorders>
          </w:tcPr>
          <w:p w:rsidR="00012172" w:rsidRDefault="00012172">
            <w:pPr>
              <w:jc w:val="center"/>
              <w:rPr>
                <w:caps/>
                <w:sz w:val="16"/>
              </w:rPr>
            </w:pPr>
          </w:p>
        </w:tc>
        <w:tc>
          <w:tcPr>
            <w:tcW w:w="3911" w:type="dxa"/>
            <w:gridSpan w:val="4"/>
            <w:tcBorders>
              <w:top w:val="single" w:sz="6" w:space="0" w:color="auto"/>
              <w:left w:val="nil"/>
              <w:bottom w:val="single" w:sz="6" w:space="0" w:color="auto"/>
              <w:right w:val="single" w:sz="6" w:space="0" w:color="auto"/>
            </w:tcBorders>
            <w:vAlign w:val="center"/>
          </w:tcPr>
          <w:p w:rsidR="00012172" w:rsidRDefault="00012172">
            <w:pPr>
              <w:jc w:val="center"/>
              <w:rPr>
                <w:caps/>
                <w:sz w:val="16"/>
              </w:rPr>
            </w:pPr>
            <w:r>
              <w:rPr>
                <w:sz w:val="16"/>
              </w:rPr>
              <w:t>stanovi za stalna stanovanje</w:t>
            </w:r>
          </w:p>
        </w:tc>
        <w:tc>
          <w:tcPr>
            <w:tcW w:w="2119" w:type="dxa"/>
            <w:gridSpan w:val="2"/>
            <w:tcBorders>
              <w:top w:val="nil"/>
              <w:left w:val="nil"/>
              <w:bottom w:val="single" w:sz="6" w:space="0" w:color="auto"/>
              <w:right w:val="single" w:sz="6" w:space="0" w:color="auto"/>
            </w:tcBorders>
            <w:vAlign w:val="center"/>
          </w:tcPr>
          <w:p w:rsidR="00012172" w:rsidRDefault="00012172">
            <w:pPr>
              <w:jc w:val="center"/>
              <w:rPr>
                <w:caps/>
                <w:sz w:val="16"/>
              </w:rPr>
            </w:pPr>
            <w:r>
              <w:rPr>
                <w:sz w:val="16"/>
              </w:rPr>
              <w:t>stanovi koji se koriste povremeno</w:t>
            </w:r>
          </w:p>
          <w:p w:rsidR="00012172" w:rsidRDefault="00012172">
            <w:pPr>
              <w:jc w:val="center"/>
              <w:rPr>
                <w:caps/>
                <w:sz w:val="16"/>
              </w:rPr>
            </w:pPr>
          </w:p>
        </w:tc>
        <w:tc>
          <w:tcPr>
            <w:tcW w:w="977" w:type="dxa"/>
            <w:vMerge w:val="restart"/>
            <w:tcBorders>
              <w:top w:val="nil"/>
              <w:left w:val="nil"/>
              <w:right w:val="single" w:sz="6" w:space="0" w:color="auto"/>
            </w:tcBorders>
            <w:vAlign w:val="center"/>
          </w:tcPr>
          <w:p w:rsidR="00012172" w:rsidRDefault="00012172">
            <w:pPr>
              <w:jc w:val="center"/>
              <w:rPr>
                <w:caps/>
                <w:sz w:val="16"/>
              </w:rPr>
            </w:pPr>
            <w:r>
              <w:rPr>
                <w:sz w:val="16"/>
              </w:rPr>
              <w:t>stanovi u</w:t>
            </w:r>
          </w:p>
          <w:p w:rsidR="00012172" w:rsidRDefault="00012172">
            <w:pPr>
              <w:jc w:val="center"/>
              <w:rPr>
                <w:caps/>
                <w:sz w:val="16"/>
              </w:rPr>
            </w:pPr>
            <w:r>
              <w:rPr>
                <w:sz w:val="16"/>
              </w:rPr>
              <w:t>kojima se</w:t>
            </w:r>
          </w:p>
          <w:p w:rsidR="00012172" w:rsidRDefault="00012172">
            <w:pPr>
              <w:jc w:val="center"/>
              <w:rPr>
                <w:caps/>
                <w:sz w:val="16"/>
              </w:rPr>
            </w:pPr>
            <w:r>
              <w:rPr>
                <w:sz w:val="16"/>
              </w:rPr>
              <w:t>sključivo</w:t>
            </w:r>
          </w:p>
          <w:p w:rsidR="00012172" w:rsidRDefault="00012172">
            <w:pPr>
              <w:jc w:val="center"/>
              <w:rPr>
                <w:caps/>
                <w:sz w:val="16"/>
              </w:rPr>
            </w:pPr>
            <w:r>
              <w:rPr>
                <w:sz w:val="16"/>
              </w:rPr>
              <w:t>obavlja</w:t>
            </w:r>
          </w:p>
          <w:p w:rsidR="00012172" w:rsidRDefault="00012172">
            <w:pPr>
              <w:jc w:val="center"/>
              <w:rPr>
                <w:caps/>
                <w:sz w:val="16"/>
              </w:rPr>
            </w:pPr>
            <w:r>
              <w:rPr>
                <w:sz w:val="16"/>
              </w:rPr>
              <w:t>djelatnost</w:t>
            </w:r>
          </w:p>
        </w:tc>
      </w:tr>
      <w:tr w:rsidR="00012172">
        <w:tblPrEx>
          <w:tblCellMar>
            <w:top w:w="0" w:type="dxa"/>
            <w:bottom w:w="0" w:type="dxa"/>
          </w:tblCellMar>
        </w:tblPrEx>
        <w:trPr>
          <w:cantSplit/>
          <w:trHeight w:val="143"/>
          <w:jc w:val="center"/>
        </w:trPr>
        <w:tc>
          <w:tcPr>
            <w:tcW w:w="815" w:type="dxa"/>
            <w:vMerge/>
            <w:tcBorders>
              <w:right w:val="single" w:sz="6" w:space="0" w:color="auto"/>
            </w:tcBorders>
          </w:tcPr>
          <w:p w:rsidR="00012172" w:rsidRDefault="00012172">
            <w:pPr>
              <w:jc w:val="center"/>
              <w:rPr>
                <w:caps/>
                <w:sz w:val="16"/>
              </w:rPr>
            </w:pPr>
          </w:p>
        </w:tc>
        <w:tc>
          <w:tcPr>
            <w:tcW w:w="815" w:type="dxa"/>
            <w:vMerge/>
            <w:tcBorders>
              <w:left w:val="single" w:sz="6" w:space="0" w:color="auto"/>
              <w:right w:val="single" w:sz="6" w:space="0" w:color="auto"/>
            </w:tcBorders>
          </w:tcPr>
          <w:p w:rsidR="00012172" w:rsidRDefault="00012172">
            <w:pPr>
              <w:jc w:val="center"/>
              <w:rPr>
                <w:caps/>
                <w:sz w:val="16"/>
              </w:rPr>
            </w:pPr>
          </w:p>
        </w:tc>
        <w:tc>
          <w:tcPr>
            <w:tcW w:w="815" w:type="dxa"/>
            <w:vMerge w:val="restart"/>
            <w:tcBorders>
              <w:top w:val="single" w:sz="6" w:space="0" w:color="auto"/>
              <w:left w:val="nil"/>
              <w:right w:val="single" w:sz="6" w:space="0" w:color="auto"/>
            </w:tcBorders>
            <w:vAlign w:val="center"/>
          </w:tcPr>
          <w:p w:rsidR="00012172" w:rsidRDefault="00012172">
            <w:pPr>
              <w:jc w:val="center"/>
              <w:rPr>
                <w:sz w:val="16"/>
                <w:szCs w:val="16"/>
              </w:rPr>
            </w:pPr>
            <w:r>
              <w:rPr>
                <w:sz w:val="16"/>
                <w:szCs w:val="16"/>
              </w:rPr>
              <w:t>ukupno</w:t>
            </w:r>
          </w:p>
        </w:tc>
        <w:tc>
          <w:tcPr>
            <w:tcW w:w="977" w:type="dxa"/>
            <w:vMerge w:val="restart"/>
            <w:tcBorders>
              <w:top w:val="single" w:sz="6" w:space="0" w:color="auto"/>
              <w:left w:val="nil"/>
              <w:right w:val="single" w:sz="6" w:space="0" w:color="auto"/>
            </w:tcBorders>
            <w:vAlign w:val="center"/>
          </w:tcPr>
          <w:p w:rsidR="00012172" w:rsidRDefault="00012172">
            <w:pPr>
              <w:jc w:val="center"/>
              <w:rPr>
                <w:caps/>
                <w:sz w:val="16"/>
              </w:rPr>
            </w:pPr>
            <w:r>
              <w:rPr>
                <w:sz w:val="16"/>
              </w:rPr>
              <w:t>nastanjeni</w:t>
            </w:r>
          </w:p>
        </w:tc>
        <w:tc>
          <w:tcPr>
            <w:tcW w:w="2119" w:type="dxa"/>
            <w:gridSpan w:val="2"/>
            <w:tcBorders>
              <w:top w:val="single" w:sz="6" w:space="0" w:color="auto"/>
              <w:left w:val="nil"/>
              <w:bottom w:val="single" w:sz="6" w:space="0" w:color="auto"/>
              <w:right w:val="single" w:sz="6" w:space="0" w:color="auto"/>
            </w:tcBorders>
          </w:tcPr>
          <w:p w:rsidR="00012172" w:rsidRDefault="00012172">
            <w:pPr>
              <w:jc w:val="center"/>
              <w:rPr>
                <w:caps/>
                <w:sz w:val="16"/>
              </w:rPr>
            </w:pPr>
            <w:r>
              <w:rPr>
                <w:sz w:val="16"/>
              </w:rPr>
              <w:t>nenastanjeni</w:t>
            </w:r>
          </w:p>
        </w:tc>
        <w:tc>
          <w:tcPr>
            <w:tcW w:w="978" w:type="dxa"/>
            <w:vMerge w:val="restart"/>
            <w:tcBorders>
              <w:top w:val="nil"/>
              <w:left w:val="nil"/>
              <w:right w:val="single" w:sz="6" w:space="0" w:color="auto"/>
            </w:tcBorders>
            <w:vAlign w:val="center"/>
          </w:tcPr>
          <w:p w:rsidR="00012172" w:rsidRDefault="00012172">
            <w:pPr>
              <w:jc w:val="center"/>
              <w:rPr>
                <w:caps/>
                <w:sz w:val="16"/>
              </w:rPr>
            </w:pPr>
            <w:r>
              <w:rPr>
                <w:sz w:val="16"/>
              </w:rPr>
              <w:t>za odmor i rekreaciju</w:t>
            </w:r>
          </w:p>
        </w:tc>
        <w:tc>
          <w:tcPr>
            <w:tcW w:w="1140" w:type="dxa"/>
            <w:vMerge w:val="restart"/>
            <w:tcBorders>
              <w:top w:val="nil"/>
              <w:left w:val="nil"/>
              <w:right w:val="single" w:sz="6" w:space="0" w:color="auto"/>
            </w:tcBorders>
          </w:tcPr>
          <w:p w:rsidR="00012172" w:rsidRDefault="00012172">
            <w:pPr>
              <w:jc w:val="center"/>
              <w:rPr>
                <w:caps/>
                <w:sz w:val="16"/>
              </w:rPr>
            </w:pPr>
            <w:r>
              <w:rPr>
                <w:sz w:val="16"/>
              </w:rPr>
              <w:t>u vrijeme sezonskih</w:t>
            </w:r>
          </w:p>
          <w:p w:rsidR="00012172" w:rsidRDefault="00012172">
            <w:pPr>
              <w:jc w:val="center"/>
              <w:rPr>
                <w:caps/>
                <w:sz w:val="16"/>
              </w:rPr>
            </w:pPr>
            <w:r>
              <w:rPr>
                <w:sz w:val="16"/>
              </w:rPr>
              <w:t>radova u poljoprivredi</w:t>
            </w:r>
          </w:p>
        </w:tc>
        <w:tc>
          <w:tcPr>
            <w:tcW w:w="977" w:type="dxa"/>
            <w:vMerge/>
            <w:tcBorders>
              <w:left w:val="nil"/>
              <w:right w:val="single" w:sz="6" w:space="0" w:color="auto"/>
            </w:tcBorders>
          </w:tcPr>
          <w:p w:rsidR="00012172" w:rsidRDefault="00012172">
            <w:pPr>
              <w:jc w:val="center"/>
              <w:rPr>
                <w:caps/>
                <w:sz w:val="16"/>
              </w:rPr>
            </w:pPr>
          </w:p>
        </w:tc>
      </w:tr>
      <w:tr w:rsidR="00012172">
        <w:tblPrEx>
          <w:tblCellMar>
            <w:top w:w="0" w:type="dxa"/>
            <w:bottom w:w="0" w:type="dxa"/>
          </w:tblCellMar>
        </w:tblPrEx>
        <w:trPr>
          <w:cantSplit/>
          <w:trHeight w:val="143"/>
          <w:jc w:val="center"/>
        </w:trPr>
        <w:tc>
          <w:tcPr>
            <w:tcW w:w="815" w:type="dxa"/>
            <w:vMerge/>
            <w:tcBorders>
              <w:bottom w:val="nil"/>
              <w:right w:val="single" w:sz="6" w:space="0" w:color="auto"/>
            </w:tcBorders>
          </w:tcPr>
          <w:p w:rsidR="00012172" w:rsidRDefault="00012172">
            <w:pPr>
              <w:jc w:val="center"/>
              <w:rPr>
                <w:caps/>
                <w:sz w:val="16"/>
              </w:rPr>
            </w:pPr>
          </w:p>
        </w:tc>
        <w:tc>
          <w:tcPr>
            <w:tcW w:w="815" w:type="dxa"/>
            <w:vMerge/>
            <w:tcBorders>
              <w:left w:val="single" w:sz="6" w:space="0" w:color="auto"/>
              <w:bottom w:val="nil"/>
              <w:right w:val="single" w:sz="6" w:space="0" w:color="auto"/>
            </w:tcBorders>
          </w:tcPr>
          <w:p w:rsidR="00012172" w:rsidRDefault="00012172">
            <w:pPr>
              <w:jc w:val="center"/>
              <w:rPr>
                <w:caps/>
                <w:sz w:val="16"/>
              </w:rPr>
            </w:pPr>
          </w:p>
        </w:tc>
        <w:tc>
          <w:tcPr>
            <w:tcW w:w="815" w:type="dxa"/>
            <w:vMerge/>
            <w:tcBorders>
              <w:left w:val="nil"/>
              <w:bottom w:val="nil"/>
              <w:right w:val="single" w:sz="6" w:space="0" w:color="auto"/>
            </w:tcBorders>
          </w:tcPr>
          <w:p w:rsidR="00012172" w:rsidRDefault="00012172">
            <w:pPr>
              <w:jc w:val="center"/>
              <w:rPr>
                <w:caps/>
                <w:sz w:val="16"/>
              </w:rPr>
            </w:pPr>
          </w:p>
        </w:tc>
        <w:tc>
          <w:tcPr>
            <w:tcW w:w="977" w:type="dxa"/>
            <w:vMerge/>
            <w:tcBorders>
              <w:left w:val="nil"/>
              <w:bottom w:val="nil"/>
              <w:right w:val="single" w:sz="6" w:space="0" w:color="auto"/>
            </w:tcBorders>
          </w:tcPr>
          <w:p w:rsidR="00012172" w:rsidRDefault="00012172">
            <w:pPr>
              <w:jc w:val="center"/>
              <w:rPr>
                <w:caps/>
                <w:sz w:val="16"/>
              </w:rPr>
            </w:pPr>
          </w:p>
        </w:tc>
        <w:tc>
          <w:tcPr>
            <w:tcW w:w="1141" w:type="dxa"/>
            <w:tcBorders>
              <w:top w:val="nil"/>
              <w:left w:val="nil"/>
              <w:bottom w:val="single" w:sz="6" w:space="0" w:color="auto"/>
              <w:right w:val="single" w:sz="6" w:space="0" w:color="auto"/>
            </w:tcBorders>
            <w:vAlign w:val="center"/>
          </w:tcPr>
          <w:p w:rsidR="00012172" w:rsidRDefault="00012172">
            <w:pPr>
              <w:jc w:val="center"/>
              <w:rPr>
                <w:caps/>
                <w:sz w:val="16"/>
              </w:rPr>
            </w:pPr>
            <w:r>
              <w:rPr>
                <w:sz w:val="16"/>
              </w:rPr>
              <w:t>privremeno</w:t>
            </w:r>
          </w:p>
        </w:tc>
        <w:tc>
          <w:tcPr>
            <w:tcW w:w="977" w:type="dxa"/>
            <w:tcBorders>
              <w:top w:val="nil"/>
              <w:left w:val="nil"/>
              <w:bottom w:val="nil"/>
              <w:right w:val="single" w:sz="6" w:space="0" w:color="auto"/>
            </w:tcBorders>
            <w:vAlign w:val="center"/>
          </w:tcPr>
          <w:p w:rsidR="00012172" w:rsidRDefault="00012172">
            <w:pPr>
              <w:jc w:val="center"/>
              <w:rPr>
                <w:caps/>
                <w:sz w:val="16"/>
              </w:rPr>
            </w:pPr>
            <w:r>
              <w:rPr>
                <w:sz w:val="16"/>
              </w:rPr>
              <w:t>napušteni</w:t>
            </w:r>
          </w:p>
        </w:tc>
        <w:tc>
          <w:tcPr>
            <w:tcW w:w="978" w:type="dxa"/>
            <w:vMerge/>
            <w:tcBorders>
              <w:left w:val="nil"/>
              <w:bottom w:val="single" w:sz="6" w:space="0" w:color="auto"/>
              <w:right w:val="single" w:sz="6" w:space="0" w:color="auto"/>
            </w:tcBorders>
          </w:tcPr>
          <w:p w:rsidR="00012172" w:rsidRDefault="00012172">
            <w:pPr>
              <w:rPr>
                <w:caps/>
                <w:sz w:val="16"/>
              </w:rPr>
            </w:pPr>
          </w:p>
        </w:tc>
        <w:tc>
          <w:tcPr>
            <w:tcW w:w="1140" w:type="dxa"/>
            <w:vMerge/>
            <w:tcBorders>
              <w:left w:val="nil"/>
              <w:bottom w:val="nil"/>
              <w:right w:val="single" w:sz="6" w:space="0" w:color="auto"/>
            </w:tcBorders>
          </w:tcPr>
          <w:p w:rsidR="00012172" w:rsidRDefault="00012172">
            <w:pPr>
              <w:jc w:val="center"/>
              <w:rPr>
                <w:caps/>
                <w:sz w:val="16"/>
              </w:rPr>
            </w:pPr>
          </w:p>
        </w:tc>
        <w:tc>
          <w:tcPr>
            <w:tcW w:w="977" w:type="dxa"/>
            <w:vMerge/>
            <w:tcBorders>
              <w:left w:val="nil"/>
              <w:bottom w:val="nil"/>
              <w:right w:val="single" w:sz="6" w:space="0" w:color="auto"/>
            </w:tcBorders>
          </w:tcPr>
          <w:p w:rsidR="00012172" w:rsidRDefault="00012172">
            <w:pPr>
              <w:jc w:val="center"/>
              <w:rPr>
                <w:caps/>
                <w:sz w:val="16"/>
              </w:rPr>
            </w:pPr>
          </w:p>
        </w:tc>
      </w:tr>
      <w:tr w:rsidR="00012172">
        <w:tblPrEx>
          <w:tblCellMar>
            <w:top w:w="0" w:type="dxa"/>
            <w:bottom w:w="0" w:type="dxa"/>
          </w:tblCellMar>
        </w:tblPrEx>
        <w:trPr>
          <w:trHeight w:val="224"/>
          <w:jc w:val="center"/>
        </w:trPr>
        <w:tc>
          <w:tcPr>
            <w:tcW w:w="815" w:type="dxa"/>
            <w:tcBorders>
              <w:top w:val="single" w:sz="6" w:space="0" w:color="auto"/>
              <w:bottom w:val="single" w:sz="6" w:space="0" w:color="auto"/>
              <w:right w:val="single" w:sz="6" w:space="0" w:color="auto"/>
            </w:tcBorders>
          </w:tcPr>
          <w:p w:rsidR="00012172" w:rsidRDefault="00012172">
            <w:pPr>
              <w:jc w:val="center"/>
              <w:rPr>
                <w:rFonts w:ascii="Arial" w:hAnsi="Arial" w:cs="Arial"/>
                <w:caps/>
                <w:sz w:val="20"/>
                <w:szCs w:val="20"/>
              </w:rPr>
            </w:pPr>
            <w:r>
              <w:rPr>
                <w:rFonts w:ascii="Arial" w:hAnsi="Arial" w:cs="Arial"/>
                <w:caps/>
                <w:sz w:val="20"/>
                <w:szCs w:val="20"/>
              </w:rPr>
              <w:t>2001.</w:t>
            </w:r>
          </w:p>
        </w:tc>
        <w:tc>
          <w:tcPr>
            <w:tcW w:w="815" w:type="dxa"/>
            <w:tcBorders>
              <w:top w:val="single" w:sz="6" w:space="0" w:color="auto"/>
              <w:bottom w:val="single" w:sz="6" w:space="0" w:color="auto"/>
              <w:right w:val="single" w:sz="6" w:space="0" w:color="auto"/>
            </w:tcBorders>
          </w:tcPr>
          <w:p w:rsidR="00012172" w:rsidRDefault="00012172">
            <w:pPr>
              <w:jc w:val="center"/>
              <w:rPr>
                <w:rFonts w:ascii="Arial" w:hAnsi="Arial" w:cs="Arial"/>
                <w:caps/>
                <w:sz w:val="20"/>
                <w:szCs w:val="20"/>
              </w:rPr>
            </w:pPr>
            <w:r>
              <w:rPr>
                <w:rFonts w:ascii="Arial" w:hAnsi="Arial" w:cs="Arial"/>
                <w:caps/>
                <w:sz w:val="20"/>
                <w:szCs w:val="20"/>
              </w:rPr>
              <w:t>597</w:t>
            </w:r>
          </w:p>
        </w:tc>
        <w:tc>
          <w:tcPr>
            <w:tcW w:w="815" w:type="dxa"/>
            <w:tcBorders>
              <w:top w:val="single" w:sz="6" w:space="0" w:color="auto"/>
              <w:left w:val="single" w:sz="6" w:space="0" w:color="auto"/>
              <w:bottom w:val="single" w:sz="6" w:space="0" w:color="auto"/>
              <w:right w:val="single" w:sz="6" w:space="0" w:color="auto"/>
            </w:tcBorders>
          </w:tcPr>
          <w:p w:rsidR="00012172" w:rsidRDefault="00012172">
            <w:pPr>
              <w:jc w:val="center"/>
              <w:rPr>
                <w:rFonts w:ascii="Arial" w:hAnsi="Arial" w:cs="Arial"/>
                <w:caps/>
                <w:sz w:val="20"/>
                <w:szCs w:val="20"/>
              </w:rPr>
            </w:pPr>
            <w:r>
              <w:rPr>
                <w:rFonts w:ascii="Arial" w:hAnsi="Arial" w:cs="Arial"/>
                <w:caps/>
                <w:sz w:val="20"/>
                <w:szCs w:val="20"/>
              </w:rPr>
              <w:t>579</w:t>
            </w:r>
          </w:p>
        </w:tc>
        <w:tc>
          <w:tcPr>
            <w:tcW w:w="977" w:type="dxa"/>
            <w:tcBorders>
              <w:top w:val="single" w:sz="6" w:space="0" w:color="auto"/>
              <w:left w:val="single" w:sz="6" w:space="0" w:color="auto"/>
              <w:bottom w:val="single" w:sz="6" w:space="0" w:color="auto"/>
              <w:right w:val="single" w:sz="6" w:space="0" w:color="auto"/>
            </w:tcBorders>
          </w:tcPr>
          <w:p w:rsidR="00012172" w:rsidRDefault="00012172">
            <w:pPr>
              <w:ind w:left="-198" w:right="85"/>
              <w:jc w:val="center"/>
              <w:rPr>
                <w:rFonts w:ascii="Arial" w:hAnsi="Arial" w:cs="Arial"/>
                <w:caps/>
                <w:sz w:val="20"/>
                <w:szCs w:val="20"/>
              </w:rPr>
            </w:pPr>
            <w:r>
              <w:rPr>
                <w:rFonts w:ascii="Arial" w:hAnsi="Arial" w:cs="Arial"/>
                <w:caps/>
                <w:sz w:val="20"/>
                <w:szCs w:val="20"/>
              </w:rPr>
              <w:t>548</w:t>
            </w:r>
          </w:p>
        </w:tc>
        <w:tc>
          <w:tcPr>
            <w:tcW w:w="1141" w:type="dxa"/>
            <w:tcBorders>
              <w:top w:val="single" w:sz="6" w:space="0" w:color="auto"/>
              <w:left w:val="single" w:sz="6" w:space="0" w:color="auto"/>
              <w:bottom w:val="single" w:sz="6" w:space="0" w:color="auto"/>
              <w:right w:val="single" w:sz="6" w:space="0" w:color="auto"/>
            </w:tcBorders>
          </w:tcPr>
          <w:p w:rsidR="00012172" w:rsidRDefault="00012172">
            <w:pPr>
              <w:ind w:right="61"/>
              <w:jc w:val="center"/>
              <w:rPr>
                <w:rFonts w:ascii="Arial" w:hAnsi="Arial" w:cs="Arial"/>
                <w:caps/>
                <w:sz w:val="20"/>
                <w:szCs w:val="20"/>
              </w:rPr>
            </w:pPr>
            <w:r>
              <w:rPr>
                <w:rFonts w:ascii="Arial" w:hAnsi="Arial" w:cs="Arial"/>
                <w:caps/>
                <w:sz w:val="20"/>
                <w:szCs w:val="20"/>
              </w:rPr>
              <w:t>25</w:t>
            </w:r>
          </w:p>
        </w:tc>
        <w:tc>
          <w:tcPr>
            <w:tcW w:w="977" w:type="dxa"/>
            <w:tcBorders>
              <w:top w:val="single" w:sz="6" w:space="0" w:color="auto"/>
              <w:left w:val="single" w:sz="6" w:space="0" w:color="auto"/>
              <w:bottom w:val="single" w:sz="6" w:space="0" w:color="auto"/>
              <w:right w:val="single" w:sz="6" w:space="0" w:color="auto"/>
            </w:tcBorders>
          </w:tcPr>
          <w:p w:rsidR="00012172" w:rsidRDefault="00012172">
            <w:pPr>
              <w:ind w:left="-340" w:right="86"/>
              <w:jc w:val="center"/>
              <w:rPr>
                <w:rFonts w:ascii="Arial" w:hAnsi="Arial" w:cs="Arial"/>
                <w:caps/>
                <w:sz w:val="20"/>
                <w:szCs w:val="20"/>
              </w:rPr>
            </w:pPr>
            <w:r>
              <w:rPr>
                <w:rFonts w:ascii="Arial" w:hAnsi="Arial" w:cs="Arial"/>
                <w:caps/>
                <w:sz w:val="20"/>
                <w:szCs w:val="20"/>
              </w:rPr>
              <w:t xml:space="preserve">       6</w:t>
            </w:r>
          </w:p>
        </w:tc>
        <w:tc>
          <w:tcPr>
            <w:tcW w:w="978" w:type="dxa"/>
            <w:tcBorders>
              <w:top w:val="single" w:sz="6" w:space="0" w:color="auto"/>
              <w:left w:val="single" w:sz="6" w:space="0" w:color="auto"/>
              <w:bottom w:val="single" w:sz="6" w:space="0" w:color="auto"/>
              <w:right w:val="single" w:sz="6" w:space="0" w:color="auto"/>
            </w:tcBorders>
          </w:tcPr>
          <w:p w:rsidR="00012172" w:rsidRDefault="00012172">
            <w:pPr>
              <w:ind w:left="-339" w:right="86"/>
              <w:jc w:val="center"/>
              <w:rPr>
                <w:rFonts w:ascii="Arial" w:hAnsi="Arial" w:cs="Arial"/>
                <w:caps/>
                <w:sz w:val="20"/>
                <w:szCs w:val="20"/>
              </w:rPr>
            </w:pPr>
            <w:r>
              <w:rPr>
                <w:rFonts w:ascii="Arial" w:hAnsi="Arial" w:cs="Arial"/>
                <w:caps/>
                <w:sz w:val="20"/>
                <w:szCs w:val="20"/>
              </w:rPr>
              <w:t xml:space="preserve">     18</w:t>
            </w:r>
          </w:p>
        </w:tc>
        <w:tc>
          <w:tcPr>
            <w:tcW w:w="1140" w:type="dxa"/>
            <w:tcBorders>
              <w:top w:val="single" w:sz="6" w:space="0" w:color="auto"/>
              <w:left w:val="single" w:sz="6" w:space="0" w:color="auto"/>
              <w:bottom w:val="single" w:sz="6" w:space="0" w:color="auto"/>
              <w:right w:val="single" w:sz="6" w:space="0" w:color="auto"/>
            </w:tcBorders>
          </w:tcPr>
          <w:p w:rsidR="00012172" w:rsidRDefault="00012172">
            <w:pPr>
              <w:jc w:val="center"/>
              <w:rPr>
                <w:rFonts w:ascii="Arial" w:hAnsi="Arial" w:cs="Arial"/>
                <w:caps/>
                <w:sz w:val="20"/>
                <w:szCs w:val="20"/>
              </w:rPr>
            </w:pPr>
            <w:r>
              <w:rPr>
                <w:rFonts w:ascii="Arial" w:hAnsi="Arial" w:cs="Arial"/>
                <w:caps/>
                <w:sz w:val="20"/>
                <w:szCs w:val="20"/>
              </w:rPr>
              <w:t>-</w:t>
            </w:r>
          </w:p>
        </w:tc>
        <w:tc>
          <w:tcPr>
            <w:tcW w:w="977" w:type="dxa"/>
            <w:tcBorders>
              <w:top w:val="single" w:sz="6" w:space="0" w:color="auto"/>
              <w:left w:val="single" w:sz="6" w:space="0" w:color="auto"/>
              <w:bottom w:val="single" w:sz="6" w:space="0" w:color="auto"/>
              <w:right w:val="single" w:sz="6" w:space="0" w:color="auto"/>
            </w:tcBorders>
          </w:tcPr>
          <w:p w:rsidR="00012172" w:rsidRDefault="00012172">
            <w:pPr>
              <w:jc w:val="center"/>
              <w:rPr>
                <w:rFonts w:ascii="Arial" w:hAnsi="Arial" w:cs="Arial"/>
                <w:caps/>
                <w:sz w:val="20"/>
                <w:szCs w:val="20"/>
              </w:rPr>
            </w:pPr>
            <w:r>
              <w:rPr>
                <w:rFonts w:ascii="Arial" w:hAnsi="Arial" w:cs="Arial"/>
                <w:caps/>
                <w:sz w:val="20"/>
                <w:szCs w:val="20"/>
              </w:rPr>
              <w:t>-</w:t>
            </w:r>
          </w:p>
        </w:tc>
      </w:tr>
    </w:tbl>
    <w:p w:rsidR="00012172" w:rsidRDefault="00012172">
      <w:pPr>
        <w:rPr>
          <w:b/>
          <w:i/>
        </w:rPr>
      </w:pPr>
    </w:p>
    <w:p w:rsidR="00012172" w:rsidRDefault="00012172">
      <w:pPr>
        <w:pStyle w:val="Naslov"/>
        <w:jc w:val="left"/>
        <w:rPr>
          <w:sz w:val="20"/>
        </w:rPr>
      </w:pPr>
    </w:p>
    <w:p w:rsidR="00012172" w:rsidRDefault="00012172">
      <w:pPr>
        <w:pStyle w:val="Naslov"/>
        <w:jc w:val="left"/>
        <w:rPr>
          <w:sz w:val="20"/>
        </w:rPr>
      </w:pPr>
    </w:p>
    <w:p w:rsidR="00012172" w:rsidRDefault="00012172">
      <w:pPr>
        <w:pStyle w:val="Naslov"/>
        <w:jc w:val="left"/>
        <w:rPr>
          <w:sz w:val="20"/>
        </w:rPr>
      </w:pPr>
    </w:p>
    <w:p w:rsidR="00012172" w:rsidRDefault="00012172">
      <w:pPr>
        <w:pStyle w:val="Naslov"/>
        <w:jc w:val="left"/>
        <w:rPr>
          <w:sz w:val="20"/>
        </w:rPr>
      </w:pPr>
    </w:p>
    <w:p w:rsidR="00012172" w:rsidRDefault="00012172">
      <w:pPr>
        <w:pStyle w:val="Naslov"/>
        <w:jc w:val="left"/>
        <w:rPr>
          <w:rFonts w:ascii="Arial" w:hAnsi="Arial" w:cs="Arial"/>
          <w:b w:val="0"/>
          <w:bCs w:val="0"/>
          <w:sz w:val="20"/>
          <w:szCs w:val="20"/>
        </w:rPr>
      </w:pPr>
      <w:r>
        <w:rPr>
          <w:rFonts w:ascii="Arial" w:hAnsi="Arial" w:cs="Arial"/>
          <w:b w:val="0"/>
          <w:bCs w:val="0"/>
          <w:sz w:val="20"/>
          <w:szCs w:val="20"/>
        </w:rPr>
        <w:lastRenderedPageBreak/>
        <w:t>Tablica 1.</w:t>
      </w:r>
    </w:p>
    <w:tbl>
      <w:tblPr>
        <w:tblW w:w="974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268"/>
        <w:gridCol w:w="980"/>
        <w:gridCol w:w="580"/>
        <w:gridCol w:w="1134"/>
        <w:gridCol w:w="567"/>
        <w:gridCol w:w="992"/>
        <w:gridCol w:w="567"/>
        <w:gridCol w:w="1309"/>
        <w:gridCol w:w="1350"/>
      </w:tblGrid>
      <w:tr w:rsidR="00012172">
        <w:tblPrEx>
          <w:tblCellMar>
            <w:top w:w="0" w:type="dxa"/>
            <w:bottom w:w="0" w:type="dxa"/>
          </w:tblCellMar>
        </w:tblPrEx>
        <w:trPr>
          <w:cantSplit/>
          <w:jc w:val="center"/>
        </w:trPr>
        <w:tc>
          <w:tcPr>
            <w:tcW w:w="2268" w:type="dxa"/>
            <w:vMerge w:val="restart"/>
            <w:tcBorders>
              <w:right w:val="nil"/>
            </w:tcBorders>
          </w:tcPr>
          <w:p w:rsidR="00012172" w:rsidRDefault="00012172">
            <w:pPr>
              <w:pStyle w:val="Naslov"/>
              <w:rPr>
                <w:sz w:val="16"/>
              </w:rPr>
            </w:pPr>
            <w:r>
              <w:rPr>
                <w:sz w:val="16"/>
              </w:rPr>
              <w:t>naziv županije</w:t>
            </w:r>
          </w:p>
          <w:p w:rsidR="00012172" w:rsidRDefault="00012172">
            <w:pPr>
              <w:pStyle w:val="Naslov"/>
              <w:rPr>
                <w:sz w:val="16"/>
              </w:rPr>
            </w:pPr>
          </w:p>
          <w:p w:rsidR="00012172" w:rsidRDefault="00012172">
            <w:pPr>
              <w:pStyle w:val="Naslov"/>
              <w:rPr>
                <w:sz w:val="16"/>
              </w:rPr>
            </w:pPr>
          </w:p>
          <w:p w:rsidR="00012172" w:rsidRDefault="00012172">
            <w:pPr>
              <w:pStyle w:val="Naslov"/>
              <w:rPr>
                <w:b w:val="0"/>
                <w:sz w:val="18"/>
              </w:rPr>
            </w:pPr>
            <w:r>
              <w:rPr>
                <w:b w:val="0"/>
                <w:sz w:val="18"/>
              </w:rPr>
              <w:t>KOPRIVNIČKO-KRIŽEVAČKA ŽUPANIJA</w:t>
            </w:r>
          </w:p>
          <w:p w:rsidR="00012172" w:rsidRDefault="00012172">
            <w:pPr>
              <w:pStyle w:val="Naslov"/>
              <w:rPr>
                <w:b w:val="0"/>
                <w:sz w:val="18"/>
              </w:rPr>
            </w:pPr>
          </w:p>
          <w:p w:rsidR="00012172" w:rsidRDefault="00012172">
            <w:pPr>
              <w:pStyle w:val="Naslov"/>
              <w:rPr>
                <w:caps/>
                <w:sz w:val="18"/>
              </w:rPr>
            </w:pPr>
            <w:r>
              <w:rPr>
                <w:b w:val="0"/>
                <w:sz w:val="18"/>
              </w:rPr>
              <w:t>OPĆINA GORNJA RIJEKA</w:t>
            </w:r>
          </w:p>
        </w:tc>
        <w:tc>
          <w:tcPr>
            <w:tcW w:w="1560" w:type="dxa"/>
            <w:gridSpan w:val="2"/>
            <w:tcBorders>
              <w:top w:val="double" w:sz="6" w:space="0" w:color="000000"/>
              <w:left w:val="single" w:sz="4" w:space="0" w:color="000000"/>
              <w:right w:val="single" w:sz="4" w:space="0" w:color="000000"/>
            </w:tcBorders>
            <w:vAlign w:val="center"/>
          </w:tcPr>
          <w:p w:rsidR="00012172" w:rsidRDefault="00012172">
            <w:pPr>
              <w:pStyle w:val="Naslov"/>
              <w:rPr>
                <w:b w:val="0"/>
                <w:caps/>
                <w:sz w:val="18"/>
              </w:rPr>
            </w:pPr>
            <w:r>
              <w:rPr>
                <w:b w:val="0"/>
                <w:caps/>
                <w:sz w:val="18"/>
              </w:rPr>
              <w:t>POVRŠINA</w:t>
            </w:r>
          </w:p>
        </w:tc>
        <w:tc>
          <w:tcPr>
            <w:tcW w:w="3260" w:type="dxa"/>
            <w:gridSpan w:val="4"/>
            <w:tcBorders>
              <w:left w:val="nil"/>
              <w:right w:val="nil"/>
            </w:tcBorders>
            <w:vAlign w:val="center"/>
          </w:tcPr>
          <w:p w:rsidR="00012172" w:rsidRDefault="00012172">
            <w:pPr>
              <w:pStyle w:val="Naslov"/>
              <w:rPr>
                <w:b w:val="0"/>
                <w:caps/>
                <w:sz w:val="18"/>
              </w:rPr>
            </w:pPr>
          </w:p>
          <w:p w:rsidR="00012172" w:rsidRDefault="00012172">
            <w:pPr>
              <w:pStyle w:val="Naslov"/>
              <w:rPr>
                <w:b w:val="0"/>
                <w:caps/>
                <w:sz w:val="18"/>
              </w:rPr>
            </w:pPr>
            <w:r>
              <w:rPr>
                <w:b w:val="0"/>
                <w:caps/>
                <w:sz w:val="18"/>
              </w:rPr>
              <w:t>STANOVNICI</w:t>
            </w:r>
          </w:p>
          <w:p w:rsidR="00012172" w:rsidRDefault="00012172">
            <w:pPr>
              <w:pStyle w:val="Naslov"/>
              <w:rPr>
                <w:b w:val="0"/>
                <w:caps/>
                <w:sz w:val="18"/>
              </w:rPr>
            </w:pPr>
          </w:p>
        </w:tc>
        <w:tc>
          <w:tcPr>
            <w:tcW w:w="2659" w:type="dxa"/>
            <w:gridSpan w:val="2"/>
            <w:tcBorders>
              <w:top w:val="double" w:sz="6" w:space="0" w:color="000000"/>
              <w:left w:val="single" w:sz="4" w:space="0" w:color="000000"/>
              <w:bottom w:val="single" w:sz="6" w:space="0" w:color="000000"/>
            </w:tcBorders>
            <w:vAlign w:val="center"/>
          </w:tcPr>
          <w:p w:rsidR="00012172" w:rsidRDefault="00012172">
            <w:pPr>
              <w:pStyle w:val="Naslov"/>
              <w:rPr>
                <w:b w:val="0"/>
                <w:caps/>
                <w:sz w:val="18"/>
              </w:rPr>
            </w:pPr>
          </w:p>
          <w:p w:rsidR="00012172" w:rsidRDefault="00012172">
            <w:pPr>
              <w:pStyle w:val="Naslov"/>
              <w:rPr>
                <w:b w:val="0"/>
                <w:caps/>
                <w:sz w:val="18"/>
              </w:rPr>
            </w:pPr>
            <w:r>
              <w:rPr>
                <w:b w:val="0"/>
                <w:caps/>
                <w:sz w:val="18"/>
              </w:rPr>
              <w:t>GUSTOĆA  NASELJENOSTI</w:t>
            </w:r>
          </w:p>
          <w:p w:rsidR="00012172" w:rsidRDefault="00012172">
            <w:pPr>
              <w:pStyle w:val="Naslov"/>
              <w:rPr>
                <w:b w:val="0"/>
                <w:sz w:val="18"/>
              </w:rPr>
            </w:pPr>
            <w:r>
              <w:rPr>
                <w:b w:val="0"/>
                <w:sz w:val="18"/>
              </w:rPr>
              <w:t>(broj st/ km²)</w:t>
            </w:r>
          </w:p>
          <w:p w:rsidR="00012172" w:rsidRDefault="00012172">
            <w:pPr>
              <w:pStyle w:val="Naslov"/>
              <w:rPr>
                <w:b w:val="0"/>
                <w:caps/>
                <w:sz w:val="18"/>
              </w:rPr>
            </w:pPr>
          </w:p>
        </w:tc>
      </w:tr>
      <w:tr w:rsidR="00012172">
        <w:tblPrEx>
          <w:tblCellMar>
            <w:top w:w="0" w:type="dxa"/>
            <w:bottom w:w="0" w:type="dxa"/>
          </w:tblCellMar>
        </w:tblPrEx>
        <w:trPr>
          <w:cantSplit/>
          <w:trHeight w:val="633"/>
          <w:jc w:val="center"/>
        </w:trPr>
        <w:tc>
          <w:tcPr>
            <w:tcW w:w="2268" w:type="dxa"/>
            <w:vMerge/>
            <w:tcBorders>
              <w:right w:val="nil"/>
            </w:tcBorders>
          </w:tcPr>
          <w:p w:rsidR="00012172" w:rsidRDefault="00012172">
            <w:pPr>
              <w:pStyle w:val="Naslov"/>
              <w:rPr>
                <w:sz w:val="24"/>
              </w:rPr>
            </w:pPr>
          </w:p>
        </w:tc>
        <w:tc>
          <w:tcPr>
            <w:tcW w:w="980" w:type="dxa"/>
            <w:vMerge w:val="restart"/>
            <w:tcBorders>
              <w:top w:val="single" w:sz="6" w:space="0" w:color="000000"/>
              <w:left w:val="single" w:sz="4" w:space="0" w:color="000000"/>
              <w:right w:val="single" w:sz="4" w:space="0" w:color="000000"/>
            </w:tcBorders>
            <w:vAlign w:val="center"/>
          </w:tcPr>
          <w:p w:rsidR="00012172" w:rsidRDefault="00012172">
            <w:pPr>
              <w:pStyle w:val="Naslov"/>
              <w:rPr>
                <w:sz w:val="18"/>
              </w:rPr>
            </w:pPr>
          </w:p>
          <w:p w:rsidR="00012172" w:rsidRDefault="00012172">
            <w:pPr>
              <w:pStyle w:val="Naslov"/>
              <w:rPr>
                <w:sz w:val="18"/>
              </w:rPr>
            </w:pPr>
          </w:p>
          <w:p w:rsidR="00012172" w:rsidRDefault="00012172">
            <w:pPr>
              <w:pStyle w:val="Naslov"/>
              <w:rPr>
                <w:sz w:val="18"/>
              </w:rPr>
            </w:pPr>
          </w:p>
          <w:p w:rsidR="00012172" w:rsidRDefault="00012172">
            <w:pPr>
              <w:pStyle w:val="Naslov"/>
              <w:rPr>
                <w:sz w:val="18"/>
              </w:rPr>
            </w:pPr>
            <w:r>
              <w:rPr>
                <w:sz w:val="18"/>
              </w:rPr>
              <w:t>km²</w:t>
            </w:r>
          </w:p>
          <w:p w:rsidR="00012172" w:rsidRDefault="00012172">
            <w:pPr>
              <w:pStyle w:val="Naslov"/>
              <w:rPr>
                <w:sz w:val="18"/>
              </w:rPr>
            </w:pPr>
          </w:p>
          <w:p w:rsidR="00012172" w:rsidRDefault="00012172">
            <w:pPr>
              <w:pStyle w:val="Naslov"/>
              <w:rPr>
                <w:sz w:val="18"/>
              </w:rPr>
            </w:pPr>
          </w:p>
        </w:tc>
        <w:tc>
          <w:tcPr>
            <w:tcW w:w="580" w:type="dxa"/>
            <w:vMerge w:val="restart"/>
            <w:tcBorders>
              <w:left w:val="nil"/>
              <w:right w:val="single" w:sz="4" w:space="0" w:color="000000"/>
            </w:tcBorders>
          </w:tcPr>
          <w:p w:rsidR="00012172" w:rsidRDefault="00012172">
            <w:pPr>
              <w:pStyle w:val="Naslov"/>
              <w:rPr>
                <w:sz w:val="18"/>
              </w:rPr>
            </w:pPr>
            <w:r>
              <w:rPr>
                <w:sz w:val="18"/>
              </w:rPr>
              <w:t>udio</w:t>
            </w:r>
          </w:p>
          <w:p w:rsidR="00012172" w:rsidRDefault="00012172">
            <w:pPr>
              <w:pStyle w:val="Naslov"/>
              <w:rPr>
                <w:sz w:val="18"/>
              </w:rPr>
            </w:pPr>
            <w:r>
              <w:rPr>
                <w:sz w:val="18"/>
              </w:rPr>
              <w:t>u</w:t>
            </w:r>
          </w:p>
          <w:p w:rsidR="00012172" w:rsidRDefault="00012172">
            <w:pPr>
              <w:pStyle w:val="Naslov"/>
              <w:rPr>
                <w:sz w:val="18"/>
              </w:rPr>
            </w:pPr>
            <w:r>
              <w:rPr>
                <w:sz w:val="18"/>
              </w:rPr>
              <w:t>povr</w:t>
            </w:r>
          </w:p>
          <w:p w:rsidR="00012172" w:rsidRDefault="00012172">
            <w:pPr>
              <w:pStyle w:val="Naslov"/>
              <w:rPr>
                <w:sz w:val="18"/>
              </w:rPr>
            </w:pPr>
            <w:r>
              <w:rPr>
                <w:sz w:val="18"/>
              </w:rPr>
              <w:t>žup.</w:t>
            </w:r>
          </w:p>
          <w:p w:rsidR="00012172" w:rsidRDefault="00012172">
            <w:pPr>
              <w:pStyle w:val="Naslov"/>
              <w:rPr>
                <w:sz w:val="18"/>
              </w:rPr>
            </w:pPr>
            <w:r>
              <w:rPr>
                <w:sz w:val="18"/>
              </w:rPr>
              <w:t>%</w:t>
            </w:r>
          </w:p>
        </w:tc>
        <w:tc>
          <w:tcPr>
            <w:tcW w:w="1701" w:type="dxa"/>
            <w:gridSpan w:val="2"/>
            <w:tcBorders>
              <w:top w:val="single" w:sz="6" w:space="0" w:color="000000"/>
              <w:left w:val="nil"/>
              <w:bottom w:val="single" w:sz="6" w:space="0" w:color="000000"/>
              <w:right w:val="single" w:sz="4" w:space="0" w:color="000000"/>
            </w:tcBorders>
            <w:vAlign w:val="center"/>
          </w:tcPr>
          <w:p w:rsidR="00012172" w:rsidRDefault="00012172">
            <w:pPr>
              <w:pStyle w:val="Naslov"/>
              <w:rPr>
                <w:sz w:val="18"/>
              </w:rPr>
            </w:pPr>
          </w:p>
          <w:p w:rsidR="00012172" w:rsidRDefault="00012172">
            <w:pPr>
              <w:pStyle w:val="Naslov"/>
              <w:rPr>
                <w:sz w:val="18"/>
              </w:rPr>
            </w:pPr>
            <w:r>
              <w:rPr>
                <w:sz w:val="18"/>
              </w:rPr>
              <w:t>Popis 1991.</w:t>
            </w:r>
          </w:p>
          <w:p w:rsidR="00012172" w:rsidRDefault="00012172">
            <w:pPr>
              <w:pStyle w:val="Naslov"/>
              <w:rPr>
                <w:sz w:val="18"/>
              </w:rPr>
            </w:pPr>
          </w:p>
        </w:tc>
        <w:tc>
          <w:tcPr>
            <w:tcW w:w="1559" w:type="dxa"/>
            <w:gridSpan w:val="2"/>
            <w:tcBorders>
              <w:left w:val="nil"/>
              <w:right w:val="nil"/>
            </w:tcBorders>
            <w:vAlign w:val="center"/>
          </w:tcPr>
          <w:p w:rsidR="00012172" w:rsidRDefault="00012172">
            <w:pPr>
              <w:pStyle w:val="Naslov"/>
              <w:rPr>
                <w:sz w:val="18"/>
              </w:rPr>
            </w:pPr>
            <w:r>
              <w:rPr>
                <w:sz w:val="18"/>
              </w:rPr>
              <w:t>Popis 2001.</w:t>
            </w:r>
          </w:p>
        </w:tc>
        <w:tc>
          <w:tcPr>
            <w:tcW w:w="1309" w:type="dxa"/>
            <w:tcBorders>
              <w:top w:val="nil"/>
              <w:left w:val="single" w:sz="4" w:space="0" w:color="000000"/>
              <w:right w:val="single" w:sz="4" w:space="0" w:color="000000"/>
            </w:tcBorders>
          </w:tcPr>
          <w:p w:rsidR="00012172" w:rsidRDefault="00012172">
            <w:pPr>
              <w:pStyle w:val="Naslov"/>
              <w:rPr>
                <w:sz w:val="18"/>
              </w:rPr>
            </w:pPr>
          </w:p>
          <w:p w:rsidR="00012172" w:rsidRDefault="00012172">
            <w:pPr>
              <w:pStyle w:val="Naslov"/>
              <w:rPr>
                <w:sz w:val="18"/>
              </w:rPr>
            </w:pPr>
            <w:r>
              <w:rPr>
                <w:sz w:val="18"/>
              </w:rPr>
              <w:t>Popis 1991.</w:t>
            </w:r>
          </w:p>
          <w:p w:rsidR="00012172" w:rsidRDefault="00012172">
            <w:pPr>
              <w:pStyle w:val="Naslov"/>
              <w:rPr>
                <w:sz w:val="18"/>
              </w:rPr>
            </w:pPr>
          </w:p>
        </w:tc>
        <w:tc>
          <w:tcPr>
            <w:tcW w:w="1350" w:type="dxa"/>
            <w:tcBorders>
              <w:top w:val="nil"/>
              <w:left w:val="nil"/>
            </w:tcBorders>
            <w:vAlign w:val="center"/>
          </w:tcPr>
          <w:p w:rsidR="00012172" w:rsidRDefault="00012172">
            <w:pPr>
              <w:pStyle w:val="Naslov"/>
              <w:rPr>
                <w:sz w:val="18"/>
              </w:rPr>
            </w:pPr>
            <w:r>
              <w:rPr>
                <w:sz w:val="18"/>
              </w:rPr>
              <w:t>Popis 2001.</w:t>
            </w:r>
          </w:p>
        </w:tc>
      </w:tr>
      <w:tr w:rsidR="00012172">
        <w:tblPrEx>
          <w:tblCellMar>
            <w:top w:w="0" w:type="dxa"/>
            <w:bottom w:w="0" w:type="dxa"/>
          </w:tblCellMar>
        </w:tblPrEx>
        <w:trPr>
          <w:cantSplit/>
          <w:jc w:val="center"/>
        </w:trPr>
        <w:tc>
          <w:tcPr>
            <w:tcW w:w="2268" w:type="dxa"/>
            <w:vMerge/>
            <w:tcBorders>
              <w:bottom w:val="nil"/>
              <w:right w:val="nil"/>
            </w:tcBorders>
          </w:tcPr>
          <w:p w:rsidR="00012172" w:rsidRDefault="00012172">
            <w:pPr>
              <w:pStyle w:val="Naslov"/>
              <w:rPr>
                <w:sz w:val="24"/>
              </w:rPr>
            </w:pPr>
          </w:p>
        </w:tc>
        <w:tc>
          <w:tcPr>
            <w:tcW w:w="980" w:type="dxa"/>
            <w:vMerge/>
            <w:tcBorders>
              <w:left w:val="single" w:sz="4" w:space="0" w:color="000000"/>
              <w:bottom w:val="nil"/>
              <w:right w:val="single" w:sz="4" w:space="0" w:color="000000"/>
            </w:tcBorders>
          </w:tcPr>
          <w:p w:rsidR="00012172" w:rsidRDefault="00012172">
            <w:pPr>
              <w:pStyle w:val="Naslov"/>
              <w:rPr>
                <w:sz w:val="24"/>
              </w:rPr>
            </w:pPr>
          </w:p>
        </w:tc>
        <w:tc>
          <w:tcPr>
            <w:tcW w:w="580" w:type="dxa"/>
            <w:vMerge/>
            <w:tcBorders>
              <w:top w:val="nil"/>
              <w:left w:val="nil"/>
              <w:bottom w:val="nil"/>
              <w:right w:val="single" w:sz="4" w:space="0" w:color="000000"/>
            </w:tcBorders>
          </w:tcPr>
          <w:p w:rsidR="00012172" w:rsidRDefault="00012172">
            <w:pPr>
              <w:pStyle w:val="Naslov"/>
              <w:rPr>
                <w:sz w:val="24"/>
              </w:rPr>
            </w:pPr>
          </w:p>
        </w:tc>
        <w:tc>
          <w:tcPr>
            <w:tcW w:w="1134" w:type="dxa"/>
            <w:tcBorders>
              <w:top w:val="nil"/>
              <w:left w:val="nil"/>
              <w:bottom w:val="nil"/>
              <w:right w:val="single" w:sz="4" w:space="0" w:color="000000"/>
            </w:tcBorders>
            <w:vAlign w:val="center"/>
          </w:tcPr>
          <w:p w:rsidR="00012172" w:rsidRDefault="00012172">
            <w:pPr>
              <w:pStyle w:val="Naslov"/>
              <w:rPr>
                <w:rFonts w:ascii="Arial" w:hAnsi="Arial" w:cs="Arial"/>
                <w:sz w:val="18"/>
                <w:szCs w:val="18"/>
              </w:rPr>
            </w:pPr>
            <w:r>
              <w:rPr>
                <w:sz w:val="18"/>
                <w:szCs w:val="18"/>
              </w:rPr>
              <w:t>broj</w:t>
            </w:r>
          </w:p>
        </w:tc>
        <w:tc>
          <w:tcPr>
            <w:tcW w:w="567" w:type="dxa"/>
            <w:tcBorders>
              <w:top w:val="nil"/>
              <w:left w:val="nil"/>
              <w:bottom w:val="nil"/>
              <w:right w:val="nil"/>
            </w:tcBorders>
            <w:vAlign w:val="center"/>
          </w:tcPr>
          <w:p w:rsidR="00012172" w:rsidRDefault="00012172">
            <w:pPr>
              <w:pStyle w:val="Naslov"/>
              <w:rPr>
                <w:rFonts w:ascii="Arial" w:hAnsi="Arial" w:cs="Arial"/>
                <w:sz w:val="18"/>
                <w:szCs w:val="18"/>
              </w:rPr>
            </w:pPr>
            <w:r>
              <w:rPr>
                <w:rFonts w:ascii="Arial" w:hAnsi="Arial" w:cs="Arial"/>
                <w:sz w:val="18"/>
                <w:szCs w:val="18"/>
              </w:rPr>
              <w:t>%</w:t>
            </w:r>
          </w:p>
        </w:tc>
        <w:tc>
          <w:tcPr>
            <w:tcW w:w="992" w:type="dxa"/>
            <w:tcBorders>
              <w:top w:val="single" w:sz="6" w:space="0" w:color="000000"/>
              <w:left w:val="single" w:sz="4" w:space="0" w:color="000000"/>
              <w:bottom w:val="nil"/>
              <w:right w:val="single" w:sz="4" w:space="0" w:color="000000"/>
            </w:tcBorders>
            <w:vAlign w:val="center"/>
          </w:tcPr>
          <w:p w:rsidR="00012172" w:rsidRDefault="00012172">
            <w:pPr>
              <w:pStyle w:val="Naslov"/>
              <w:rPr>
                <w:rFonts w:ascii="Arial" w:hAnsi="Arial" w:cs="Arial"/>
                <w:sz w:val="18"/>
                <w:szCs w:val="18"/>
              </w:rPr>
            </w:pPr>
            <w:r>
              <w:rPr>
                <w:sz w:val="18"/>
                <w:szCs w:val="18"/>
              </w:rPr>
              <w:t>broj</w:t>
            </w:r>
          </w:p>
        </w:tc>
        <w:tc>
          <w:tcPr>
            <w:tcW w:w="567" w:type="dxa"/>
            <w:tcBorders>
              <w:left w:val="nil"/>
              <w:bottom w:val="nil"/>
              <w:right w:val="nil"/>
            </w:tcBorders>
            <w:vAlign w:val="center"/>
          </w:tcPr>
          <w:p w:rsidR="00012172" w:rsidRDefault="00012172">
            <w:pPr>
              <w:pStyle w:val="Naslov"/>
              <w:rPr>
                <w:rFonts w:ascii="Arial" w:hAnsi="Arial" w:cs="Arial"/>
                <w:sz w:val="18"/>
                <w:szCs w:val="18"/>
              </w:rPr>
            </w:pPr>
            <w:r>
              <w:rPr>
                <w:rFonts w:ascii="Arial" w:hAnsi="Arial" w:cs="Arial"/>
                <w:sz w:val="18"/>
                <w:szCs w:val="18"/>
              </w:rPr>
              <w:t>%</w:t>
            </w:r>
          </w:p>
        </w:tc>
        <w:tc>
          <w:tcPr>
            <w:tcW w:w="1309" w:type="dxa"/>
            <w:tcBorders>
              <w:left w:val="single" w:sz="4" w:space="0" w:color="000000"/>
              <w:bottom w:val="nil"/>
              <w:right w:val="single" w:sz="4" w:space="0" w:color="000000"/>
            </w:tcBorders>
            <w:vAlign w:val="center"/>
          </w:tcPr>
          <w:p w:rsidR="00012172" w:rsidRDefault="00012172">
            <w:pPr>
              <w:pStyle w:val="Naslov"/>
              <w:rPr>
                <w:sz w:val="18"/>
                <w:szCs w:val="18"/>
              </w:rPr>
            </w:pPr>
            <w:r>
              <w:rPr>
                <w:sz w:val="18"/>
                <w:szCs w:val="18"/>
              </w:rPr>
              <w:t>broj</w:t>
            </w:r>
          </w:p>
        </w:tc>
        <w:tc>
          <w:tcPr>
            <w:tcW w:w="1350" w:type="dxa"/>
            <w:tcBorders>
              <w:left w:val="nil"/>
              <w:bottom w:val="nil"/>
            </w:tcBorders>
            <w:vAlign w:val="center"/>
          </w:tcPr>
          <w:p w:rsidR="00012172" w:rsidRDefault="00012172">
            <w:pPr>
              <w:pStyle w:val="Naslov"/>
              <w:rPr>
                <w:sz w:val="18"/>
                <w:szCs w:val="18"/>
              </w:rPr>
            </w:pPr>
            <w:r>
              <w:rPr>
                <w:sz w:val="18"/>
                <w:szCs w:val="18"/>
              </w:rPr>
              <w:t>broj</w:t>
            </w:r>
          </w:p>
        </w:tc>
      </w:tr>
      <w:tr w:rsidR="00012172">
        <w:tblPrEx>
          <w:tblCellMar>
            <w:top w:w="0" w:type="dxa"/>
            <w:bottom w:w="0" w:type="dxa"/>
          </w:tblCellMar>
        </w:tblPrEx>
        <w:trPr>
          <w:jc w:val="center"/>
        </w:trPr>
        <w:tc>
          <w:tcPr>
            <w:tcW w:w="2268" w:type="dxa"/>
            <w:tcBorders>
              <w:top w:val="single" w:sz="12" w:space="0" w:color="000000"/>
              <w:right w:val="nil"/>
            </w:tcBorders>
          </w:tcPr>
          <w:p w:rsidR="00012172" w:rsidRDefault="00012172">
            <w:pPr>
              <w:pStyle w:val="Naslov"/>
              <w:jc w:val="left"/>
              <w:rPr>
                <w:b w:val="0"/>
                <w:sz w:val="18"/>
              </w:rPr>
            </w:pPr>
            <w:r>
              <w:rPr>
                <w:b w:val="0"/>
                <w:sz w:val="18"/>
              </w:rPr>
              <w:t>OBALNO</w:t>
            </w:r>
          </w:p>
          <w:p w:rsidR="00012172" w:rsidRDefault="00012172">
            <w:pPr>
              <w:pStyle w:val="Naslov"/>
              <w:jc w:val="left"/>
              <w:rPr>
                <w:sz w:val="14"/>
              </w:rPr>
            </w:pPr>
          </w:p>
          <w:p w:rsidR="00012172" w:rsidRDefault="00012172">
            <w:pPr>
              <w:pStyle w:val="Naslov"/>
              <w:jc w:val="left"/>
              <w:rPr>
                <w:sz w:val="14"/>
              </w:rPr>
            </w:pPr>
            <w:r>
              <w:rPr>
                <w:sz w:val="14"/>
              </w:rPr>
              <w:t>čl 45 Zakona o prostornom uređenju</w:t>
            </w:r>
          </w:p>
        </w:tc>
        <w:tc>
          <w:tcPr>
            <w:tcW w:w="980" w:type="dxa"/>
            <w:tcBorders>
              <w:top w:val="single" w:sz="12" w:space="0" w:color="000000"/>
              <w:left w:val="single" w:sz="4" w:space="0" w:color="000000"/>
              <w:right w:val="single" w:sz="4" w:space="0" w:color="000000"/>
            </w:tcBorders>
            <w:vAlign w:val="center"/>
          </w:tcPr>
          <w:p w:rsidR="00012172" w:rsidRDefault="00012172">
            <w:pPr>
              <w:pStyle w:val="Naslov"/>
              <w:rPr>
                <w:sz w:val="24"/>
              </w:rPr>
            </w:pPr>
            <w:r>
              <w:rPr>
                <w:sz w:val="24"/>
              </w:rPr>
              <w:t>-</w:t>
            </w:r>
          </w:p>
        </w:tc>
        <w:tc>
          <w:tcPr>
            <w:tcW w:w="580" w:type="dxa"/>
            <w:tcBorders>
              <w:top w:val="single" w:sz="12" w:space="0" w:color="000000"/>
              <w:left w:val="nil"/>
              <w:right w:val="single" w:sz="4" w:space="0" w:color="000000"/>
            </w:tcBorders>
            <w:vAlign w:val="center"/>
          </w:tcPr>
          <w:p w:rsidR="00012172" w:rsidRDefault="00012172">
            <w:pPr>
              <w:pStyle w:val="Naslov"/>
              <w:rPr>
                <w:sz w:val="24"/>
              </w:rPr>
            </w:pPr>
            <w:r>
              <w:rPr>
                <w:sz w:val="24"/>
              </w:rPr>
              <w:t>-</w:t>
            </w:r>
          </w:p>
        </w:tc>
        <w:tc>
          <w:tcPr>
            <w:tcW w:w="1134" w:type="dxa"/>
            <w:tcBorders>
              <w:top w:val="single" w:sz="12" w:space="0" w:color="000000"/>
              <w:left w:val="nil"/>
              <w:right w:val="single" w:sz="4" w:space="0" w:color="000000"/>
            </w:tcBorders>
            <w:vAlign w:val="center"/>
          </w:tcPr>
          <w:p w:rsidR="00012172" w:rsidRDefault="00012172">
            <w:pPr>
              <w:pStyle w:val="Naslov"/>
              <w:rPr>
                <w:sz w:val="24"/>
              </w:rPr>
            </w:pPr>
            <w:r>
              <w:rPr>
                <w:sz w:val="24"/>
              </w:rPr>
              <w:t>-</w:t>
            </w:r>
          </w:p>
        </w:tc>
        <w:tc>
          <w:tcPr>
            <w:tcW w:w="567" w:type="dxa"/>
            <w:tcBorders>
              <w:top w:val="single" w:sz="12" w:space="0" w:color="000000"/>
              <w:left w:val="nil"/>
              <w:right w:val="nil"/>
            </w:tcBorders>
            <w:vAlign w:val="center"/>
          </w:tcPr>
          <w:p w:rsidR="00012172" w:rsidRDefault="00012172">
            <w:pPr>
              <w:pStyle w:val="Naslov"/>
              <w:rPr>
                <w:sz w:val="24"/>
              </w:rPr>
            </w:pPr>
            <w:r>
              <w:rPr>
                <w:sz w:val="24"/>
              </w:rPr>
              <w:t>-</w:t>
            </w:r>
          </w:p>
        </w:tc>
        <w:tc>
          <w:tcPr>
            <w:tcW w:w="992" w:type="dxa"/>
            <w:tcBorders>
              <w:top w:val="single" w:sz="12" w:space="0" w:color="000000"/>
              <w:left w:val="single" w:sz="4" w:space="0" w:color="000000"/>
              <w:right w:val="single" w:sz="4" w:space="0" w:color="000000"/>
            </w:tcBorders>
            <w:vAlign w:val="center"/>
          </w:tcPr>
          <w:p w:rsidR="00012172" w:rsidRDefault="00012172">
            <w:pPr>
              <w:pStyle w:val="Naslov"/>
              <w:rPr>
                <w:sz w:val="24"/>
              </w:rPr>
            </w:pPr>
            <w:r>
              <w:rPr>
                <w:sz w:val="24"/>
              </w:rPr>
              <w:t>-</w:t>
            </w:r>
          </w:p>
        </w:tc>
        <w:tc>
          <w:tcPr>
            <w:tcW w:w="567" w:type="dxa"/>
            <w:tcBorders>
              <w:top w:val="single" w:sz="12" w:space="0" w:color="000000"/>
              <w:left w:val="nil"/>
              <w:right w:val="nil"/>
            </w:tcBorders>
            <w:vAlign w:val="center"/>
          </w:tcPr>
          <w:p w:rsidR="00012172" w:rsidRDefault="00012172">
            <w:pPr>
              <w:pStyle w:val="Naslov"/>
              <w:rPr>
                <w:sz w:val="24"/>
              </w:rPr>
            </w:pPr>
            <w:r>
              <w:rPr>
                <w:sz w:val="24"/>
              </w:rPr>
              <w:t>-</w:t>
            </w:r>
          </w:p>
        </w:tc>
        <w:tc>
          <w:tcPr>
            <w:tcW w:w="1309" w:type="dxa"/>
            <w:tcBorders>
              <w:top w:val="single" w:sz="12" w:space="0" w:color="000000"/>
              <w:left w:val="single" w:sz="4" w:space="0" w:color="000000"/>
              <w:right w:val="single" w:sz="4" w:space="0" w:color="000000"/>
            </w:tcBorders>
            <w:vAlign w:val="center"/>
          </w:tcPr>
          <w:p w:rsidR="00012172" w:rsidRDefault="00012172">
            <w:pPr>
              <w:pStyle w:val="Naslov"/>
              <w:rPr>
                <w:sz w:val="24"/>
              </w:rPr>
            </w:pPr>
            <w:r>
              <w:rPr>
                <w:sz w:val="24"/>
              </w:rPr>
              <w:t>-</w:t>
            </w:r>
          </w:p>
        </w:tc>
        <w:tc>
          <w:tcPr>
            <w:tcW w:w="1350" w:type="dxa"/>
            <w:tcBorders>
              <w:top w:val="single" w:sz="12" w:space="0" w:color="000000"/>
              <w:left w:val="nil"/>
            </w:tcBorders>
            <w:vAlign w:val="center"/>
          </w:tcPr>
          <w:p w:rsidR="00012172" w:rsidRDefault="00012172">
            <w:pPr>
              <w:pStyle w:val="Naslov"/>
              <w:rPr>
                <w:sz w:val="24"/>
              </w:rPr>
            </w:pPr>
            <w:r>
              <w:rPr>
                <w:sz w:val="24"/>
              </w:rPr>
              <w:t>-</w:t>
            </w:r>
          </w:p>
        </w:tc>
      </w:tr>
      <w:tr w:rsidR="00012172">
        <w:tblPrEx>
          <w:tblCellMar>
            <w:top w:w="0" w:type="dxa"/>
            <w:bottom w:w="0" w:type="dxa"/>
          </w:tblCellMar>
        </w:tblPrEx>
        <w:trPr>
          <w:jc w:val="center"/>
        </w:trPr>
        <w:tc>
          <w:tcPr>
            <w:tcW w:w="2268" w:type="dxa"/>
            <w:tcBorders>
              <w:top w:val="nil"/>
              <w:right w:val="nil"/>
            </w:tcBorders>
          </w:tcPr>
          <w:p w:rsidR="00012172" w:rsidRDefault="00012172">
            <w:pPr>
              <w:pStyle w:val="Naslov"/>
              <w:jc w:val="left"/>
              <w:rPr>
                <w:b w:val="0"/>
                <w:sz w:val="18"/>
              </w:rPr>
            </w:pPr>
            <w:r>
              <w:rPr>
                <w:b w:val="0"/>
                <w:sz w:val="18"/>
              </w:rPr>
              <w:t>OTOČNO</w:t>
            </w:r>
          </w:p>
          <w:p w:rsidR="00012172" w:rsidRDefault="00012172">
            <w:pPr>
              <w:pStyle w:val="Naslov"/>
              <w:jc w:val="left"/>
              <w:rPr>
                <w:sz w:val="14"/>
              </w:rPr>
            </w:pPr>
          </w:p>
          <w:p w:rsidR="00012172" w:rsidRDefault="00012172">
            <w:pPr>
              <w:pStyle w:val="Naslov"/>
              <w:jc w:val="left"/>
              <w:rPr>
                <w:sz w:val="14"/>
              </w:rPr>
            </w:pPr>
            <w:r>
              <w:rPr>
                <w:sz w:val="14"/>
              </w:rPr>
              <w:t>čl 45 Zakona o prostornom uređenju</w:t>
            </w:r>
          </w:p>
        </w:tc>
        <w:tc>
          <w:tcPr>
            <w:tcW w:w="980" w:type="dxa"/>
            <w:tcBorders>
              <w:top w:val="nil"/>
              <w:left w:val="single" w:sz="4" w:space="0" w:color="000000"/>
              <w:right w:val="single" w:sz="4" w:space="0" w:color="000000"/>
            </w:tcBorders>
            <w:vAlign w:val="center"/>
          </w:tcPr>
          <w:p w:rsidR="00012172" w:rsidRDefault="00012172">
            <w:pPr>
              <w:pStyle w:val="Naslov"/>
              <w:rPr>
                <w:sz w:val="24"/>
              </w:rPr>
            </w:pPr>
            <w:r>
              <w:rPr>
                <w:sz w:val="24"/>
              </w:rPr>
              <w:t>-</w:t>
            </w:r>
          </w:p>
        </w:tc>
        <w:tc>
          <w:tcPr>
            <w:tcW w:w="580" w:type="dxa"/>
            <w:tcBorders>
              <w:top w:val="nil"/>
              <w:left w:val="nil"/>
              <w:right w:val="single" w:sz="4" w:space="0" w:color="000000"/>
            </w:tcBorders>
            <w:vAlign w:val="center"/>
          </w:tcPr>
          <w:p w:rsidR="00012172" w:rsidRDefault="00012172">
            <w:pPr>
              <w:pStyle w:val="Naslov"/>
              <w:rPr>
                <w:sz w:val="24"/>
              </w:rPr>
            </w:pPr>
            <w:r>
              <w:rPr>
                <w:sz w:val="24"/>
              </w:rPr>
              <w:t>-</w:t>
            </w:r>
          </w:p>
        </w:tc>
        <w:tc>
          <w:tcPr>
            <w:tcW w:w="1134" w:type="dxa"/>
            <w:tcBorders>
              <w:top w:val="nil"/>
              <w:left w:val="nil"/>
              <w:right w:val="single" w:sz="4" w:space="0" w:color="000000"/>
            </w:tcBorders>
            <w:vAlign w:val="center"/>
          </w:tcPr>
          <w:p w:rsidR="00012172" w:rsidRDefault="00012172">
            <w:pPr>
              <w:pStyle w:val="Naslov"/>
              <w:rPr>
                <w:sz w:val="24"/>
              </w:rPr>
            </w:pPr>
            <w:r>
              <w:rPr>
                <w:sz w:val="24"/>
              </w:rPr>
              <w:t>-</w:t>
            </w:r>
          </w:p>
        </w:tc>
        <w:tc>
          <w:tcPr>
            <w:tcW w:w="567" w:type="dxa"/>
            <w:tcBorders>
              <w:top w:val="nil"/>
              <w:left w:val="nil"/>
              <w:right w:val="nil"/>
            </w:tcBorders>
            <w:vAlign w:val="center"/>
          </w:tcPr>
          <w:p w:rsidR="00012172" w:rsidRDefault="00012172">
            <w:pPr>
              <w:pStyle w:val="Naslov"/>
              <w:rPr>
                <w:sz w:val="24"/>
              </w:rPr>
            </w:pPr>
            <w:r>
              <w:rPr>
                <w:sz w:val="24"/>
              </w:rPr>
              <w:t>-</w:t>
            </w:r>
          </w:p>
        </w:tc>
        <w:tc>
          <w:tcPr>
            <w:tcW w:w="992" w:type="dxa"/>
            <w:tcBorders>
              <w:top w:val="nil"/>
              <w:left w:val="single" w:sz="4" w:space="0" w:color="000000"/>
              <w:right w:val="single" w:sz="4" w:space="0" w:color="000000"/>
            </w:tcBorders>
            <w:vAlign w:val="center"/>
          </w:tcPr>
          <w:p w:rsidR="00012172" w:rsidRDefault="00012172">
            <w:pPr>
              <w:pStyle w:val="Naslov"/>
              <w:rPr>
                <w:sz w:val="24"/>
              </w:rPr>
            </w:pPr>
            <w:r>
              <w:rPr>
                <w:sz w:val="24"/>
              </w:rPr>
              <w:t>-</w:t>
            </w:r>
          </w:p>
        </w:tc>
        <w:tc>
          <w:tcPr>
            <w:tcW w:w="567" w:type="dxa"/>
            <w:tcBorders>
              <w:top w:val="nil"/>
              <w:left w:val="nil"/>
              <w:right w:val="nil"/>
            </w:tcBorders>
            <w:vAlign w:val="center"/>
          </w:tcPr>
          <w:p w:rsidR="00012172" w:rsidRDefault="00012172">
            <w:pPr>
              <w:pStyle w:val="Naslov"/>
              <w:rPr>
                <w:sz w:val="24"/>
              </w:rPr>
            </w:pPr>
            <w:r>
              <w:rPr>
                <w:sz w:val="24"/>
              </w:rPr>
              <w:t>-</w:t>
            </w:r>
          </w:p>
        </w:tc>
        <w:tc>
          <w:tcPr>
            <w:tcW w:w="1309" w:type="dxa"/>
            <w:tcBorders>
              <w:top w:val="nil"/>
              <w:left w:val="single" w:sz="4" w:space="0" w:color="000000"/>
              <w:right w:val="single" w:sz="4" w:space="0" w:color="000000"/>
            </w:tcBorders>
            <w:vAlign w:val="center"/>
          </w:tcPr>
          <w:p w:rsidR="00012172" w:rsidRDefault="00012172">
            <w:pPr>
              <w:pStyle w:val="Naslov"/>
              <w:rPr>
                <w:sz w:val="24"/>
              </w:rPr>
            </w:pPr>
            <w:r>
              <w:rPr>
                <w:sz w:val="24"/>
              </w:rPr>
              <w:t>-</w:t>
            </w:r>
          </w:p>
        </w:tc>
        <w:tc>
          <w:tcPr>
            <w:tcW w:w="1350" w:type="dxa"/>
            <w:tcBorders>
              <w:top w:val="nil"/>
              <w:left w:val="nil"/>
            </w:tcBorders>
            <w:vAlign w:val="center"/>
          </w:tcPr>
          <w:p w:rsidR="00012172" w:rsidRDefault="00012172">
            <w:pPr>
              <w:pStyle w:val="Naslov"/>
              <w:rPr>
                <w:sz w:val="24"/>
              </w:rPr>
            </w:pPr>
            <w:r>
              <w:rPr>
                <w:sz w:val="24"/>
              </w:rPr>
              <w:t>-</w:t>
            </w:r>
          </w:p>
        </w:tc>
      </w:tr>
      <w:tr w:rsidR="00012172">
        <w:tblPrEx>
          <w:tblCellMar>
            <w:top w:w="0" w:type="dxa"/>
            <w:bottom w:w="0" w:type="dxa"/>
          </w:tblCellMar>
        </w:tblPrEx>
        <w:trPr>
          <w:trHeight w:val="525"/>
          <w:jc w:val="center"/>
        </w:trPr>
        <w:tc>
          <w:tcPr>
            <w:tcW w:w="2268" w:type="dxa"/>
            <w:tcBorders>
              <w:bottom w:val="nil"/>
              <w:right w:val="nil"/>
            </w:tcBorders>
          </w:tcPr>
          <w:p w:rsidR="00012172" w:rsidRDefault="00012172">
            <w:pPr>
              <w:pStyle w:val="Naslov"/>
              <w:jc w:val="left"/>
              <w:rPr>
                <w:b w:val="0"/>
                <w:sz w:val="18"/>
              </w:rPr>
            </w:pPr>
            <w:r>
              <w:rPr>
                <w:b w:val="0"/>
                <w:sz w:val="18"/>
                <w:lang w:val="de-DE"/>
              </w:rPr>
              <w:t>KONTINENTALNO</w:t>
            </w:r>
          </w:p>
          <w:p w:rsidR="00012172" w:rsidRDefault="00012172">
            <w:pPr>
              <w:pStyle w:val="Naslov"/>
              <w:jc w:val="left"/>
              <w:rPr>
                <w:b w:val="0"/>
                <w:sz w:val="18"/>
              </w:rPr>
            </w:pPr>
            <w:r>
              <w:rPr>
                <w:b w:val="0"/>
                <w:sz w:val="18"/>
                <w:lang w:val="de-DE"/>
              </w:rPr>
              <w:t>GRANI</w:t>
            </w:r>
            <w:r>
              <w:rPr>
                <w:b w:val="0"/>
                <w:sz w:val="18"/>
              </w:rPr>
              <w:t>Č</w:t>
            </w:r>
            <w:r>
              <w:rPr>
                <w:b w:val="0"/>
                <w:sz w:val="18"/>
                <w:lang w:val="de-DE"/>
              </w:rPr>
              <w:t>NO</w:t>
            </w:r>
          </w:p>
        </w:tc>
        <w:tc>
          <w:tcPr>
            <w:tcW w:w="980" w:type="dxa"/>
            <w:tcBorders>
              <w:left w:val="single" w:sz="4" w:space="0" w:color="000000"/>
              <w:bottom w:val="nil"/>
              <w:right w:val="single" w:sz="4" w:space="0" w:color="000000"/>
            </w:tcBorders>
            <w:vAlign w:val="center"/>
          </w:tcPr>
          <w:p w:rsidR="00012172" w:rsidRDefault="00012172">
            <w:pPr>
              <w:pStyle w:val="Naslov"/>
              <w:rPr>
                <w:sz w:val="14"/>
              </w:rPr>
            </w:pPr>
            <w:r>
              <w:rPr>
                <w:sz w:val="14"/>
              </w:rPr>
              <w:t>-</w:t>
            </w:r>
          </w:p>
        </w:tc>
        <w:tc>
          <w:tcPr>
            <w:tcW w:w="580" w:type="dxa"/>
            <w:tcBorders>
              <w:left w:val="nil"/>
              <w:bottom w:val="nil"/>
              <w:right w:val="single" w:sz="4" w:space="0" w:color="000000"/>
            </w:tcBorders>
            <w:vAlign w:val="center"/>
          </w:tcPr>
          <w:p w:rsidR="00012172" w:rsidRDefault="00012172">
            <w:pPr>
              <w:pStyle w:val="Naslov"/>
              <w:rPr>
                <w:sz w:val="14"/>
              </w:rPr>
            </w:pPr>
            <w:r>
              <w:rPr>
                <w:sz w:val="14"/>
              </w:rPr>
              <w:t>-</w:t>
            </w:r>
          </w:p>
        </w:tc>
        <w:tc>
          <w:tcPr>
            <w:tcW w:w="1134" w:type="dxa"/>
            <w:tcBorders>
              <w:left w:val="nil"/>
              <w:bottom w:val="nil"/>
              <w:right w:val="single" w:sz="4" w:space="0" w:color="000000"/>
            </w:tcBorders>
            <w:vAlign w:val="center"/>
          </w:tcPr>
          <w:p w:rsidR="00012172" w:rsidRDefault="00012172">
            <w:pPr>
              <w:pStyle w:val="Naslov"/>
              <w:rPr>
                <w:sz w:val="14"/>
              </w:rPr>
            </w:pPr>
            <w:r>
              <w:rPr>
                <w:sz w:val="14"/>
              </w:rPr>
              <w:t>-</w:t>
            </w:r>
          </w:p>
        </w:tc>
        <w:tc>
          <w:tcPr>
            <w:tcW w:w="567" w:type="dxa"/>
            <w:tcBorders>
              <w:left w:val="nil"/>
              <w:bottom w:val="nil"/>
              <w:right w:val="nil"/>
            </w:tcBorders>
            <w:vAlign w:val="center"/>
          </w:tcPr>
          <w:p w:rsidR="00012172" w:rsidRDefault="00012172">
            <w:pPr>
              <w:pStyle w:val="Naslov"/>
              <w:rPr>
                <w:sz w:val="14"/>
              </w:rPr>
            </w:pPr>
            <w:r>
              <w:rPr>
                <w:sz w:val="14"/>
              </w:rPr>
              <w:t>-</w:t>
            </w:r>
          </w:p>
        </w:tc>
        <w:tc>
          <w:tcPr>
            <w:tcW w:w="992" w:type="dxa"/>
            <w:tcBorders>
              <w:left w:val="single" w:sz="4" w:space="0" w:color="000000"/>
              <w:bottom w:val="nil"/>
              <w:right w:val="single" w:sz="4" w:space="0" w:color="000000"/>
            </w:tcBorders>
            <w:vAlign w:val="center"/>
          </w:tcPr>
          <w:p w:rsidR="00012172" w:rsidRDefault="00012172">
            <w:pPr>
              <w:pStyle w:val="Naslov"/>
              <w:rPr>
                <w:sz w:val="14"/>
              </w:rPr>
            </w:pPr>
            <w:r>
              <w:rPr>
                <w:sz w:val="14"/>
              </w:rPr>
              <w:t>-</w:t>
            </w:r>
          </w:p>
        </w:tc>
        <w:tc>
          <w:tcPr>
            <w:tcW w:w="567" w:type="dxa"/>
            <w:tcBorders>
              <w:left w:val="nil"/>
              <w:bottom w:val="nil"/>
              <w:right w:val="nil"/>
            </w:tcBorders>
            <w:vAlign w:val="center"/>
          </w:tcPr>
          <w:p w:rsidR="00012172" w:rsidRDefault="00012172">
            <w:pPr>
              <w:pStyle w:val="Naslov"/>
              <w:rPr>
                <w:sz w:val="14"/>
              </w:rPr>
            </w:pPr>
            <w:r>
              <w:rPr>
                <w:sz w:val="14"/>
              </w:rPr>
              <w:t>-</w:t>
            </w:r>
          </w:p>
        </w:tc>
        <w:tc>
          <w:tcPr>
            <w:tcW w:w="1309" w:type="dxa"/>
            <w:tcBorders>
              <w:left w:val="single" w:sz="4" w:space="0" w:color="000000"/>
              <w:bottom w:val="nil"/>
              <w:right w:val="single" w:sz="4" w:space="0" w:color="000000"/>
            </w:tcBorders>
            <w:vAlign w:val="center"/>
          </w:tcPr>
          <w:p w:rsidR="00012172" w:rsidRDefault="00012172">
            <w:pPr>
              <w:pStyle w:val="Naslov"/>
              <w:rPr>
                <w:sz w:val="14"/>
              </w:rPr>
            </w:pPr>
            <w:r>
              <w:rPr>
                <w:sz w:val="14"/>
              </w:rPr>
              <w:t>-</w:t>
            </w:r>
          </w:p>
        </w:tc>
        <w:tc>
          <w:tcPr>
            <w:tcW w:w="1350" w:type="dxa"/>
            <w:tcBorders>
              <w:left w:val="nil"/>
              <w:bottom w:val="nil"/>
            </w:tcBorders>
            <w:vAlign w:val="center"/>
          </w:tcPr>
          <w:p w:rsidR="00012172" w:rsidRDefault="00012172">
            <w:pPr>
              <w:pStyle w:val="Naslov"/>
              <w:rPr>
                <w:sz w:val="14"/>
              </w:rPr>
            </w:pPr>
            <w:r>
              <w:rPr>
                <w:sz w:val="14"/>
              </w:rPr>
              <w:t>-</w:t>
            </w:r>
          </w:p>
        </w:tc>
      </w:tr>
      <w:tr w:rsidR="00012172">
        <w:tblPrEx>
          <w:tblCellMar>
            <w:top w:w="0" w:type="dxa"/>
            <w:bottom w:w="0" w:type="dxa"/>
          </w:tblCellMar>
        </w:tblPrEx>
        <w:trPr>
          <w:trHeight w:val="792"/>
          <w:jc w:val="center"/>
        </w:trPr>
        <w:tc>
          <w:tcPr>
            <w:tcW w:w="2268" w:type="dxa"/>
            <w:tcBorders>
              <w:top w:val="nil"/>
              <w:right w:val="nil"/>
            </w:tcBorders>
            <w:vAlign w:val="center"/>
          </w:tcPr>
          <w:p w:rsidR="00012172" w:rsidRDefault="00012172">
            <w:pPr>
              <w:pStyle w:val="Naslov"/>
              <w:jc w:val="left"/>
              <w:rPr>
                <w:b w:val="0"/>
                <w:sz w:val="20"/>
              </w:rPr>
            </w:pPr>
            <w:r>
              <w:rPr>
                <w:b w:val="0"/>
                <w:sz w:val="20"/>
              </w:rPr>
              <w:t>OPĆINA</w:t>
            </w:r>
          </w:p>
          <w:p w:rsidR="00012172" w:rsidRDefault="00012172">
            <w:pPr>
              <w:pStyle w:val="Naslov"/>
              <w:jc w:val="right"/>
              <w:rPr>
                <w:sz w:val="18"/>
              </w:rPr>
            </w:pPr>
            <w:r>
              <w:rPr>
                <w:sz w:val="18"/>
              </w:rPr>
              <w:t>Ukupno</w:t>
            </w:r>
          </w:p>
        </w:tc>
        <w:tc>
          <w:tcPr>
            <w:tcW w:w="980" w:type="dxa"/>
            <w:tcBorders>
              <w:top w:val="nil"/>
              <w:left w:val="single" w:sz="4" w:space="0" w:color="000000"/>
              <w:bottom w:val="double" w:sz="6" w:space="0" w:color="000000"/>
              <w:right w:val="single" w:sz="4" w:space="0" w:color="000000"/>
            </w:tcBorders>
            <w:vAlign w:val="center"/>
          </w:tcPr>
          <w:p w:rsidR="00012172" w:rsidRDefault="00012172">
            <w:pPr>
              <w:pStyle w:val="Naslov"/>
              <w:rPr>
                <w:sz w:val="18"/>
              </w:rPr>
            </w:pPr>
            <w:r>
              <w:rPr>
                <w:sz w:val="18"/>
              </w:rPr>
              <w:t>32,72</w:t>
            </w:r>
          </w:p>
        </w:tc>
        <w:tc>
          <w:tcPr>
            <w:tcW w:w="580" w:type="dxa"/>
            <w:tcBorders>
              <w:top w:val="nil"/>
              <w:left w:val="nil"/>
              <w:bottom w:val="double" w:sz="6" w:space="0" w:color="000000"/>
              <w:right w:val="single" w:sz="4" w:space="0" w:color="000000"/>
            </w:tcBorders>
            <w:vAlign w:val="center"/>
          </w:tcPr>
          <w:p w:rsidR="00012172" w:rsidRDefault="00012172">
            <w:pPr>
              <w:pStyle w:val="Naslov"/>
              <w:rPr>
                <w:sz w:val="18"/>
              </w:rPr>
            </w:pPr>
            <w:r>
              <w:rPr>
                <w:sz w:val="18"/>
              </w:rPr>
              <w:t>1,8</w:t>
            </w:r>
          </w:p>
        </w:tc>
        <w:tc>
          <w:tcPr>
            <w:tcW w:w="1134" w:type="dxa"/>
            <w:tcBorders>
              <w:top w:val="nil"/>
              <w:left w:val="nil"/>
              <w:bottom w:val="double" w:sz="6" w:space="0" w:color="000000"/>
              <w:right w:val="single" w:sz="4" w:space="0" w:color="000000"/>
            </w:tcBorders>
            <w:vAlign w:val="center"/>
          </w:tcPr>
          <w:p w:rsidR="00012172" w:rsidRDefault="00012172">
            <w:pPr>
              <w:pStyle w:val="Naslov"/>
              <w:rPr>
                <w:sz w:val="18"/>
              </w:rPr>
            </w:pPr>
            <w:r>
              <w:rPr>
                <w:sz w:val="18"/>
              </w:rPr>
              <w:t>2330</w:t>
            </w:r>
          </w:p>
        </w:tc>
        <w:tc>
          <w:tcPr>
            <w:tcW w:w="567" w:type="dxa"/>
            <w:tcBorders>
              <w:top w:val="nil"/>
              <w:left w:val="nil"/>
              <w:right w:val="nil"/>
            </w:tcBorders>
            <w:vAlign w:val="center"/>
          </w:tcPr>
          <w:p w:rsidR="00012172" w:rsidRDefault="00012172">
            <w:pPr>
              <w:pStyle w:val="Naslov"/>
              <w:rPr>
                <w:sz w:val="18"/>
              </w:rPr>
            </w:pPr>
            <w:r>
              <w:rPr>
                <w:sz w:val="18"/>
              </w:rPr>
              <w:t>1,8</w:t>
            </w:r>
          </w:p>
        </w:tc>
        <w:tc>
          <w:tcPr>
            <w:tcW w:w="992" w:type="dxa"/>
            <w:tcBorders>
              <w:top w:val="nil"/>
              <w:left w:val="single" w:sz="4" w:space="0" w:color="000000"/>
              <w:bottom w:val="double" w:sz="6" w:space="0" w:color="000000"/>
              <w:right w:val="single" w:sz="4" w:space="0" w:color="000000"/>
            </w:tcBorders>
            <w:vAlign w:val="center"/>
          </w:tcPr>
          <w:p w:rsidR="00012172" w:rsidRDefault="00012172">
            <w:pPr>
              <w:pStyle w:val="Naslov"/>
              <w:rPr>
                <w:sz w:val="18"/>
              </w:rPr>
            </w:pPr>
            <w:r>
              <w:rPr>
                <w:sz w:val="18"/>
              </w:rPr>
              <w:t>2035</w:t>
            </w:r>
          </w:p>
        </w:tc>
        <w:tc>
          <w:tcPr>
            <w:tcW w:w="567" w:type="dxa"/>
            <w:tcBorders>
              <w:top w:val="nil"/>
              <w:left w:val="nil"/>
              <w:right w:val="nil"/>
            </w:tcBorders>
            <w:vAlign w:val="center"/>
          </w:tcPr>
          <w:p w:rsidR="00012172" w:rsidRDefault="00012172">
            <w:pPr>
              <w:pStyle w:val="Naslov"/>
              <w:rPr>
                <w:sz w:val="18"/>
              </w:rPr>
            </w:pPr>
            <w:r>
              <w:rPr>
                <w:sz w:val="18"/>
              </w:rPr>
              <w:t>1,6</w:t>
            </w:r>
          </w:p>
        </w:tc>
        <w:tc>
          <w:tcPr>
            <w:tcW w:w="1309" w:type="dxa"/>
            <w:tcBorders>
              <w:top w:val="nil"/>
              <w:left w:val="single" w:sz="4" w:space="0" w:color="000000"/>
              <w:bottom w:val="double" w:sz="6" w:space="0" w:color="000000"/>
              <w:right w:val="single" w:sz="4" w:space="0" w:color="000000"/>
            </w:tcBorders>
            <w:vAlign w:val="center"/>
          </w:tcPr>
          <w:p w:rsidR="00012172" w:rsidRDefault="00012172">
            <w:pPr>
              <w:pStyle w:val="Naslov"/>
              <w:rPr>
                <w:sz w:val="18"/>
              </w:rPr>
            </w:pPr>
            <w:r>
              <w:rPr>
                <w:sz w:val="18"/>
              </w:rPr>
              <w:t>71,2</w:t>
            </w:r>
          </w:p>
        </w:tc>
        <w:tc>
          <w:tcPr>
            <w:tcW w:w="1350" w:type="dxa"/>
            <w:tcBorders>
              <w:top w:val="nil"/>
              <w:left w:val="nil"/>
            </w:tcBorders>
            <w:vAlign w:val="center"/>
          </w:tcPr>
          <w:p w:rsidR="00012172" w:rsidRDefault="00012172">
            <w:pPr>
              <w:pStyle w:val="Naslov"/>
              <w:rPr>
                <w:sz w:val="18"/>
              </w:rPr>
            </w:pPr>
            <w:r>
              <w:rPr>
                <w:sz w:val="18"/>
              </w:rPr>
              <w:t>62,2</w:t>
            </w:r>
          </w:p>
        </w:tc>
      </w:tr>
    </w:tbl>
    <w:p w:rsidR="00012172" w:rsidRDefault="00012172">
      <w:pPr>
        <w:pStyle w:val="Naslov"/>
        <w:rPr>
          <w:b w:val="0"/>
          <w:sz w:val="24"/>
        </w:rPr>
      </w:pPr>
    </w:p>
    <w:p w:rsidR="00012172" w:rsidRDefault="00012172">
      <w:pPr>
        <w:pStyle w:val="Naslov"/>
        <w:jc w:val="left"/>
        <w:rPr>
          <w:sz w:val="20"/>
        </w:rPr>
      </w:pPr>
    </w:p>
    <w:p w:rsidR="00012172" w:rsidRDefault="00012172">
      <w:pPr>
        <w:pStyle w:val="Naslov"/>
        <w:jc w:val="left"/>
        <w:rPr>
          <w:sz w:val="20"/>
        </w:rPr>
      </w:pPr>
    </w:p>
    <w:p w:rsidR="00012172" w:rsidRDefault="00012172">
      <w:pPr>
        <w:pStyle w:val="Naslov"/>
        <w:jc w:val="left"/>
        <w:rPr>
          <w:sz w:val="20"/>
        </w:rPr>
      </w:pPr>
    </w:p>
    <w:p w:rsidR="00012172" w:rsidRDefault="00012172">
      <w:pPr>
        <w:pStyle w:val="Naslov"/>
        <w:jc w:val="left"/>
        <w:rPr>
          <w:sz w:val="20"/>
        </w:rPr>
      </w:pPr>
    </w:p>
    <w:p w:rsidR="00012172" w:rsidRDefault="00012172">
      <w:pPr>
        <w:pStyle w:val="Naslov"/>
        <w:jc w:val="left"/>
        <w:rPr>
          <w:sz w:val="20"/>
        </w:rPr>
      </w:pPr>
    </w:p>
    <w:p w:rsidR="00012172" w:rsidRDefault="00012172">
      <w:pPr>
        <w:pStyle w:val="Naslov"/>
        <w:jc w:val="left"/>
        <w:rPr>
          <w:sz w:val="20"/>
        </w:rPr>
      </w:pPr>
    </w:p>
    <w:p w:rsidR="00012172" w:rsidRDefault="00012172">
      <w:pPr>
        <w:pStyle w:val="Naslov"/>
        <w:jc w:val="left"/>
        <w:rPr>
          <w:rFonts w:ascii="Arial" w:hAnsi="Arial" w:cs="Arial"/>
          <w:b w:val="0"/>
          <w:sz w:val="20"/>
          <w:szCs w:val="20"/>
        </w:rPr>
      </w:pPr>
      <w:r>
        <w:rPr>
          <w:rFonts w:ascii="Arial" w:hAnsi="Arial" w:cs="Arial"/>
          <w:b w:val="0"/>
          <w:sz w:val="20"/>
          <w:szCs w:val="20"/>
        </w:rPr>
        <w:t>Tablica 2</w:t>
      </w:r>
    </w:p>
    <w:tbl>
      <w:tblPr>
        <w:tblW w:w="9720" w:type="dxa"/>
        <w:jc w:val="center"/>
        <w:tblInd w:w="-43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BF" w:firstRow="1" w:lastRow="0" w:firstColumn="1" w:lastColumn="0" w:noHBand="0" w:noVBand="0"/>
      </w:tblPr>
      <w:tblGrid>
        <w:gridCol w:w="1260"/>
        <w:gridCol w:w="720"/>
        <w:gridCol w:w="540"/>
        <w:gridCol w:w="720"/>
        <w:gridCol w:w="540"/>
        <w:gridCol w:w="720"/>
        <w:gridCol w:w="540"/>
        <w:gridCol w:w="720"/>
        <w:gridCol w:w="540"/>
        <w:gridCol w:w="720"/>
        <w:gridCol w:w="540"/>
        <w:gridCol w:w="635"/>
        <w:gridCol w:w="625"/>
        <w:gridCol w:w="900"/>
      </w:tblGrid>
      <w:tr w:rsidR="00012172">
        <w:tblPrEx>
          <w:tblCellMar>
            <w:top w:w="0" w:type="dxa"/>
            <w:bottom w:w="0" w:type="dxa"/>
          </w:tblCellMar>
        </w:tblPrEx>
        <w:trPr>
          <w:cantSplit/>
          <w:trHeight w:val="270"/>
          <w:jc w:val="center"/>
        </w:trPr>
        <w:tc>
          <w:tcPr>
            <w:tcW w:w="1260" w:type="dxa"/>
            <w:vMerge w:val="restart"/>
            <w:tcBorders>
              <w:top w:val="double" w:sz="6" w:space="0" w:color="000000"/>
              <w:bottom w:val="single" w:sz="8" w:space="0" w:color="000000"/>
            </w:tcBorders>
          </w:tcPr>
          <w:p w:rsidR="00012172" w:rsidRDefault="00012172">
            <w:pPr>
              <w:pStyle w:val="Naslov"/>
              <w:rPr>
                <w:sz w:val="14"/>
              </w:rPr>
            </w:pPr>
            <w:r>
              <w:rPr>
                <w:sz w:val="14"/>
              </w:rPr>
              <w:t>Naziv županije</w:t>
            </w:r>
          </w:p>
          <w:p w:rsidR="00012172" w:rsidRDefault="00012172">
            <w:pPr>
              <w:pStyle w:val="Naslov"/>
              <w:rPr>
                <w:sz w:val="14"/>
              </w:rPr>
            </w:pPr>
          </w:p>
          <w:p w:rsidR="00012172" w:rsidRDefault="00012172">
            <w:pPr>
              <w:pStyle w:val="Naslov"/>
              <w:rPr>
                <w:b w:val="0"/>
                <w:caps/>
                <w:sz w:val="14"/>
              </w:rPr>
            </w:pPr>
            <w:r>
              <w:rPr>
                <w:b w:val="0"/>
                <w:sz w:val="14"/>
              </w:rPr>
              <w:t>KOPRIVNIČKO-KRIŽEVAČKA</w:t>
            </w:r>
          </w:p>
        </w:tc>
        <w:tc>
          <w:tcPr>
            <w:tcW w:w="1260" w:type="dxa"/>
            <w:gridSpan w:val="2"/>
            <w:vMerge w:val="restart"/>
            <w:vAlign w:val="center"/>
          </w:tcPr>
          <w:p w:rsidR="00012172" w:rsidRDefault="00012172">
            <w:pPr>
              <w:pStyle w:val="Naslov"/>
              <w:rPr>
                <w:b w:val="0"/>
                <w:caps/>
                <w:sz w:val="14"/>
              </w:rPr>
            </w:pPr>
            <w:r>
              <w:rPr>
                <w:b w:val="0"/>
                <w:caps/>
                <w:sz w:val="14"/>
              </w:rPr>
              <w:t>POVRŠINA</w:t>
            </w:r>
          </w:p>
        </w:tc>
        <w:tc>
          <w:tcPr>
            <w:tcW w:w="2520" w:type="dxa"/>
            <w:gridSpan w:val="4"/>
            <w:vAlign w:val="center"/>
          </w:tcPr>
          <w:p w:rsidR="00012172" w:rsidRDefault="00012172">
            <w:pPr>
              <w:pStyle w:val="Naslov"/>
              <w:rPr>
                <w:caps/>
                <w:sz w:val="22"/>
              </w:rPr>
            </w:pPr>
            <w:r>
              <w:rPr>
                <w:b w:val="0"/>
                <w:caps/>
                <w:sz w:val="14"/>
              </w:rPr>
              <w:t>STANOVNICI</w:t>
            </w:r>
          </w:p>
        </w:tc>
        <w:tc>
          <w:tcPr>
            <w:tcW w:w="2520" w:type="dxa"/>
            <w:gridSpan w:val="4"/>
            <w:vAlign w:val="center"/>
          </w:tcPr>
          <w:p w:rsidR="00012172" w:rsidRDefault="00012172">
            <w:pPr>
              <w:pStyle w:val="Naslov"/>
              <w:rPr>
                <w:b w:val="0"/>
                <w:caps/>
                <w:sz w:val="14"/>
              </w:rPr>
            </w:pPr>
            <w:r>
              <w:rPr>
                <w:b w:val="0"/>
                <w:caps/>
                <w:sz w:val="14"/>
              </w:rPr>
              <w:t>stanovi</w:t>
            </w:r>
          </w:p>
        </w:tc>
        <w:tc>
          <w:tcPr>
            <w:tcW w:w="1260" w:type="dxa"/>
            <w:gridSpan w:val="2"/>
            <w:vAlign w:val="center"/>
          </w:tcPr>
          <w:p w:rsidR="00012172" w:rsidRDefault="00012172">
            <w:pPr>
              <w:pStyle w:val="Naslov"/>
              <w:rPr>
                <w:b w:val="0"/>
                <w:caps/>
                <w:sz w:val="14"/>
              </w:rPr>
            </w:pPr>
            <w:r>
              <w:rPr>
                <w:b w:val="0"/>
                <w:caps/>
                <w:sz w:val="14"/>
              </w:rPr>
              <w:t>KUĆANSTVA</w:t>
            </w:r>
          </w:p>
        </w:tc>
        <w:tc>
          <w:tcPr>
            <w:tcW w:w="900" w:type="dxa"/>
            <w:vMerge w:val="restart"/>
            <w:vAlign w:val="center"/>
          </w:tcPr>
          <w:p w:rsidR="00012172" w:rsidRDefault="00012172">
            <w:pPr>
              <w:pStyle w:val="Naslov"/>
              <w:rPr>
                <w:b w:val="0"/>
                <w:sz w:val="14"/>
              </w:rPr>
            </w:pPr>
            <w:r>
              <w:rPr>
                <w:b w:val="0"/>
                <w:sz w:val="14"/>
              </w:rPr>
              <w:t>Gustoća</w:t>
            </w:r>
          </w:p>
          <w:p w:rsidR="00012172" w:rsidRDefault="00012172">
            <w:pPr>
              <w:pStyle w:val="Naslov"/>
              <w:rPr>
                <w:b w:val="0"/>
                <w:sz w:val="14"/>
              </w:rPr>
            </w:pPr>
            <w:r>
              <w:rPr>
                <w:b w:val="0"/>
                <w:sz w:val="14"/>
              </w:rPr>
              <w:t>naselje-</w:t>
            </w:r>
          </w:p>
          <w:p w:rsidR="00012172" w:rsidRDefault="00012172">
            <w:pPr>
              <w:pStyle w:val="Naslov"/>
              <w:rPr>
                <w:b w:val="0"/>
                <w:caps/>
                <w:sz w:val="14"/>
              </w:rPr>
            </w:pPr>
            <w:r>
              <w:rPr>
                <w:b w:val="0"/>
                <w:sz w:val="14"/>
              </w:rPr>
              <w:t>nosti</w:t>
            </w:r>
          </w:p>
        </w:tc>
      </w:tr>
      <w:tr w:rsidR="00012172">
        <w:tblPrEx>
          <w:tblCellMar>
            <w:top w:w="0" w:type="dxa"/>
            <w:bottom w:w="0" w:type="dxa"/>
          </w:tblCellMar>
        </w:tblPrEx>
        <w:trPr>
          <w:cantSplit/>
          <w:jc w:val="center"/>
        </w:trPr>
        <w:tc>
          <w:tcPr>
            <w:tcW w:w="1260" w:type="dxa"/>
            <w:vMerge/>
            <w:tcBorders>
              <w:top w:val="single" w:sz="6" w:space="0" w:color="000000"/>
              <w:bottom w:val="single" w:sz="8" w:space="0" w:color="000000"/>
            </w:tcBorders>
            <w:vAlign w:val="center"/>
          </w:tcPr>
          <w:p w:rsidR="00012172" w:rsidRDefault="00012172">
            <w:pPr>
              <w:pStyle w:val="Naslov"/>
              <w:rPr>
                <w:sz w:val="22"/>
              </w:rPr>
            </w:pPr>
          </w:p>
        </w:tc>
        <w:tc>
          <w:tcPr>
            <w:tcW w:w="1260" w:type="dxa"/>
            <w:gridSpan w:val="2"/>
            <w:vMerge/>
          </w:tcPr>
          <w:p w:rsidR="00012172" w:rsidRDefault="00012172">
            <w:pPr>
              <w:pStyle w:val="Naslov"/>
              <w:rPr>
                <w:sz w:val="22"/>
              </w:rPr>
            </w:pPr>
          </w:p>
        </w:tc>
        <w:tc>
          <w:tcPr>
            <w:tcW w:w="1260" w:type="dxa"/>
            <w:gridSpan w:val="2"/>
            <w:vAlign w:val="center"/>
          </w:tcPr>
          <w:p w:rsidR="00012172" w:rsidRDefault="00012172">
            <w:pPr>
              <w:pStyle w:val="Naslov"/>
              <w:rPr>
                <w:sz w:val="14"/>
              </w:rPr>
            </w:pPr>
            <w:r>
              <w:rPr>
                <w:sz w:val="14"/>
              </w:rPr>
              <w:t>Popis 1991.</w:t>
            </w:r>
          </w:p>
        </w:tc>
        <w:tc>
          <w:tcPr>
            <w:tcW w:w="1260" w:type="dxa"/>
            <w:gridSpan w:val="2"/>
            <w:vAlign w:val="center"/>
          </w:tcPr>
          <w:p w:rsidR="00012172" w:rsidRDefault="00012172">
            <w:pPr>
              <w:pStyle w:val="Naslov"/>
              <w:rPr>
                <w:sz w:val="14"/>
              </w:rPr>
            </w:pPr>
            <w:r>
              <w:rPr>
                <w:sz w:val="14"/>
              </w:rPr>
              <w:t>Popis 2001.</w:t>
            </w:r>
          </w:p>
        </w:tc>
        <w:tc>
          <w:tcPr>
            <w:tcW w:w="1260" w:type="dxa"/>
            <w:gridSpan w:val="2"/>
            <w:vAlign w:val="center"/>
          </w:tcPr>
          <w:p w:rsidR="00012172" w:rsidRDefault="00012172">
            <w:pPr>
              <w:pStyle w:val="Naslov"/>
              <w:rPr>
                <w:sz w:val="14"/>
              </w:rPr>
            </w:pPr>
            <w:r>
              <w:rPr>
                <w:sz w:val="14"/>
              </w:rPr>
              <w:t>Popis 1991.</w:t>
            </w:r>
          </w:p>
        </w:tc>
        <w:tc>
          <w:tcPr>
            <w:tcW w:w="1260" w:type="dxa"/>
            <w:gridSpan w:val="2"/>
            <w:vAlign w:val="center"/>
          </w:tcPr>
          <w:p w:rsidR="00012172" w:rsidRDefault="00012172">
            <w:pPr>
              <w:pStyle w:val="Naslov"/>
              <w:rPr>
                <w:sz w:val="14"/>
              </w:rPr>
            </w:pPr>
            <w:r>
              <w:rPr>
                <w:sz w:val="14"/>
              </w:rPr>
              <w:t>Popis 2001.</w:t>
            </w:r>
          </w:p>
        </w:tc>
        <w:tc>
          <w:tcPr>
            <w:tcW w:w="635" w:type="dxa"/>
          </w:tcPr>
          <w:p w:rsidR="00012172" w:rsidRDefault="00012172">
            <w:pPr>
              <w:pStyle w:val="Naslov"/>
              <w:rPr>
                <w:sz w:val="14"/>
              </w:rPr>
            </w:pPr>
            <w:r>
              <w:rPr>
                <w:sz w:val="14"/>
              </w:rPr>
              <w:t>Popis 1991.</w:t>
            </w:r>
          </w:p>
        </w:tc>
        <w:tc>
          <w:tcPr>
            <w:tcW w:w="625" w:type="dxa"/>
          </w:tcPr>
          <w:p w:rsidR="00012172" w:rsidRDefault="00012172">
            <w:pPr>
              <w:pStyle w:val="Naslov"/>
              <w:rPr>
                <w:sz w:val="14"/>
              </w:rPr>
            </w:pPr>
            <w:r>
              <w:rPr>
                <w:sz w:val="14"/>
              </w:rPr>
              <w:t>Popis 2001.</w:t>
            </w:r>
          </w:p>
        </w:tc>
        <w:tc>
          <w:tcPr>
            <w:tcW w:w="900" w:type="dxa"/>
            <w:vMerge/>
          </w:tcPr>
          <w:p w:rsidR="00012172" w:rsidRDefault="00012172">
            <w:pPr>
              <w:pStyle w:val="Naslov"/>
              <w:rPr>
                <w:sz w:val="22"/>
              </w:rPr>
            </w:pPr>
          </w:p>
        </w:tc>
      </w:tr>
      <w:tr w:rsidR="00012172">
        <w:tblPrEx>
          <w:tblCellMar>
            <w:top w:w="0" w:type="dxa"/>
            <w:bottom w:w="0" w:type="dxa"/>
          </w:tblCellMar>
        </w:tblPrEx>
        <w:trPr>
          <w:cantSplit/>
          <w:trHeight w:val="20"/>
          <w:jc w:val="center"/>
        </w:trPr>
        <w:tc>
          <w:tcPr>
            <w:tcW w:w="1260" w:type="dxa"/>
            <w:vMerge/>
            <w:tcBorders>
              <w:top w:val="single" w:sz="6" w:space="0" w:color="000000"/>
              <w:bottom w:val="nil"/>
            </w:tcBorders>
            <w:vAlign w:val="center"/>
          </w:tcPr>
          <w:p w:rsidR="00012172" w:rsidRDefault="00012172">
            <w:pPr>
              <w:pStyle w:val="Naslov"/>
              <w:rPr>
                <w:sz w:val="22"/>
              </w:rPr>
            </w:pPr>
          </w:p>
        </w:tc>
        <w:tc>
          <w:tcPr>
            <w:tcW w:w="720" w:type="dxa"/>
            <w:tcBorders>
              <w:bottom w:val="nil"/>
            </w:tcBorders>
            <w:vAlign w:val="center"/>
          </w:tcPr>
          <w:p w:rsidR="00012172" w:rsidRDefault="00012172">
            <w:pPr>
              <w:pStyle w:val="Naslov"/>
              <w:rPr>
                <w:sz w:val="14"/>
              </w:rPr>
            </w:pPr>
            <w:r>
              <w:rPr>
                <w:sz w:val="14"/>
              </w:rPr>
              <w:t>km²</w:t>
            </w:r>
          </w:p>
        </w:tc>
        <w:tc>
          <w:tcPr>
            <w:tcW w:w="540" w:type="dxa"/>
            <w:tcBorders>
              <w:bottom w:val="nil"/>
            </w:tcBorders>
            <w:vAlign w:val="center"/>
          </w:tcPr>
          <w:p w:rsidR="00012172" w:rsidRDefault="00012172">
            <w:pPr>
              <w:pStyle w:val="Naslov"/>
              <w:rPr>
                <w:sz w:val="14"/>
              </w:rPr>
            </w:pPr>
            <w:r>
              <w:rPr>
                <w:sz w:val="14"/>
              </w:rPr>
              <w:t>%</w:t>
            </w:r>
          </w:p>
        </w:tc>
        <w:tc>
          <w:tcPr>
            <w:tcW w:w="720" w:type="dxa"/>
            <w:tcBorders>
              <w:bottom w:val="nil"/>
            </w:tcBorders>
            <w:vAlign w:val="center"/>
          </w:tcPr>
          <w:p w:rsidR="00012172" w:rsidRDefault="00012172">
            <w:pPr>
              <w:pStyle w:val="Naslov"/>
              <w:rPr>
                <w:sz w:val="14"/>
              </w:rPr>
            </w:pPr>
            <w:r>
              <w:rPr>
                <w:sz w:val="14"/>
              </w:rPr>
              <w:t>broj</w:t>
            </w:r>
          </w:p>
        </w:tc>
        <w:tc>
          <w:tcPr>
            <w:tcW w:w="540" w:type="dxa"/>
            <w:tcBorders>
              <w:bottom w:val="nil"/>
            </w:tcBorders>
            <w:vAlign w:val="center"/>
          </w:tcPr>
          <w:p w:rsidR="00012172" w:rsidRDefault="00012172">
            <w:pPr>
              <w:pStyle w:val="Naslov"/>
              <w:rPr>
                <w:sz w:val="14"/>
              </w:rPr>
            </w:pPr>
            <w:r>
              <w:rPr>
                <w:sz w:val="14"/>
              </w:rPr>
              <w:t>%</w:t>
            </w:r>
          </w:p>
        </w:tc>
        <w:tc>
          <w:tcPr>
            <w:tcW w:w="720" w:type="dxa"/>
            <w:tcBorders>
              <w:bottom w:val="nil"/>
            </w:tcBorders>
            <w:vAlign w:val="center"/>
          </w:tcPr>
          <w:p w:rsidR="00012172" w:rsidRDefault="00012172">
            <w:pPr>
              <w:pStyle w:val="Naslov"/>
              <w:rPr>
                <w:sz w:val="14"/>
              </w:rPr>
            </w:pPr>
            <w:r>
              <w:rPr>
                <w:sz w:val="14"/>
              </w:rPr>
              <w:t>broj</w:t>
            </w:r>
          </w:p>
        </w:tc>
        <w:tc>
          <w:tcPr>
            <w:tcW w:w="540" w:type="dxa"/>
            <w:tcBorders>
              <w:bottom w:val="nil"/>
            </w:tcBorders>
            <w:vAlign w:val="center"/>
          </w:tcPr>
          <w:p w:rsidR="00012172" w:rsidRDefault="00012172">
            <w:pPr>
              <w:pStyle w:val="Naslov"/>
              <w:rPr>
                <w:sz w:val="14"/>
              </w:rPr>
            </w:pPr>
            <w:r>
              <w:rPr>
                <w:sz w:val="14"/>
              </w:rPr>
              <w:t>%</w:t>
            </w:r>
          </w:p>
        </w:tc>
        <w:tc>
          <w:tcPr>
            <w:tcW w:w="720" w:type="dxa"/>
            <w:tcBorders>
              <w:bottom w:val="nil"/>
            </w:tcBorders>
            <w:vAlign w:val="center"/>
          </w:tcPr>
          <w:p w:rsidR="00012172" w:rsidRDefault="00012172">
            <w:pPr>
              <w:pStyle w:val="Naslov"/>
              <w:rPr>
                <w:sz w:val="14"/>
              </w:rPr>
            </w:pPr>
            <w:r>
              <w:rPr>
                <w:sz w:val="14"/>
              </w:rPr>
              <w:t>broj</w:t>
            </w:r>
          </w:p>
        </w:tc>
        <w:tc>
          <w:tcPr>
            <w:tcW w:w="540" w:type="dxa"/>
            <w:tcBorders>
              <w:bottom w:val="nil"/>
            </w:tcBorders>
            <w:vAlign w:val="center"/>
          </w:tcPr>
          <w:p w:rsidR="00012172" w:rsidRDefault="00012172">
            <w:pPr>
              <w:pStyle w:val="Naslov"/>
              <w:rPr>
                <w:sz w:val="14"/>
              </w:rPr>
            </w:pPr>
            <w:r>
              <w:rPr>
                <w:sz w:val="14"/>
              </w:rPr>
              <w:t>%</w:t>
            </w:r>
          </w:p>
        </w:tc>
        <w:tc>
          <w:tcPr>
            <w:tcW w:w="720" w:type="dxa"/>
            <w:tcBorders>
              <w:bottom w:val="nil"/>
            </w:tcBorders>
            <w:vAlign w:val="center"/>
          </w:tcPr>
          <w:p w:rsidR="00012172" w:rsidRDefault="00012172">
            <w:pPr>
              <w:pStyle w:val="Naslov"/>
              <w:rPr>
                <w:sz w:val="14"/>
              </w:rPr>
            </w:pPr>
            <w:r>
              <w:rPr>
                <w:sz w:val="14"/>
              </w:rPr>
              <w:t>broj</w:t>
            </w:r>
          </w:p>
        </w:tc>
        <w:tc>
          <w:tcPr>
            <w:tcW w:w="540" w:type="dxa"/>
            <w:tcBorders>
              <w:bottom w:val="nil"/>
            </w:tcBorders>
            <w:vAlign w:val="center"/>
          </w:tcPr>
          <w:p w:rsidR="00012172" w:rsidRDefault="00012172">
            <w:pPr>
              <w:pStyle w:val="Naslov"/>
              <w:rPr>
                <w:sz w:val="14"/>
              </w:rPr>
            </w:pPr>
            <w:r>
              <w:rPr>
                <w:sz w:val="14"/>
              </w:rPr>
              <w:t>%</w:t>
            </w:r>
          </w:p>
        </w:tc>
        <w:tc>
          <w:tcPr>
            <w:tcW w:w="635" w:type="dxa"/>
            <w:tcBorders>
              <w:bottom w:val="nil"/>
            </w:tcBorders>
            <w:vAlign w:val="center"/>
          </w:tcPr>
          <w:p w:rsidR="00012172" w:rsidRDefault="00012172">
            <w:pPr>
              <w:pStyle w:val="Naslov"/>
              <w:rPr>
                <w:sz w:val="14"/>
              </w:rPr>
            </w:pPr>
            <w:r>
              <w:rPr>
                <w:sz w:val="14"/>
              </w:rPr>
              <w:t>broj</w:t>
            </w:r>
          </w:p>
        </w:tc>
        <w:tc>
          <w:tcPr>
            <w:tcW w:w="625" w:type="dxa"/>
            <w:tcBorders>
              <w:bottom w:val="nil"/>
            </w:tcBorders>
            <w:vAlign w:val="center"/>
          </w:tcPr>
          <w:p w:rsidR="00012172" w:rsidRDefault="00012172">
            <w:pPr>
              <w:pStyle w:val="Naslov"/>
              <w:rPr>
                <w:sz w:val="14"/>
              </w:rPr>
            </w:pPr>
            <w:r>
              <w:rPr>
                <w:sz w:val="14"/>
              </w:rPr>
              <w:t>broj</w:t>
            </w:r>
          </w:p>
        </w:tc>
        <w:tc>
          <w:tcPr>
            <w:tcW w:w="900" w:type="dxa"/>
            <w:tcBorders>
              <w:bottom w:val="nil"/>
            </w:tcBorders>
          </w:tcPr>
          <w:p w:rsidR="00012172" w:rsidRDefault="00012172">
            <w:pPr>
              <w:pStyle w:val="Naslov"/>
              <w:rPr>
                <w:sz w:val="14"/>
              </w:rPr>
            </w:pPr>
            <w:r>
              <w:rPr>
                <w:sz w:val="14"/>
              </w:rPr>
              <w:t xml:space="preserve">Broj stan/km² </w:t>
            </w:r>
          </w:p>
        </w:tc>
      </w:tr>
      <w:tr w:rsidR="00012172">
        <w:tblPrEx>
          <w:tblCellMar>
            <w:top w:w="0" w:type="dxa"/>
            <w:bottom w:w="0" w:type="dxa"/>
          </w:tblCellMar>
        </w:tblPrEx>
        <w:trPr>
          <w:cantSplit/>
          <w:trHeight w:val="308"/>
          <w:jc w:val="center"/>
        </w:trPr>
        <w:tc>
          <w:tcPr>
            <w:tcW w:w="1260" w:type="dxa"/>
            <w:tcBorders>
              <w:top w:val="single" w:sz="8" w:space="0" w:color="000000"/>
              <w:bottom w:val="single" w:sz="8" w:space="0" w:color="000000"/>
            </w:tcBorders>
          </w:tcPr>
          <w:p w:rsidR="00012172" w:rsidRDefault="00012172">
            <w:pPr>
              <w:pStyle w:val="Naslov"/>
              <w:jc w:val="left"/>
              <w:rPr>
                <w:b w:val="0"/>
                <w:sz w:val="14"/>
              </w:rPr>
            </w:pPr>
            <w:r>
              <w:rPr>
                <w:b w:val="0"/>
                <w:sz w:val="14"/>
              </w:rPr>
              <w:t>Županija</w:t>
            </w:r>
          </w:p>
          <w:p w:rsidR="00012172" w:rsidRDefault="00012172">
            <w:pPr>
              <w:pStyle w:val="Naslov"/>
              <w:jc w:val="right"/>
              <w:rPr>
                <w:sz w:val="14"/>
              </w:rPr>
            </w:pPr>
            <w:r>
              <w:rPr>
                <w:sz w:val="14"/>
              </w:rPr>
              <w:t>Ukupno</w:t>
            </w:r>
          </w:p>
        </w:tc>
        <w:tc>
          <w:tcPr>
            <w:tcW w:w="720" w:type="dxa"/>
            <w:tcBorders>
              <w:top w:val="single" w:sz="8" w:space="0" w:color="000000"/>
              <w:bottom w:val="single" w:sz="8" w:space="0" w:color="000000"/>
            </w:tcBorders>
            <w:vAlign w:val="bottom"/>
          </w:tcPr>
          <w:p w:rsidR="00012172" w:rsidRDefault="00012172">
            <w:pPr>
              <w:pStyle w:val="Naslov"/>
              <w:rPr>
                <w:sz w:val="14"/>
              </w:rPr>
            </w:pPr>
            <w:r>
              <w:rPr>
                <w:sz w:val="14"/>
              </w:rPr>
              <w:t>1.746,4</w:t>
            </w:r>
          </w:p>
        </w:tc>
        <w:tc>
          <w:tcPr>
            <w:tcW w:w="540" w:type="dxa"/>
            <w:tcBorders>
              <w:top w:val="single" w:sz="8" w:space="0" w:color="000000"/>
              <w:bottom w:val="single" w:sz="8" w:space="0" w:color="000000"/>
            </w:tcBorders>
            <w:vAlign w:val="bottom"/>
          </w:tcPr>
          <w:p w:rsidR="00012172" w:rsidRDefault="00012172">
            <w:pPr>
              <w:pStyle w:val="Naslov"/>
              <w:rPr>
                <w:sz w:val="14"/>
              </w:rPr>
            </w:pPr>
            <w:r>
              <w:rPr>
                <w:sz w:val="14"/>
              </w:rPr>
              <w:t>100</w:t>
            </w:r>
          </w:p>
        </w:tc>
        <w:tc>
          <w:tcPr>
            <w:tcW w:w="720" w:type="dxa"/>
            <w:tcBorders>
              <w:top w:val="single" w:sz="8" w:space="0" w:color="000000"/>
              <w:bottom w:val="single" w:sz="8" w:space="0" w:color="000000"/>
            </w:tcBorders>
            <w:vAlign w:val="bottom"/>
          </w:tcPr>
          <w:p w:rsidR="00012172" w:rsidRDefault="00012172">
            <w:pPr>
              <w:pStyle w:val="Naslov"/>
              <w:rPr>
                <w:sz w:val="22"/>
              </w:rPr>
            </w:pPr>
            <w:r>
              <w:rPr>
                <w:sz w:val="14"/>
              </w:rPr>
              <w:t>129.397</w:t>
            </w:r>
          </w:p>
        </w:tc>
        <w:tc>
          <w:tcPr>
            <w:tcW w:w="540" w:type="dxa"/>
            <w:tcBorders>
              <w:top w:val="single" w:sz="8" w:space="0" w:color="000000"/>
              <w:bottom w:val="single" w:sz="8" w:space="0" w:color="000000"/>
            </w:tcBorders>
            <w:vAlign w:val="bottom"/>
          </w:tcPr>
          <w:p w:rsidR="00012172" w:rsidRDefault="00012172">
            <w:pPr>
              <w:pStyle w:val="Naslov"/>
              <w:rPr>
                <w:sz w:val="22"/>
              </w:rPr>
            </w:pPr>
            <w:r>
              <w:rPr>
                <w:sz w:val="14"/>
              </w:rPr>
              <w:t>100</w:t>
            </w:r>
          </w:p>
        </w:tc>
        <w:tc>
          <w:tcPr>
            <w:tcW w:w="720" w:type="dxa"/>
            <w:tcBorders>
              <w:top w:val="single" w:sz="8" w:space="0" w:color="000000"/>
              <w:bottom w:val="single" w:sz="8" w:space="0" w:color="000000"/>
            </w:tcBorders>
            <w:vAlign w:val="bottom"/>
          </w:tcPr>
          <w:p w:rsidR="00012172" w:rsidRDefault="00012172">
            <w:pPr>
              <w:pStyle w:val="Naslov"/>
              <w:rPr>
                <w:sz w:val="14"/>
              </w:rPr>
            </w:pPr>
            <w:r>
              <w:rPr>
                <w:color w:val="000000"/>
                <w:sz w:val="14"/>
                <w:szCs w:val="20"/>
              </w:rPr>
              <w:t>124.467</w:t>
            </w:r>
          </w:p>
        </w:tc>
        <w:tc>
          <w:tcPr>
            <w:tcW w:w="540" w:type="dxa"/>
            <w:tcBorders>
              <w:top w:val="single" w:sz="8" w:space="0" w:color="000000"/>
              <w:bottom w:val="single" w:sz="8" w:space="0" w:color="000000"/>
            </w:tcBorders>
            <w:vAlign w:val="bottom"/>
          </w:tcPr>
          <w:p w:rsidR="00012172" w:rsidRDefault="00012172">
            <w:pPr>
              <w:pStyle w:val="Naslov"/>
              <w:rPr>
                <w:sz w:val="14"/>
              </w:rPr>
            </w:pPr>
            <w:r>
              <w:rPr>
                <w:sz w:val="14"/>
              </w:rPr>
              <w:t>100</w:t>
            </w:r>
          </w:p>
        </w:tc>
        <w:tc>
          <w:tcPr>
            <w:tcW w:w="720" w:type="dxa"/>
            <w:tcBorders>
              <w:top w:val="single" w:sz="8" w:space="0" w:color="000000"/>
              <w:bottom w:val="single" w:sz="8" w:space="0" w:color="000000"/>
            </w:tcBorders>
            <w:vAlign w:val="bottom"/>
          </w:tcPr>
          <w:p w:rsidR="00012172" w:rsidRDefault="00012172">
            <w:pPr>
              <w:pStyle w:val="Naslov"/>
              <w:rPr>
                <w:sz w:val="14"/>
              </w:rPr>
            </w:pPr>
            <w:r>
              <w:rPr>
                <w:sz w:val="14"/>
              </w:rPr>
              <w:t>42.395</w:t>
            </w:r>
          </w:p>
        </w:tc>
        <w:tc>
          <w:tcPr>
            <w:tcW w:w="540" w:type="dxa"/>
            <w:tcBorders>
              <w:top w:val="single" w:sz="8" w:space="0" w:color="000000"/>
              <w:bottom w:val="single" w:sz="8" w:space="0" w:color="000000"/>
            </w:tcBorders>
            <w:vAlign w:val="bottom"/>
          </w:tcPr>
          <w:p w:rsidR="00012172" w:rsidRDefault="00012172">
            <w:pPr>
              <w:pStyle w:val="Naslov"/>
              <w:rPr>
                <w:sz w:val="22"/>
              </w:rPr>
            </w:pPr>
            <w:r>
              <w:rPr>
                <w:sz w:val="14"/>
              </w:rPr>
              <w:t>100</w:t>
            </w:r>
          </w:p>
        </w:tc>
        <w:tc>
          <w:tcPr>
            <w:tcW w:w="720" w:type="dxa"/>
            <w:tcBorders>
              <w:top w:val="single" w:sz="8" w:space="0" w:color="000000"/>
              <w:bottom w:val="single" w:sz="8" w:space="0" w:color="000000"/>
            </w:tcBorders>
            <w:vAlign w:val="bottom"/>
          </w:tcPr>
          <w:p w:rsidR="00012172" w:rsidRDefault="00012172">
            <w:pPr>
              <w:pStyle w:val="Naslov"/>
              <w:rPr>
                <w:sz w:val="14"/>
              </w:rPr>
            </w:pPr>
            <w:r>
              <w:rPr>
                <w:sz w:val="14"/>
              </w:rPr>
              <w:t>43.163</w:t>
            </w:r>
          </w:p>
        </w:tc>
        <w:tc>
          <w:tcPr>
            <w:tcW w:w="540" w:type="dxa"/>
            <w:tcBorders>
              <w:top w:val="single" w:sz="8" w:space="0" w:color="000000"/>
              <w:bottom w:val="single" w:sz="8" w:space="0" w:color="000000"/>
            </w:tcBorders>
            <w:vAlign w:val="bottom"/>
          </w:tcPr>
          <w:p w:rsidR="00012172" w:rsidRDefault="00012172">
            <w:pPr>
              <w:pStyle w:val="Naslov"/>
              <w:rPr>
                <w:sz w:val="14"/>
              </w:rPr>
            </w:pPr>
            <w:r>
              <w:rPr>
                <w:sz w:val="14"/>
              </w:rPr>
              <w:t>100</w:t>
            </w:r>
          </w:p>
        </w:tc>
        <w:tc>
          <w:tcPr>
            <w:tcW w:w="635" w:type="dxa"/>
            <w:tcBorders>
              <w:top w:val="single" w:sz="8" w:space="0" w:color="000000"/>
              <w:bottom w:val="single" w:sz="8" w:space="0" w:color="000000"/>
            </w:tcBorders>
            <w:vAlign w:val="bottom"/>
          </w:tcPr>
          <w:p w:rsidR="00012172" w:rsidRDefault="00012172">
            <w:pPr>
              <w:pStyle w:val="Naslov"/>
              <w:rPr>
                <w:sz w:val="14"/>
              </w:rPr>
            </w:pPr>
            <w:r>
              <w:rPr>
                <w:sz w:val="14"/>
              </w:rPr>
              <w:t>40.584</w:t>
            </w:r>
          </w:p>
        </w:tc>
        <w:tc>
          <w:tcPr>
            <w:tcW w:w="625" w:type="dxa"/>
            <w:tcBorders>
              <w:top w:val="single" w:sz="8" w:space="0" w:color="000000"/>
              <w:bottom w:val="single" w:sz="8" w:space="0" w:color="000000"/>
            </w:tcBorders>
            <w:vAlign w:val="bottom"/>
          </w:tcPr>
          <w:p w:rsidR="00012172" w:rsidRDefault="00012172">
            <w:pPr>
              <w:pStyle w:val="Naslov"/>
              <w:rPr>
                <w:sz w:val="14"/>
              </w:rPr>
            </w:pPr>
            <w:r>
              <w:rPr>
                <w:sz w:val="14"/>
              </w:rPr>
              <w:t>39.584</w:t>
            </w:r>
          </w:p>
        </w:tc>
        <w:tc>
          <w:tcPr>
            <w:tcW w:w="900" w:type="dxa"/>
            <w:tcBorders>
              <w:top w:val="single" w:sz="8" w:space="0" w:color="000000"/>
              <w:bottom w:val="single" w:sz="8" w:space="0" w:color="000000"/>
            </w:tcBorders>
            <w:vAlign w:val="bottom"/>
          </w:tcPr>
          <w:p w:rsidR="00012172" w:rsidRDefault="00012172">
            <w:pPr>
              <w:pStyle w:val="Naslov"/>
              <w:rPr>
                <w:sz w:val="14"/>
              </w:rPr>
            </w:pPr>
            <w:r>
              <w:rPr>
                <w:sz w:val="14"/>
              </w:rPr>
              <w:t>71,3</w:t>
            </w:r>
          </w:p>
        </w:tc>
      </w:tr>
      <w:tr w:rsidR="00012172">
        <w:tblPrEx>
          <w:tblCellMar>
            <w:top w:w="0" w:type="dxa"/>
            <w:bottom w:w="0" w:type="dxa"/>
          </w:tblCellMar>
        </w:tblPrEx>
        <w:trPr>
          <w:cantSplit/>
          <w:jc w:val="center"/>
        </w:trPr>
        <w:tc>
          <w:tcPr>
            <w:tcW w:w="1260" w:type="dxa"/>
            <w:vAlign w:val="center"/>
          </w:tcPr>
          <w:p w:rsidR="00012172" w:rsidRDefault="00012172">
            <w:pPr>
              <w:pStyle w:val="Naslov"/>
              <w:rPr>
                <w:sz w:val="22"/>
              </w:rPr>
            </w:pPr>
            <w:r>
              <w:rPr>
                <w:sz w:val="14"/>
              </w:rPr>
              <w:t>Općina Gornja Rijeka</w:t>
            </w:r>
          </w:p>
        </w:tc>
        <w:tc>
          <w:tcPr>
            <w:tcW w:w="720" w:type="dxa"/>
            <w:tcBorders>
              <w:top w:val="single" w:sz="6" w:space="0" w:color="000000"/>
            </w:tcBorders>
            <w:vAlign w:val="center"/>
          </w:tcPr>
          <w:p w:rsidR="00012172" w:rsidRDefault="00012172">
            <w:pPr>
              <w:pStyle w:val="Naslov"/>
              <w:rPr>
                <w:sz w:val="14"/>
              </w:rPr>
            </w:pPr>
            <w:r>
              <w:rPr>
                <w:sz w:val="14"/>
              </w:rPr>
              <w:t>32,72</w:t>
            </w:r>
          </w:p>
        </w:tc>
        <w:tc>
          <w:tcPr>
            <w:tcW w:w="540" w:type="dxa"/>
            <w:tcBorders>
              <w:top w:val="single" w:sz="6" w:space="0" w:color="000000"/>
            </w:tcBorders>
            <w:vAlign w:val="center"/>
          </w:tcPr>
          <w:p w:rsidR="00012172" w:rsidRDefault="00012172">
            <w:pPr>
              <w:pStyle w:val="Naslov"/>
              <w:rPr>
                <w:sz w:val="14"/>
              </w:rPr>
            </w:pPr>
            <w:r>
              <w:rPr>
                <w:sz w:val="14"/>
              </w:rPr>
              <w:t>1,8</w:t>
            </w:r>
          </w:p>
        </w:tc>
        <w:tc>
          <w:tcPr>
            <w:tcW w:w="720" w:type="dxa"/>
            <w:vAlign w:val="center"/>
          </w:tcPr>
          <w:p w:rsidR="00012172" w:rsidRDefault="00012172">
            <w:pPr>
              <w:pStyle w:val="Naslov"/>
              <w:rPr>
                <w:sz w:val="14"/>
              </w:rPr>
            </w:pPr>
            <w:r>
              <w:rPr>
                <w:sz w:val="14"/>
              </w:rPr>
              <w:t>2330</w:t>
            </w:r>
          </w:p>
        </w:tc>
        <w:tc>
          <w:tcPr>
            <w:tcW w:w="540" w:type="dxa"/>
            <w:vAlign w:val="center"/>
          </w:tcPr>
          <w:p w:rsidR="00012172" w:rsidRDefault="00012172">
            <w:pPr>
              <w:pStyle w:val="Naslov"/>
              <w:rPr>
                <w:sz w:val="14"/>
              </w:rPr>
            </w:pPr>
            <w:r>
              <w:rPr>
                <w:sz w:val="14"/>
              </w:rPr>
              <w:t>1,8</w:t>
            </w:r>
          </w:p>
        </w:tc>
        <w:tc>
          <w:tcPr>
            <w:tcW w:w="720" w:type="dxa"/>
            <w:vAlign w:val="center"/>
          </w:tcPr>
          <w:p w:rsidR="00012172" w:rsidRDefault="00012172">
            <w:pPr>
              <w:pStyle w:val="Naslov"/>
              <w:rPr>
                <w:sz w:val="14"/>
              </w:rPr>
            </w:pPr>
            <w:r>
              <w:rPr>
                <w:sz w:val="14"/>
              </w:rPr>
              <w:t>2035</w:t>
            </w:r>
          </w:p>
        </w:tc>
        <w:tc>
          <w:tcPr>
            <w:tcW w:w="540" w:type="dxa"/>
            <w:vAlign w:val="center"/>
          </w:tcPr>
          <w:p w:rsidR="00012172" w:rsidRDefault="00012172">
            <w:pPr>
              <w:pStyle w:val="Naslov"/>
              <w:rPr>
                <w:sz w:val="14"/>
              </w:rPr>
            </w:pPr>
            <w:r>
              <w:rPr>
                <w:sz w:val="14"/>
              </w:rPr>
              <w:t>1,6</w:t>
            </w:r>
          </w:p>
        </w:tc>
        <w:tc>
          <w:tcPr>
            <w:tcW w:w="720" w:type="dxa"/>
            <w:vAlign w:val="center"/>
          </w:tcPr>
          <w:p w:rsidR="00012172" w:rsidRDefault="00012172">
            <w:pPr>
              <w:pStyle w:val="Naslov"/>
              <w:rPr>
                <w:sz w:val="14"/>
              </w:rPr>
            </w:pPr>
            <w:r>
              <w:rPr>
                <w:sz w:val="14"/>
              </w:rPr>
              <w:t>609</w:t>
            </w:r>
          </w:p>
        </w:tc>
        <w:tc>
          <w:tcPr>
            <w:tcW w:w="540" w:type="dxa"/>
            <w:vAlign w:val="center"/>
          </w:tcPr>
          <w:p w:rsidR="00012172" w:rsidRDefault="00012172">
            <w:pPr>
              <w:pStyle w:val="Naslov"/>
              <w:rPr>
                <w:sz w:val="14"/>
              </w:rPr>
            </w:pPr>
            <w:r>
              <w:rPr>
                <w:sz w:val="14"/>
              </w:rPr>
              <w:t>1,4</w:t>
            </w:r>
          </w:p>
        </w:tc>
        <w:tc>
          <w:tcPr>
            <w:tcW w:w="720" w:type="dxa"/>
            <w:vAlign w:val="center"/>
          </w:tcPr>
          <w:p w:rsidR="00012172" w:rsidRDefault="00012172">
            <w:pPr>
              <w:pStyle w:val="Naslov"/>
              <w:rPr>
                <w:sz w:val="14"/>
              </w:rPr>
            </w:pPr>
            <w:r>
              <w:rPr>
                <w:sz w:val="14"/>
              </w:rPr>
              <w:t>597</w:t>
            </w:r>
          </w:p>
        </w:tc>
        <w:tc>
          <w:tcPr>
            <w:tcW w:w="540" w:type="dxa"/>
            <w:vAlign w:val="center"/>
          </w:tcPr>
          <w:p w:rsidR="00012172" w:rsidRDefault="00012172">
            <w:pPr>
              <w:pStyle w:val="Naslov"/>
              <w:rPr>
                <w:sz w:val="14"/>
              </w:rPr>
            </w:pPr>
            <w:r>
              <w:rPr>
                <w:sz w:val="14"/>
              </w:rPr>
              <w:t>1,3</w:t>
            </w:r>
          </w:p>
        </w:tc>
        <w:tc>
          <w:tcPr>
            <w:tcW w:w="635" w:type="dxa"/>
            <w:vAlign w:val="center"/>
          </w:tcPr>
          <w:p w:rsidR="00012172" w:rsidRDefault="00012172">
            <w:pPr>
              <w:pStyle w:val="Naslov"/>
              <w:rPr>
                <w:sz w:val="14"/>
              </w:rPr>
            </w:pPr>
            <w:r>
              <w:rPr>
                <w:sz w:val="14"/>
              </w:rPr>
              <w:t>616</w:t>
            </w:r>
          </w:p>
        </w:tc>
        <w:tc>
          <w:tcPr>
            <w:tcW w:w="625" w:type="dxa"/>
            <w:vAlign w:val="center"/>
          </w:tcPr>
          <w:p w:rsidR="00012172" w:rsidRDefault="00012172">
            <w:pPr>
              <w:pStyle w:val="Naslov"/>
              <w:rPr>
                <w:sz w:val="14"/>
              </w:rPr>
            </w:pPr>
            <w:r>
              <w:rPr>
                <w:sz w:val="14"/>
              </w:rPr>
              <w:t>573</w:t>
            </w:r>
          </w:p>
        </w:tc>
        <w:tc>
          <w:tcPr>
            <w:tcW w:w="900" w:type="dxa"/>
            <w:tcBorders>
              <w:top w:val="single" w:sz="6" w:space="0" w:color="000000"/>
            </w:tcBorders>
            <w:vAlign w:val="center"/>
          </w:tcPr>
          <w:p w:rsidR="00012172" w:rsidRDefault="00012172">
            <w:pPr>
              <w:pStyle w:val="Naslov"/>
              <w:rPr>
                <w:sz w:val="14"/>
              </w:rPr>
            </w:pPr>
            <w:r>
              <w:rPr>
                <w:sz w:val="14"/>
              </w:rPr>
              <w:t>62,2</w:t>
            </w:r>
          </w:p>
        </w:tc>
      </w:tr>
    </w:tbl>
    <w:p w:rsidR="00012172" w:rsidRDefault="00012172">
      <w:pPr>
        <w:rPr>
          <w:rFonts w:ascii="Arial" w:hAnsi="Arial" w:cs="Arial"/>
          <w:sz w:val="20"/>
          <w:szCs w:val="20"/>
        </w:rPr>
      </w:pPr>
      <w:r>
        <w:rPr>
          <w:rFonts w:ascii="Arial" w:hAnsi="Arial" w:cs="Arial"/>
          <w:sz w:val="20"/>
          <w:szCs w:val="20"/>
        </w:rPr>
        <w:t>Izvori: Tab. 4. Kućanstva prema veličini, tipu i broju članova, po gradovima/općinama, popis 2001</w:t>
      </w:r>
    </w:p>
    <w:p w:rsidR="00012172" w:rsidRDefault="00012172"/>
    <w:p w:rsidR="00012172" w:rsidRDefault="00012172">
      <w:pPr>
        <w:pStyle w:val="Naslov2"/>
        <w:rPr>
          <w:rFonts w:ascii="Times New Roman" w:hAnsi="Times New Roman" w:cs="Times New Roman"/>
        </w:rPr>
      </w:pPr>
      <w:r>
        <w:br w:type="page"/>
      </w:r>
      <w:bookmarkStart w:id="10" w:name="_Toc95140575"/>
      <w:r>
        <w:rPr>
          <w:rFonts w:ascii="Times New Roman" w:hAnsi="Times New Roman" w:cs="Times New Roman"/>
        </w:rPr>
        <w:lastRenderedPageBreak/>
        <w:t>1.1.2. Prostorno razvojne i resursne značajke</w:t>
      </w:r>
      <w:bookmarkEnd w:id="10"/>
      <w:r>
        <w:rPr>
          <w:rFonts w:ascii="Times New Roman" w:hAnsi="Times New Roman" w:cs="Times New Roman"/>
        </w:rPr>
        <w:t xml:space="preserve"> </w:t>
      </w:r>
    </w:p>
    <w:p w:rsidR="00012172" w:rsidRDefault="00012172">
      <w:pPr>
        <w:rPr>
          <w:b/>
        </w:rPr>
      </w:pPr>
    </w:p>
    <w:p w:rsidR="00012172" w:rsidRDefault="00012172">
      <w:pPr>
        <w:pStyle w:val="Naslov3"/>
        <w:rPr>
          <w:rFonts w:ascii="Times New Roman" w:hAnsi="Times New Roman" w:cs="Times New Roman"/>
        </w:rPr>
      </w:pPr>
      <w:bookmarkStart w:id="11" w:name="_Toc95140576"/>
      <w:r>
        <w:rPr>
          <w:rFonts w:ascii="Times New Roman" w:hAnsi="Times New Roman" w:cs="Times New Roman"/>
        </w:rPr>
        <w:t>1.1.2.1. Zemljopisna obilježja</w:t>
      </w:r>
      <w:bookmarkEnd w:id="11"/>
    </w:p>
    <w:p w:rsidR="00012172" w:rsidRDefault="00012172">
      <w:pPr>
        <w:rPr>
          <w:b/>
        </w:rPr>
      </w:pPr>
    </w:p>
    <w:p w:rsidR="00012172" w:rsidRDefault="00012172">
      <w:pPr>
        <w:pStyle w:val="Naslov"/>
        <w:jc w:val="left"/>
        <w:rPr>
          <w:sz w:val="24"/>
          <w:szCs w:val="22"/>
        </w:rPr>
      </w:pPr>
      <w:r>
        <w:rPr>
          <w:sz w:val="24"/>
          <w:szCs w:val="22"/>
        </w:rPr>
        <w:t>Geološka obilježja</w:t>
      </w:r>
    </w:p>
    <w:p w:rsidR="00012172" w:rsidRDefault="00012172">
      <w:pPr>
        <w:ind w:firstLine="360"/>
        <w:jc w:val="both"/>
        <w:rPr>
          <w:bCs/>
          <w:color w:val="FF00FF"/>
        </w:rPr>
      </w:pPr>
    </w:p>
    <w:p w:rsidR="00012172" w:rsidRDefault="00012172">
      <w:pPr>
        <w:ind w:firstLine="360"/>
        <w:jc w:val="both"/>
        <w:rPr>
          <w:rFonts w:ascii="Arial" w:hAnsi="Arial" w:cs="Arial"/>
          <w:bCs/>
          <w:sz w:val="22"/>
        </w:rPr>
      </w:pPr>
      <w:r>
        <w:rPr>
          <w:rFonts w:ascii="Arial" w:hAnsi="Arial" w:cs="Arial"/>
          <w:bCs/>
          <w:sz w:val="22"/>
        </w:rPr>
        <w:t>Geološka građa Kalnika i novije spoznaje o tektonskoj prošlosti  alpsko-dinarskog sustava izmijenili su ranija mišljenja o Kalniku. Dok se prije mislilo da pripada lancu istočnih Alpa, danas se misli da je ostatak nekadašnjeg Orijentalnog kopna, koje je u mezozojskoj eri odigralo znatnu ulogu u tektonskim procesima između alpskog i dinarskog sustava. Uz tektonske pokrete na području ove planine vezana je pojava termalnih i mineralnih voda (Apatovačka kiselica pod južnom padinom).</w:t>
      </w:r>
    </w:p>
    <w:p w:rsidR="00012172" w:rsidRDefault="00012172">
      <w:pPr>
        <w:ind w:firstLine="360"/>
        <w:jc w:val="both"/>
        <w:rPr>
          <w:rFonts w:ascii="Arial" w:hAnsi="Arial" w:cs="Arial"/>
          <w:b/>
          <w:bCs/>
          <w:sz w:val="22"/>
        </w:rPr>
      </w:pPr>
      <w:r>
        <w:rPr>
          <w:rFonts w:ascii="Arial" w:hAnsi="Arial" w:cs="Arial"/>
          <w:sz w:val="22"/>
        </w:rPr>
        <w:t xml:space="preserve">Krajnji izdanci prigorja prekriveni su naslagama iz pleistocena, a to su uglavnom gline i praporne ilovine. Erozivna djelatnost brojnih potoka kao i drugi oblici erozije, u pleistocenu i holocenu uvelike su izbrazdali i raščlanili reljef. Značajni su tercijarni sedimenti središnjeg kalničkog područja s nalazima ugljena, konglomerata, glina, pješčenjaka, lapora, a mjestimice i sedre. U strukturu reljefa usjekle su se brojne aluvijalne dolinice potoka,  usmjerene prema dolini Glogovnice  i u donjim su tokovima zamočvarene i uglavnom agrarno neatraktivne.  </w:t>
      </w:r>
    </w:p>
    <w:p w:rsidR="00012172" w:rsidRDefault="00012172">
      <w:pPr>
        <w:pStyle w:val="Tijeloteksta-uvlaka2"/>
        <w:spacing w:line="240" w:lineRule="auto"/>
        <w:ind w:left="0" w:firstLine="360"/>
        <w:jc w:val="both"/>
        <w:rPr>
          <w:rFonts w:ascii="Arial" w:hAnsi="Arial" w:cs="Arial"/>
          <w:sz w:val="22"/>
        </w:rPr>
      </w:pPr>
      <w:r>
        <w:rPr>
          <w:rFonts w:ascii="Arial" w:hAnsi="Arial" w:cs="Arial"/>
          <w:sz w:val="22"/>
        </w:rPr>
        <w:t>Obzirom na petrografski sastav reljefa kao i mogućnost erozivnog djelovanja, pedološki sastav i osobine tala nisu najpogodnije za agrarno iskorištavanje. Veći dio južnog kalničkog prigorja pokriven je tipovima podzoliranih tla, koji se međusobno razlikuju stupnjem podzolizacije i razvijenosti profila. To su uglavnom manje vrijedna tla, ponešto kisela i siromašna hranjivima, a na dijelovima pleistocenskih glina i teška za obradu. Usprkos tim prirodnim karakteristikama tla, kroz povijest je kalničko prigorje bilo razmjerno gusto naseljeno, pa je prirodni šumski pokrov najvećim dijelom iskrčen, a podzolasta tla većim dijelom kultivirana, te tako postupno pretvorena u humizirana antropogena tla.</w:t>
      </w:r>
    </w:p>
    <w:p w:rsidR="00012172" w:rsidRDefault="00012172">
      <w:pPr>
        <w:jc w:val="both"/>
        <w:rPr>
          <w:color w:val="FF0000"/>
        </w:rPr>
      </w:pPr>
    </w:p>
    <w:p w:rsidR="00012172" w:rsidRDefault="00012172">
      <w:pPr>
        <w:rPr>
          <w:b/>
          <w:szCs w:val="22"/>
        </w:rPr>
      </w:pPr>
      <w:r>
        <w:rPr>
          <w:b/>
          <w:szCs w:val="22"/>
        </w:rPr>
        <w:t>Reljef</w:t>
      </w:r>
    </w:p>
    <w:p w:rsidR="00012172" w:rsidRDefault="00012172">
      <w:pPr>
        <w:jc w:val="both"/>
        <w:rPr>
          <w:rFonts w:ascii="Arial" w:hAnsi="Arial" w:cs="Arial"/>
          <w:sz w:val="22"/>
        </w:rPr>
      </w:pPr>
    </w:p>
    <w:p w:rsidR="00012172" w:rsidRDefault="00012172">
      <w:pPr>
        <w:ind w:firstLine="708"/>
        <w:jc w:val="both"/>
        <w:rPr>
          <w:rFonts w:ascii="Arial" w:hAnsi="Arial" w:cs="Arial"/>
          <w:bCs/>
          <w:sz w:val="22"/>
        </w:rPr>
      </w:pPr>
      <w:r>
        <w:rPr>
          <w:rFonts w:ascii="Arial" w:hAnsi="Arial" w:cs="Arial"/>
          <w:bCs/>
          <w:sz w:val="22"/>
        </w:rPr>
        <w:t>Kalnik se nalazi na križevačkoj strani Koprivničko-križevačke županije i geografska je dominanta tog prostora (pa tako i općine Gornja Rijeka). Svojim užim okružjem i dijelom  kalničkog prigorja zauzima približno 200 km</w:t>
      </w:r>
      <w:r>
        <w:rPr>
          <w:rFonts w:ascii="Arial" w:hAnsi="Arial" w:cs="Arial"/>
          <w:bCs/>
          <w:sz w:val="22"/>
          <w:vertAlign w:val="superscript"/>
        </w:rPr>
        <w:t xml:space="preserve">2 </w:t>
      </w:r>
      <w:r>
        <w:rPr>
          <w:rFonts w:ascii="Arial" w:hAnsi="Arial" w:cs="Arial"/>
          <w:bCs/>
          <w:sz w:val="22"/>
        </w:rPr>
        <w:t xml:space="preserve"> prostora.</w:t>
      </w:r>
    </w:p>
    <w:p w:rsidR="00012172" w:rsidRDefault="00012172">
      <w:pPr>
        <w:ind w:firstLine="708"/>
        <w:jc w:val="both"/>
        <w:rPr>
          <w:rFonts w:ascii="Arial" w:hAnsi="Arial" w:cs="Arial"/>
          <w:bCs/>
          <w:sz w:val="22"/>
        </w:rPr>
      </w:pPr>
      <w:r>
        <w:rPr>
          <w:rFonts w:ascii="Arial" w:hAnsi="Arial" w:cs="Arial"/>
          <w:bCs/>
          <w:sz w:val="22"/>
        </w:rPr>
        <w:t xml:space="preserve">Kalnička gora diže se na granici Zagorja, Prigorja i Podravine kao impozantan zid u pravcu jugozapad-sjeveroistok. Dugačak je </w:t>
      </w:r>
      <w:smartTag w:uri="urn:schemas-microsoft-com:office:smarttags" w:element="metricconverter">
        <w:smartTagPr>
          <w:attr w:name="ProductID" w:val="16 km"/>
        </w:smartTagPr>
        <w:r>
          <w:rPr>
            <w:rFonts w:ascii="Arial" w:hAnsi="Arial" w:cs="Arial"/>
            <w:bCs/>
            <w:sz w:val="22"/>
          </w:rPr>
          <w:t>16 km</w:t>
        </w:r>
      </w:smartTag>
      <w:r>
        <w:rPr>
          <w:rFonts w:ascii="Arial" w:hAnsi="Arial" w:cs="Arial"/>
          <w:bCs/>
          <w:sz w:val="22"/>
        </w:rPr>
        <w:t>, a visok prosječno 400-</w:t>
      </w:r>
      <w:smartTag w:uri="urn:schemas-microsoft-com:office:smarttags" w:element="metricconverter">
        <w:smartTagPr>
          <w:attr w:name="ProductID" w:val="500 m"/>
        </w:smartTagPr>
        <w:r>
          <w:rPr>
            <w:rFonts w:ascii="Arial" w:hAnsi="Arial" w:cs="Arial"/>
            <w:bCs/>
            <w:sz w:val="22"/>
          </w:rPr>
          <w:t>500 m</w:t>
        </w:r>
      </w:smartTag>
      <w:r>
        <w:rPr>
          <w:rFonts w:ascii="Arial" w:hAnsi="Arial" w:cs="Arial"/>
          <w:bCs/>
          <w:sz w:val="22"/>
        </w:rPr>
        <w:t>. Cijela je planina ispresjecana tektonskim linijama i razbijena u pojedine skupine. Možemo ih svrstati u dva usporedna niza: južni, viši i sjeverni, malo niži. Južni greben, gledan s juga, sličan je snažnoj barijeri iznikloj iz ravnice, pa zbog strmih i golih stijena  na vrhovima daje dojam divljine i veće visine od stvarne.Taj dio, oštro je usiječen tjesnacima i podijeljen na tri djela: Mali Kalnik na zapadu, Veliki Kalnik u sredini i Kalničku gredu na istoku. Na krajevima se greben spušta, postupno gubi površinska alpska obilježja i prelazi u šumovito humlje.</w:t>
      </w:r>
    </w:p>
    <w:p w:rsidR="00012172" w:rsidRDefault="00012172">
      <w:pPr>
        <w:ind w:firstLine="708"/>
        <w:jc w:val="both"/>
        <w:rPr>
          <w:rFonts w:ascii="Arial" w:hAnsi="Arial" w:cs="Arial"/>
          <w:bCs/>
          <w:sz w:val="22"/>
        </w:rPr>
      </w:pPr>
      <w:r>
        <w:rPr>
          <w:rFonts w:ascii="Arial" w:hAnsi="Arial" w:cs="Arial"/>
          <w:bCs/>
          <w:sz w:val="22"/>
        </w:rPr>
        <w:t>Kalnik po svom razvitku i ustroju stoji na prijelazu iz alpskog područja u međurječje (Hirc, 1905).</w:t>
      </w:r>
    </w:p>
    <w:p w:rsidR="00012172" w:rsidRDefault="00012172">
      <w:pPr>
        <w:ind w:firstLine="708"/>
        <w:jc w:val="both"/>
        <w:rPr>
          <w:rFonts w:ascii="Arial" w:hAnsi="Arial" w:cs="Arial"/>
          <w:bCs/>
          <w:sz w:val="22"/>
        </w:rPr>
      </w:pPr>
      <w:r>
        <w:rPr>
          <w:rFonts w:ascii="Arial" w:hAnsi="Arial" w:cs="Arial"/>
          <w:bCs/>
          <w:sz w:val="22"/>
        </w:rPr>
        <w:t>Formiranje Kalnika kao samostalne geomorfološke cijeline nastalo je poslije tzv. štajerske orogenetske faze kada je stvoren reljef vrlo sličan današnjem. Novo izdizanje Kalnika započelo je krajem ponta, što je uzrokovalo eroziju neogenskih naslaga, naročito lapora, tako da su na površinu izbile stare stijene. Ovo izdizanje se dešavalo postupno, tako da je Kalnik sadašnju visinu postigao tek tijekom kvartara. U najnižem području, između Koprivnice i Križevaca, pliocen prekriveju pleistocenske naslage, čak i na samom bilu gore.</w:t>
      </w:r>
      <w:r>
        <w:rPr>
          <w:bCs/>
          <w:color w:val="FF00FF"/>
        </w:rPr>
        <w:t xml:space="preserve"> </w:t>
      </w:r>
      <w:r>
        <w:rPr>
          <w:rFonts w:ascii="Arial" w:hAnsi="Arial" w:cs="Arial"/>
          <w:bCs/>
          <w:sz w:val="22"/>
        </w:rPr>
        <w:t xml:space="preserve">Neobična je činjenica da razvodnica nije njegov južni greben s najvišim vrhovima, nego </w:t>
      </w:r>
      <w:r>
        <w:rPr>
          <w:rFonts w:ascii="Arial" w:hAnsi="Arial" w:cs="Arial"/>
          <w:bCs/>
          <w:sz w:val="22"/>
        </w:rPr>
        <w:lastRenderedPageBreak/>
        <w:t xml:space="preserve">sjeverni niži greben. Gotovo čitavo područje je u pliocenu bilo preplavljeno kao dio Panonskog jezera. </w:t>
      </w:r>
    </w:p>
    <w:p w:rsidR="00012172" w:rsidRDefault="00012172">
      <w:pPr>
        <w:ind w:firstLine="708"/>
        <w:jc w:val="both"/>
        <w:rPr>
          <w:rFonts w:ascii="Arial" w:hAnsi="Arial" w:cs="Arial"/>
          <w:bCs/>
          <w:sz w:val="22"/>
        </w:rPr>
      </w:pPr>
      <w:r>
        <w:rPr>
          <w:rFonts w:ascii="Arial" w:hAnsi="Arial" w:cs="Arial"/>
          <w:bCs/>
          <w:sz w:val="22"/>
        </w:rPr>
        <w:t>Godine 1985. Kalnik je proglašen značajnim krajobrazom, a neki njegovi lokaliteti su pod još strožom zaštitom (Poljak, 1996).</w:t>
      </w:r>
    </w:p>
    <w:p w:rsidR="00012172" w:rsidRDefault="00012172">
      <w:pPr>
        <w:jc w:val="both"/>
        <w:rPr>
          <w:rFonts w:ascii="Arial" w:hAnsi="Arial" w:cs="Arial"/>
          <w:sz w:val="22"/>
        </w:rPr>
      </w:pPr>
    </w:p>
    <w:p w:rsidR="00012172" w:rsidRDefault="00012172">
      <w:pPr>
        <w:jc w:val="both"/>
        <w:rPr>
          <w:sz w:val="22"/>
        </w:rPr>
      </w:pPr>
    </w:p>
    <w:p w:rsidR="00012172" w:rsidRDefault="00012172">
      <w:pPr>
        <w:rPr>
          <w:b/>
          <w:szCs w:val="22"/>
        </w:rPr>
      </w:pPr>
      <w:r>
        <w:rPr>
          <w:b/>
          <w:szCs w:val="22"/>
          <w:lang w:val="de-DE"/>
        </w:rPr>
        <w:t>Hidrografska</w:t>
      </w:r>
      <w:r>
        <w:rPr>
          <w:b/>
          <w:szCs w:val="22"/>
        </w:rPr>
        <w:t xml:space="preserve"> </w:t>
      </w:r>
      <w:r>
        <w:rPr>
          <w:b/>
          <w:szCs w:val="22"/>
          <w:lang w:val="de-DE"/>
        </w:rPr>
        <w:t>obilje</w:t>
      </w:r>
      <w:r>
        <w:rPr>
          <w:b/>
          <w:szCs w:val="22"/>
        </w:rPr>
        <w:t>ž</w:t>
      </w:r>
      <w:r>
        <w:rPr>
          <w:b/>
          <w:szCs w:val="22"/>
          <w:lang w:val="de-DE"/>
        </w:rPr>
        <w:t>ja</w:t>
      </w:r>
    </w:p>
    <w:p w:rsidR="00012172" w:rsidRDefault="00012172">
      <w:pPr>
        <w:pStyle w:val="Tijeloteksta"/>
        <w:jc w:val="both"/>
        <w:rPr>
          <w:color w:val="FF00FF"/>
        </w:rPr>
      </w:pPr>
    </w:p>
    <w:p w:rsidR="00012172" w:rsidRDefault="00012172">
      <w:pPr>
        <w:pStyle w:val="Tijeloteksta"/>
        <w:jc w:val="both"/>
        <w:rPr>
          <w:rFonts w:ascii="Arial" w:hAnsi="Arial" w:cs="Arial"/>
          <w:sz w:val="22"/>
          <w:szCs w:val="22"/>
        </w:rPr>
      </w:pPr>
      <w:r>
        <w:rPr>
          <w:rFonts w:ascii="Arial" w:hAnsi="Arial" w:cs="Arial"/>
          <w:sz w:val="22"/>
        </w:rPr>
        <w:t>Hidrografska mreža planine Kalnik izrazito je asimetrična, a najduži potoci i rječice teku upravo kroz južno prigorje. Ovi vodotoci izviru uglavnom pod samim kalničkim horstom i  zatim teku prema jugu ulijevajući se u Glogovnicu s prostranom aluvijalnom ravnicom.</w:t>
      </w:r>
      <w:r>
        <w:rPr>
          <w:rFonts w:ascii="Arial" w:hAnsi="Arial" w:cs="Arial"/>
          <w:sz w:val="22"/>
          <w:szCs w:val="22"/>
        </w:rPr>
        <w:t>Potoci na području Općine Gornja Rijeka su Šokot, Pesji potok i Grabovec.</w:t>
      </w:r>
      <w:r w:rsidR="007E7AF5">
        <w:rPr>
          <w:rFonts w:ascii="Arial" w:hAnsi="Arial" w:cs="Arial"/>
          <w:sz w:val="22"/>
          <w:szCs w:val="22"/>
        </w:rPr>
        <w:t xml:space="preserve"> Zapadno i istočno od Gornje Rijeke nalaze se </w:t>
      </w:r>
      <w:r w:rsidR="009A1682">
        <w:rPr>
          <w:rFonts w:ascii="Arial" w:hAnsi="Arial" w:cs="Arial"/>
          <w:sz w:val="22"/>
          <w:szCs w:val="22"/>
        </w:rPr>
        <w:t>jezera</w:t>
      </w:r>
      <w:r w:rsidR="007E7AF5">
        <w:rPr>
          <w:rFonts w:ascii="Arial" w:hAnsi="Arial" w:cs="Arial"/>
          <w:sz w:val="22"/>
          <w:szCs w:val="22"/>
        </w:rPr>
        <w:t>.</w:t>
      </w:r>
      <w:r w:rsidR="009A1682">
        <w:rPr>
          <w:rFonts w:ascii="Arial" w:hAnsi="Arial" w:cs="Arial"/>
          <w:sz w:val="22"/>
          <w:szCs w:val="22"/>
        </w:rPr>
        <w:t xml:space="preserve"> </w:t>
      </w:r>
    </w:p>
    <w:p w:rsidR="00012172" w:rsidRDefault="00012172">
      <w:pPr>
        <w:rPr>
          <w:rFonts w:ascii="Arial" w:hAnsi="Arial" w:cs="Arial"/>
          <w:sz w:val="22"/>
          <w:szCs w:val="22"/>
        </w:rPr>
      </w:pPr>
    </w:p>
    <w:p w:rsidR="00012172" w:rsidRDefault="00012172">
      <w:pPr>
        <w:rPr>
          <w:rFonts w:ascii="Arial" w:hAnsi="Arial" w:cs="Arial"/>
          <w:sz w:val="22"/>
          <w:szCs w:val="22"/>
        </w:rPr>
      </w:pPr>
    </w:p>
    <w:p w:rsidR="00012172" w:rsidRDefault="00012172">
      <w:pPr>
        <w:pStyle w:val="Naslov4"/>
        <w:spacing w:before="0" w:after="0"/>
        <w:rPr>
          <w:rFonts w:ascii="Times New Roman" w:hAnsi="Times New Roman"/>
          <w:szCs w:val="22"/>
          <w:lang w:val="hr-HR"/>
        </w:rPr>
      </w:pPr>
      <w:r>
        <w:rPr>
          <w:rFonts w:ascii="Times New Roman" w:hAnsi="Times New Roman"/>
          <w:szCs w:val="22"/>
          <w:lang w:val="hr-HR"/>
        </w:rPr>
        <w:t>Klima</w:t>
      </w:r>
    </w:p>
    <w:p w:rsidR="00012172" w:rsidRDefault="00012172">
      <w:pPr>
        <w:jc w:val="both"/>
        <w:rPr>
          <w:rFonts w:ascii="Arial" w:hAnsi="Arial" w:cs="Arial"/>
          <w:sz w:val="22"/>
          <w:szCs w:val="22"/>
        </w:rPr>
      </w:pPr>
    </w:p>
    <w:p w:rsidR="00012172" w:rsidRDefault="00012172">
      <w:pPr>
        <w:ind w:hanging="11"/>
        <w:jc w:val="both"/>
        <w:rPr>
          <w:rFonts w:ascii="Arial" w:hAnsi="Arial" w:cs="Arial"/>
          <w:sz w:val="22"/>
        </w:rPr>
      </w:pPr>
      <w:r>
        <w:rPr>
          <w:rFonts w:ascii="Arial" w:hAnsi="Arial" w:cs="Arial"/>
          <w:sz w:val="22"/>
        </w:rPr>
        <w:t>Kalnik je izložen kontinentalnom, ali sredozemnopluviometričkom režimu. Za prvi su značajne obilne i česte kiše u proljeće, s manjim količinama padalina zimi, a za drugi velika količina jesenskih , zimskih i proljetnih padalina, te ljetna suša.</w:t>
      </w:r>
    </w:p>
    <w:p w:rsidR="00012172" w:rsidRDefault="00012172">
      <w:pPr>
        <w:ind w:hanging="11"/>
        <w:jc w:val="both"/>
        <w:rPr>
          <w:rFonts w:ascii="Arial" w:hAnsi="Arial" w:cs="Arial"/>
          <w:sz w:val="22"/>
        </w:rPr>
      </w:pPr>
      <w:r>
        <w:rPr>
          <w:rFonts w:ascii="Arial" w:hAnsi="Arial" w:cs="Arial"/>
          <w:sz w:val="22"/>
        </w:rPr>
        <w:t>Padaline se na Kalniku kontinuirano javljaju kroz cijelu godinu. Prosječno godišnje padne 850-</w:t>
      </w:r>
      <w:smartTag w:uri="urn:schemas-microsoft-com:office:smarttags" w:element="metricconverter">
        <w:smartTagPr>
          <w:attr w:name="ProductID" w:val="900 mm"/>
        </w:smartTagPr>
        <w:r>
          <w:rPr>
            <w:rFonts w:ascii="Arial" w:hAnsi="Arial" w:cs="Arial"/>
            <w:sz w:val="22"/>
          </w:rPr>
          <w:t>900 mm</w:t>
        </w:r>
      </w:smartTag>
      <w:r>
        <w:rPr>
          <w:rFonts w:ascii="Arial" w:hAnsi="Arial" w:cs="Arial"/>
          <w:sz w:val="22"/>
        </w:rPr>
        <w:t xml:space="preserve"> padalina. Mjesec s najmanje padalina je veljača. Povoljna okolnost je ta što ljetne temperature prati i najveća količina padalina. Broj kišnih dana iznosi 127 kroz godinu. Izrazito sušnih razdoblja u godini nema. Za vegetaciju je povoljno što u najtoplijem dijelu godine ima najviše padalina. Srednje godišnje temperature kreću  se  između 9 i 10</w:t>
      </w:r>
      <w:r>
        <w:rPr>
          <w:rFonts w:ascii="Arial" w:hAnsi="Arial" w:cs="Arial"/>
          <w:sz w:val="22"/>
        </w:rPr>
        <w:sym w:font="Symbol" w:char="F0B0"/>
      </w:r>
      <w:r>
        <w:rPr>
          <w:rFonts w:ascii="Arial" w:hAnsi="Arial" w:cs="Arial"/>
          <w:sz w:val="22"/>
        </w:rPr>
        <w:t xml:space="preserve">C u cijelom Prigorju, a nešto niže na samom Kalniku (oko </w:t>
      </w:r>
      <w:smartTag w:uri="urn:schemas-microsoft-com:office:smarttags" w:element="metricconverter">
        <w:smartTagPr>
          <w:attr w:name="ProductID" w:val="80C"/>
        </w:smartTagPr>
        <w:r>
          <w:rPr>
            <w:rFonts w:ascii="Arial" w:hAnsi="Arial" w:cs="Arial"/>
            <w:sz w:val="22"/>
          </w:rPr>
          <w:t>8</w:t>
        </w:r>
        <w:r>
          <w:rPr>
            <w:rFonts w:ascii="Arial" w:hAnsi="Arial" w:cs="Arial"/>
            <w:sz w:val="22"/>
            <w:vertAlign w:val="superscript"/>
          </w:rPr>
          <w:t>0</w:t>
        </w:r>
        <w:r>
          <w:rPr>
            <w:rFonts w:ascii="Arial" w:hAnsi="Arial" w:cs="Arial"/>
            <w:sz w:val="22"/>
          </w:rPr>
          <w:t>C</w:t>
        </w:r>
      </w:smartTag>
      <w:r>
        <w:rPr>
          <w:rFonts w:ascii="Arial" w:hAnsi="Arial" w:cs="Arial"/>
          <w:sz w:val="22"/>
        </w:rPr>
        <w:t>). Na samom području Kalnika vjetrovi pušu tijekom cijele godine i područje je vrlo vjetrovito. Najčešće puše sjeverozapadnjak, jugozapadnjak i sjevernjak. Zimi prevladava sjevernjak, a istočnjak je jači u projetnim mjesecima. Vrlo je hladan poput sjevernjaka, a nekad puše i nekolki dana neprekidno, dok u svibnju jako oštećuje voćke. Ljeti prevladava jugozapadni vjetar, koji je topao i povećava vlagu  te najčešće prethodi kiši. Tijekom čitave godine, a osobito u jesen, puše zapadnjek (zagorec). U listopadu je štetan jer suši brazde. Zbog učestalosti sjevernih vjetrova, bilo Kalnika djeluje na ublažavanje temperaturnih amplituda, pogotovo u neposrednom južnom prigorskom zaleđu Kalnika.</w:t>
      </w:r>
    </w:p>
    <w:p w:rsidR="00012172" w:rsidRDefault="00012172">
      <w:pPr>
        <w:ind w:hanging="11"/>
        <w:jc w:val="both"/>
        <w:rPr>
          <w:rFonts w:ascii="Arial" w:hAnsi="Arial" w:cs="Arial"/>
          <w:sz w:val="22"/>
        </w:rPr>
      </w:pPr>
      <w:r>
        <w:rPr>
          <w:rFonts w:ascii="Arial" w:hAnsi="Arial" w:cs="Arial"/>
          <w:sz w:val="22"/>
        </w:rPr>
        <w:t>Relativna vlaga zraka je u skladu s toplinskim osobinama kraja. Maksimalna vlažnost je u studenome i prosincu, a minimalna u travnju i svibnju. Prosječna godišnja relativna vlaga iznosi 82%.Magle se pojavljuju najčešće u jesenjim i zimskim mjesecima.</w:t>
      </w:r>
    </w:p>
    <w:p w:rsidR="00012172" w:rsidRDefault="00012172">
      <w:pPr>
        <w:rPr>
          <w:b/>
        </w:rPr>
      </w:pPr>
    </w:p>
    <w:p w:rsidR="00012172" w:rsidRDefault="00012172">
      <w:pPr>
        <w:pStyle w:val="Sadraj1"/>
        <w:rPr>
          <w:bCs w:val="0"/>
        </w:rPr>
      </w:pPr>
    </w:p>
    <w:p w:rsidR="00012172" w:rsidRDefault="00012172">
      <w:pPr>
        <w:jc w:val="both"/>
        <w:rPr>
          <w:rFonts w:ascii="Arial" w:hAnsi="Arial" w:cs="Arial"/>
          <w:sz w:val="22"/>
          <w:szCs w:val="22"/>
        </w:rPr>
      </w:pPr>
    </w:p>
    <w:p w:rsidR="00012172" w:rsidRDefault="00012172">
      <w:pPr>
        <w:jc w:val="both"/>
        <w:rPr>
          <w:rFonts w:ascii="Arial" w:hAnsi="Arial" w:cs="Arial"/>
          <w:sz w:val="22"/>
          <w:szCs w:val="22"/>
        </w:rPr>
      </w:pPr>
    </w:p>
    <w:p w:rsidR="00012172" w:rsidRDefault="00012172">
      <w:pPr>
        <w:pStyle w:val="Naslov3"/>
        <w:rPr>
          <w:rFonts w:ascii="Times New Roman" w:hAnsi="Times New Roman" w:cs="Times New Roman"/>
        </w:rPr>
      </w:pPr>
      <w:bookmarkStart w:id="12" w:name="_Toc95140577"/>
      <w:r>
        <w:rPr>
          <w:rFonts w:ascii="Times New Roman" w:hAnsi="Times New Roman" w:cs="Times New Roman"/>
        </w:rPr>
        <w:t>1.1.2.2. Osnovne kategorije korištenja zemljišta</w:t>
      </w:r>
      <w:bookmarkEnd w:id="12"/>
    </w:p>
    <w:p w:rsidR="00012172" w:rsidRDefault="00012172">
      <w:pPr>
        <w:jc w:val="both"/>
        <w:rPr>
          <w:bCs/>
          <w:color w:val="FF00FF"/>
        </w:rPr>
      </w:pPr>
    </w:p>
    <w:p w:rsidR="00012172" w:rsidRDefault="00012172">
      <w:pPr>
        <w:rPr>
          <w:b/>
        </w:rPr>
      </w:pPr>
    </w:p>
    <w:p w:rsidR="00012172" w:rsidRDefault="00012172">
      <w:pPr>
        <w:jc w:val="both"/>
        <w:rPr>
          <w:rFonts w:ascii="Arial" w:hAnsi="Arial" w:cs="Arial"/>
          <w:bCs/>
          <w:sz w:val="22"/>
        </w:rPr>
      </w:pPr>
      <w:r>
        <w:rPr>
          <w:rFonts w:ascii="Arial" w:hAnsi="Arial" w:cs="Arial"/>
          <w:b/>
          <w:i/>
          <w:iCs/>
          <w:sz w:val="22"/>
        </w:rPr>
        <w:t>Šume</w:t>
      </w:r>
      <w:r>
        <w:rPr>
          <w:rFonts w:ascii="Arial" w:hAnsi="Arial" w:cs="Arial"/>
          <w:bCs/>
          <w:sz w:val="22"/>
        </w:rPr>
        <w:t xml:space="preserve"> su po veličini i po višestrukim privrednim i ostalim funkcijama vrlo važan prirodni resurs šireg područja Kalnika. Veliki dio šumskih površina na masivu Kalnik i na području koje mu gravitira ujedno su i lovne površine. Šume tog područja imaju veliku, do sada još neznatno iskorištenu estetsku, znanstvenu, rekreativnu, i turističku vrijednost. </w:t>
      </w:r>
    </w:p>
    <w:p w:rsidR="00012172" w:rsidRDefault="00012172">
      <w:pPr>
        <w:jc w:val="both"/>
        <w:rPr>
          <w:rFonts w:ascii="Arial" w:hAnsi="Arial" w:cs="Arial"/>
          <w:bCs/>
          <w:sz w:val="22"/>
        </w:rPr>
      </w:pPr>
      <w:r>
        <w:rPr>
          <w:rFonts w:ascii="Arial" w:hAnsi="Arial" w:cs="Arial"/>
          <w:bCs/>
          <w:sz w:val="22"/>
        </w:rPr>
        <w:t xml:space="preserve">Prostor općine Gornja Rijeka obuhvaća dijelove šuma i šumskog zemljišta u sastavu gospodarskih jedinica Kalnik-Kolačka i Križevačke prigorske šume, gdje je površina državnih šuma oko </w:t>
      </w:r>
      <w:smartTag w:uri="urn:schemas-microsoft-com:office:smarttags" w:element="metricconverter">
        <w:smartTagPr>
          <w:attr w:name="ProductID" w:val="40 ha"/>
        </w:smartTagPr>
        <w:r>
          <w:rPr>
            <w:rFonts w:ascii="Arial" w:hAnsi="Arial" w:cs="Arial"/>
            <w:bCs/>
            <w:sz w:val="22"/>
          </w:rPr>
          <w:t>40 ha</w:t>
        </w:r>
      </w:smartTag>
      <w:r>
        <w:rPr>
          <w:rFonts w:ascii="Arial" w:hAnsi="Arial" w:cs="Arial"/>
          <w:bCs/>
          <w:sz w:val="22"/>
        </w:rPr>
        <w:t>.</w:t>
      </w:r>
    </w:p>
    <w:p w:rsidR="00012172" w:rsidRDefault="00012172">
      <w:pPr>
        <w:jc w:val="both"/>
        <w:rPr>
          <w:rFonts w:ascii="Arial" w:hAnsi="Arial" w:cs="Arial"/>
          <w:bCs/>
          <w:sz w:val="22"/>
        </w:rPr>
      </w:pPr>
      <w:r>
        <w:rPr>
          <w:rFonts w:ascii="Arial" w:hAnsi="Arial" w:cs="Arial"/>
          <w:bCs/>
          <w:sz w:val="22"/>
        </w:rPr>
        <w:lastRenderedPageBreak/>
        <w:t>Reljef, sastav tla, klimatski i hidrološki odnosi povoljno utječu na razvoj biljnog pokrova Kalnika. Najveći dio masiva zauzimaju šume bukve i hrasta kitnjaka. Sjeverna strana Kalnika (manji dio je na području Općine) pretežno je pod šumom, dok su na južnoj strani nalaze površine pod šumom, šikarom,  vinogradima, voćnjacima i oranicama.</w:t>
      </w:r>
    </w:p>
    <w:p w:rsidR="00012172" w:rsidRDefault="00012172">
      <w:pPr>
        <w:jc w:val="both"/>
        <w:rPr>
          <w:rFonts w:ascii="Arial" w:hAnsi="Arial" w:cs="Arial"/>
          <w:bCs/>
          <w:sz w:val="22"/>
        </w:rPr>
      </w:pPr>
      <w:r>
        <w:rPr>
          <w:rFonts w:ascii="Arial" w:hAnsi="Arial" w:cs="Arial"/>
          <w:bCs/>
          <w:sz w:val="22"/>
        </w:rPr>
        <w:t xml:space="preserve">Šume i šikare Kalnika pripadaju razredu </w:t>
      </w:r>
      <w:r>
        <w:rPr>
          <w:rFonts w:ascii="Arial" w:hAnsi="Arial" w:cs="Arial"/>
          <w:bCs/>
          <w:i/>
          <w:iCs/>
          <w:sz w:val="22"/>
        </w:rPr>
        <w:t>Querco –Fagetea</w:t>
      </w:r>
      <w:r>
        <w:rPr>
          <w:rFonts w:ascii="Arial" w:hAnsi="Arial" w:cs="Arial"/>
          <w:bCs/>
          <w:sz w:val="22"/>
        </w:rPr>
        <w:t xml:space="preserve"> koji se nizom različitih asocijacija rasprostire na umjereno bazičnim, neutralnim i umjereno kiselim tlima čitave Europe. Najveći dio šuma kontinentalnog područja Hrvatske pripada ovom razredu te ga karakterizira bogatsvo i izvanredna produktivnost šumaskih sastojina. Područje Kalnika je zastupljeno sa tri reda ovog razreda: </w:t>
      </w:r>
    </w:p>
    <w:p w:rsidR="00012172" w:rsidRDefault="00012172">
      <w:pPr>
        <w:numPr>
          <w:ilvl w:val="0"/>
          <w:numId w:val="37"/>
        </w:numPr>
        <w:jc w:val="both"/>
        <w:rPr>
          <w:rFonts w:ascii="Arial" w:hAnsi="Arial" w:cs="Arial"/>
          <w:bCs/>
          <w:sz w:val="22"/>
        </w:rPr>
      </w:pPr>
      <w:r>
        <w:rPr>
          <w:rFonts w:ascii="Arial" w:hAnsi="Arial" w:cs="Arial"/>
          <w:bCs/>
          <w:sz w:val="22"/>
        </w:rPr>
        <w:t xml:space="preserve">Največi dio Kalnika, a osobito sjeverne padine Kalnika i pobrđa njegovog zaleđa pripadaju redu </w:t>
      </w:r>
      <w:r>
        <w:rPr>
          <w:rFonts w:ascii="Arial" w:hAnsi="Arial" w:cs="Arial"/>
          <w:bCs/>
          <w:i/>
          <w:iCs/>
          <w:sz w:val="22"/>
        </w:rPr>
        <w:t>Fagetalia</w:t>
      </w:r>
      <w:r>
        <w:rPr>
          <w:rFonts w:ascii="Arial" w:hAnsi="Arial" w:cs="Arial"/>
          <w:bCs/>
          <w:sz w:val="22"/>
        </w:rPr>
        <w:t xml:space="preserve">, asocijaciji </w:t>
      </w:r>
      <w:r>
        <w:rPr>
          <w:rFonts w:ascii="Arial" w:hAnsi="Arial" w:cs="Arial"/>
          <w:bCs/>
          <w:i/>
          <w:iCs/>
          <w:sz w:val="22"/>
        </w:rPr>
        <w:t xml:space="preserve">Querco-Carpinetum croaticum </w:t>
      </w:r>
      <w:r>
        <w:rPr>
          <w:rFonts w:ascii="Arial" w:hAnsi="Arial" w:cs="Arial"/>
          <w:b/>
          <w:sz w:val="22"/>
        </w:rPr>
        <w:t xml:space="preserve">(šume hrasta kitnjaka i običnog graba). </w:t>
      </w:r>
      <w:r>
        <w:rPr>
          <w:rFonts w:ascii="Arial" w:hAnsi="Arial" w:cs="Arial"/>
          <w:bCs/>
          <w:sz w:val="22"/>
        </w:rPr>
        <w:t>Sastav drveča je izuzetno raznolik: obični grab (</w:t>
      </w:r>
      <w:r>
        <w:rPr>
          <w:rFonts w:ascii="Arial" w:hAnsi="Arial" w:cs="Arial"/>
          <w:bCs/>
          <w:i/>
          <w:iCs/>
          <w:sz w:val="22"/>
        </w:rPr>
        <w:t>Carpinus betulus</w:t>
      </w:r>
      <w:r>
        <w:rPr>
          <w:rFonts w:ascii="Arial" w:hAnsi="Arial" w:cs="Arial"/>
          <w:bCs/>
          <w:sz w:val="22"/>
        </w:rPr>
        <w:t>), bukva (</w:t>
      </w:r>
      <w:r>
        <w:rPr>
          <w:rFonts w:ascii="Arial" w:hAnsi="Arial" w:cs="Arial"/>
          <w:bCs/>
          <w:i/>
          <w:iCs/>
          <w:sz w:val="22"/>
        </w:rPr>
        <w:t>Fagus sylvatica</w:t>
      </w:r>
      <w:r>
        <w:rPr>
          <w:rFonts w:ascii="Arial" w:hAnsi="Arial" w:cs="Arial"/>
          <w:bCs/>
          <w:sz w:val="22"/>
        </w:rPr>
        <w:t>), hrast kitnjak (</w:t>
      </w:r>
      <w:r>
        <w:rPr>
          <w:rFonts w:ascii="Arial" w:hAnsi="Arial" w:cs="Arial"/>
          <w:bCs/>
          <w:i/>
          <w:iCs/>
          <w:sz w:val="22"/>
        </w:rPr>
        <w:t>Quercus petraea</w:t>
      </w:r>
      <w:r>
        <w:rPr>
          <w:rFonts w:ascii="Arial" w:hAnsi="Arial" w:cs="Arial"/>
          <w:bCs/>
          <w:sz w:val="22"/>
        </w:rPr>
        <w:t>), klen (</w:t>
      </w:r>
      <w:r>
        <w:rPr>
          <w:rFonts w:ascii="Arial" w:hAnsi="Arial" w:cs="Arial"/>
          <w:bCs/>
          <w:i/>
          <w:iCs/>
          <w:sz w:val="22"/>
        </w:rPr>
        <w:t>Acer campestre</w:t>
      </w:r>
      <w:r>
        <w:rPr>
          <w:rFonts w:ascii="Arial" w:hAnsi="Arial" w:cs="Arial"/>
          <w:bCs/>
          <w:sz w:val="22"/>
        </w:rPr>
        <w:t>), brijest (</w:t>
      </w:r>
      <w:r>
        <w:rPr>
          <w:rFonts w:ascii="Arial" w:hAnsi="Arial" w:cs="Arial"/>
          <w:bCs/>
          <w:i/>
          <w:iCs/>
          <w:sz w:val="22"/>
        </w:rPr>
        <w:t>Ulmus glabra</w:t>
      </w:r>
      <w:r>
        <w:rPr>
          <w:rFonts w:ascii="Arial" w:hAnsi="Arial" w:cs="Arial"/>
          <w:bCs/>
          <w:sz w:val="22"/>
        </w:rPr>
        <w:t>), trešnja (</w:t>
      </w:r>
      <w:r>
        <w:rPr>
          <w:rFonts w:ascii="Arial" w:hAnsi="Arial" w:cs="Arial"/>
          <w:bCs/>
          <w:i/>
          <w:iCs/>
          <w:sz w:val="22"/>
        </w:rPr>
        <w:t>Prunus avium</w:t>
      </w:r>
      <w:r>
        <w:rPr>
          <w:rFonts w:ascii="Arial" w:hAnsi="Arial" w:cs="Arial"/>
          <w:bCs/>
          <w:sz w:val="22"/>
        </w:rPr>
        <w:t>), lijeska (</w:t>
      </w:r>
      <w:r>
        <w:rPr>
          <w:rFonts w:ascii="Arial" w:hAnsi="Arial" w:cs="Arial"/>
          <w:bCs/>
          <w:i/>
          <w:iCs/>
          <w:sz w:val="22"/>
        </w:rPr>
        <w:t>Corylus avellana</w:t>
      </w:r>
      <w:r>
        <w:rPr>
          <w:rFonts w:ascii="Arial" w:hAnsi="Arial" w:cs="Arial"/>
          <w:bCs/>
          <w:sz w:val="22"/>
        </w:rPr>
        <w:t>), obična kurika (</w:t>
      </w:r>
      <w:r>
        <w:rPr>
          <w:rFonts w:ascii="Arial" w:hAnsi="Arial" w:cs="Arial"/>
          <w:bCs/>
          <w:i/>
          <w:iCs/>
          <w:sz w:val="22"/>
        </w:rPr>
        <w:t>Euonimus europaea</w:t>
      </w:r>
      <w:r>
        <w:rPr>
          <w:rFonts w:ascii="Arial" w:hAnsi="Arial" w:cs="Arial"/>
          <w:bCs/>
          <w:sz w:val="22"/>
        </w:rPr>
        <w:t>),.. S obzirom na mikroklimatske uvjete šume, na svim toplijim ekspozicijama prevladava hrast kitnjak i pojavljuje se pitomi kesten (Castanea sativa) dok se na hladnijim ekspozicijama hrast povlači, a zamjenjuju ga čiste bukove sastojine sa znatnom primjesom graba.</w:t>
      </w:r>
    </w:p>
    <w:p w:rsidR="00012172" w:rsidRDefault="00012172">
      <w:pPr>
        <w:numPr>
          <w:ilvl w:val="0"/>
          <w:numId w:val="37"/>
        </w:numPr>
        <w:jc w:val="both"/>
        <w:rPr>
          <w:rFonts w:ascii="Arial" w:hAnsi="Arial" w:cs="Arial"/>
          <w:bCs/>
          <w:sz w:val="22"/>
        </w:rPr>
      </w:pPr>
      <w:r>
        <w:rPr>
          <w:rFonts w:ascii="Arial" w:hAnsi="Arial" w:cs="Arial"/>
          <w:bCs/>
          <w:sz w:val="22"/>
        </w:rPr>
        <w:t xml:space="preserve">Degradacijski stadiji uz livade, puteve i ceste, uglavno na južnoj strani, pripadaju redu </w:t>
      </w:r>
      <w:r>
        <w:rPr>
          <w:rFonts w:ascii="Arial" w:hAnsi="Arial" w:cs="Arial"/>
          <w:bCs/>
          <w:i/>
          <w:iCs/>
          <w:sz w:val="22"/>
        </w:rPr>
        <w:t xml:space="preserve">Prunetalia spinosae. </w:t>
      </w:r>
      <w:r>
        <w:rPr>
          <w:rFonts w:ascii="Arial" w:hAnsi="Arial" w:cs="Arial"/>
          <w:bCs/>
          <w:sz w:val="22"/>
        </w:rPr>
        <w:t xml:space="preserve">Predstavlja prijelazni stadij </w:t>
      </w:r>
      <w:r>
        <w:rPr>
          <w:rFonts w:ascii="Arial" w:hAnsi="Arial" w:cs="Arial"/>
          <w:b/>
          <w:sz w:val="22"/>
        </w:rPr>
        <w:t>živica i šibljaka,</w:t>
      </w:r>
      <w:r>
        <w:rPr>
          <w:rFonts w:ascii="Arial" w:hAnsi="Arial" w:cs="Arial"/>
          <w:bCs/>
          <w:sz w:val="22"/>
        </w:rPr>
        <w:t xml:space="preserve"> koji zbog edafskih i mikroklimatskih prilika (stvarajući povoljne uvjete) polako prelazi u šumu. Neke od zastupljenih vrsta: trnina (</w:t>
      </w:r>
      <w:r>
        <w:rPr>
          <w:rFonts w:ascii="Arial" w:hAnsi="Arial" w:cs="Arial"/>
          <w:bCs/>
          <w:i/>
          <w:iCs/>
          <w:sz w:val="22"/>
        </w:rPr>
        <w:t>Prunus spinosa</w:t>
      </w:r>
      <w:r>
        <w:rPr>
          <w:rFonts w:ascii="Arial" w:hAnsi="Arial" w:cs="Arial"/>
          <w:bCs/>
          <w:sz w:val="22"/>
        </w:rPr>
        <w:t>), svibovina i drijen (</w:t>
      </w:r>
      <w:r>
        <w:rPr>
          <w:rFonts w:ascii="Arial" w:hAnsi="Arial" w:cs="Arial"/>
          <w:bCs/>
          <w:i/>
          <w:iCs/>
          <w:sz w:val="22"/>
        </w:rPr>
        <w:t>Cornus sanguinea i C. mas</w:t>
      </w:r>
      <w:r>
        <w:rPr>
          <w:rFonts w:ascii="Arial" w:hAnsi="Arial" w:cs="Arial"/>
          <w:bCs/>
          <w:sz w:val="22"/>
        </w:rPr>
        <w:t>), pasja ruža (</w:t>
      </w:r>
      <w:r>
        <w:rPr>
          <w:rFonts w:ascii="Arial" w:hAnsi="Arial" w:cs="Arial"/>
          <w:bCs/>
          <w:i/>
          <w:iCs/>
          <w:sz w:val="22"/>
        </w:rPr>
        <w:t>Rosa canina</w:t>
      </w:r>
      <w:r>
        <w:rPr>
          <w:rFonts w:ascii="Arial" w:hAnsi="Arial" w:cs="Arial"/>
          <w:bCs/>
          <w:sz w:val="22"/>
        </w:rPr>
        <w:t>), obična kalina (</w:t>
      </w:r>
      <w:r>
        <w:rPr>
          <w:rFonts w:ascii="Arial" w:hAnsi="Arial" w:cs="Arial"/>
          <w:bCs/>
          <w:i/>
          <w:iCs/>
          <w:sz w:val="22"/>
        </w:rPr>
        <w:t>Ligustrum vulgare</w:t>
      </w:r>
      <w:r>
        <w:rPr>
          <w:rFonts w:ascii="Arial" w:hAnsi="Arial" w:cs="Arial"/>
          <w:bCs/>
          <w:sz w:val="22"/>
        </w:rPr>
        <w:t>), glog (</w:t>
      </w:r>
      <w:r>
        <w:rPr>
          <w:rFonts w:ascii="Arial" w:hAnsi="Arial" w:cs="Arial"/>
          <w:bCs/>
          <w:i/>
          <w:iCs/>
          <w:sz w:val="22"/>
        </w:rPr>
        <w:t>Crataegus monogyna</w:t>
      </w:r>
      <w:r>
        <w:rPr>
          <w:rFonts w:ascii="Arial" w:hAnsi="Arial" w:cs="Arial"/>
          <w:bCs/>
          <w:sz w:val="22"/>
        </w:rPr>
        <w:t xml:space="preserve"> ),…</w:t>
      </w:r>
    </w:p>
    <w:p w:rsidR="00012172" w:rsidRDefault="00012172">
      <w:pPr>
        <w:ind w:left="360"/>
        <w:jc w:val="both"/>
        <w:rPr>
          <w:bCs/>
          <w:color w:val="FF00FF"/>
        </w:rPr>
      </w:pPr>
    </w:p>
    <w:p w:rsidR="00012172" w:rsidRDefault="00012172">
      <w:pPr>
        <w:ind w:left="360"/>
        <w:jc w:val="both"/>
        <w:rPr>
          <w:rFonts w:ascii="Arial" w:hAnsi="Arial" w:cs="Arial"/>
          <w:bCs/>
          <w:sz w:val="22"/>
        </w:rPr>
      </w:pPr>
      <w:r>
        <w:rPr>
          <w:rFonts w:ascii="Arial" w:hAnsi="Arial" w:cs="Arial"/>
          <w:bCs/>
          <w:sz w:val="22"/>
        </w:rPr>
        <w:t xml:space="preserve">S južne strane, naselja i obrađivana zemljišta zahvačaju obronke Kalnika do prosječno 400 m/nv. </w:t>
      </w:r>
    </w:p>
    <w:p w:rsidR="00012172" w:rsidRDefault="00012172">
      <w:pPr>
        <w:rPr>
          <w:b/>
        </w:rPr>
      </w:pPr>
    </w:p>
    <w:p w:rsidR="00012172" w:rsidRDefault="00012172">
      <w:pPr>
        <w:jc w:val="both"/>
        <w:rPr>
          <w:rFonts w:ascii="Arial" w:hAnsi="Arial" w:cs="Arial"/>
          <w:bCs/>
          <w:sz w:val="22"/>
        </w:rPr>
      </w:pPr>
      <w:r>
        <w:rPr>
          <w:rFonts w:ascii="Arial" w:hAnsi="Arial" w:cs="Arial"/>
          <w:bCs/>
          <w:sz w:val="22"/>
        </w:rPr>
        <w:t>Lovište na području Općine spada u Zajedničko lovište Križevci 1. Lovište koje obuhvaća statistički krug 2. (SK 114561) u zakupu je LU Lještarka.</w:t>
      </w:r>
    </w:p>
    <w:p w:rsidR="00012172" w:rsidRDefault="00012172">
      <w:pPr>
        <w:rPr>
          <w:bCs/>
        </w:rPr>
      </w:pPr>
    </w:p>
    <w:p w:rsidR="00012172" w:rsidRDefault="00012172">
      <w:pPr>
        <w:rPr>
          <w:bCs/>
        </w:rPr>
      </w:pPr>
    </w:p>
    <w:p w:rsidR="00012172" w:rsidRDefault="00012172">
      <w:pPr>
        <w:rPr>
          <w:bCs/>
        </w:rPr>
      </w:pPr>
    </w:p>
    <w:p w:rsidR="00012172" w:rsidRDefault="00012172">
      <w:pPr>
        <w:pStyle w:val="Naslov3"/>
        <w:rPr>
          <w:rFonts w:ascii="Times New Roman" w:hAnsi="Times New Roman" w:cs="Times New Roman"/>
        </w:rPr>
      </w:pPr>
      <w:bookmarkStart w:id="13" w:name="_Toc95140578"/>
      <w:r>
        <w:rPr>
          <w:rFonts w:ascii="Times New Roman" w:hAnsi="Times New Roman" w:cs="Times New Roman"/>
        </w:rPr>
        <w:t>1.1.2.3. Područja pretežitih djelatnosti u odnosu na prirodne i druge resurse</w:t>
      </w:r>
      <w:bookmarkEnd w:id="13"/>
    </w:p>
    <w:p w:rsidR="00012172" w:rsidRDefault="00012172">
      <w:pPr>
        <w:jc w:val="both"/>
        <w:rPr>
          <w:rFonts w:ascii="Arial" w:hAnsi="Arial"/>
          <w:b/>
          <w:sz w:val="22"/>
          <w:szCs w:val="22"/>
        </w:rPr>
      </w:pPr>
    </w:p>
    <w:p w:rsidR="00012172" w:rsidRDefault="00012172">
      <w:pPr>
        <w:jc w:val="both"/>
        <w:rPr>
          <w:rFonts w:ascii="Arial" w:hAnsi="Arial"/>
          <w:b/>
          <w:sz w:val="22"/>
          <w:szCs w:val="22"/>
        </w:rPr>
      </w:pPr>
    </w:p>
    <w:p w:rsidR="00012172" w:rsidRDefault="00012172">
      <w:pPr>
        <w:jc w:val="both"/>
        <w:rPr>
          <w:rFonts w:ascii="Arial" w:hAnsi="Arial" w:cs="Arial"/>
          <w:sz w:val="22"/>
          <w:szCs w:val="22"/>
        </w:rPr>
      </w:pPr>
      <w:r>
        <w:rPr>
          <w:rFonts w:ascii="Arial" w:hAnsi="Arial" w:cs="Arial"/>
          <w:sz w:val="22"/>
          <w:szCs w:val="22"/>
        </w:rPr>
        <w:t>Na području Općine Gornja Rijeka djeluje 9 tvrtki i 14 obrtnika.</w:t>
      </w:r>
    </w:p>
    <w:p w:rsidR="00012172" w:rsidRDefault="00012172">
      <w:pPr>
        <w:jc w:val="both"/>
        <w:rPr>
          <w:rFonts w:ascii="Arial" w:hAnsi="Arial" w:cs="Arial"/>
          <w:sz w:val="22"/>
          <w:szCs w:val="22"/>
        </w:rPr>
      </w:pPr>
      <w:r>
        <w:rPr>
          <w:rFonts w:ascii="Arial" w:hAnsi="Arial" w:cs="Arial"/>
          <w:sz w:val="22"/>
          <w:szCs w:val="22"/>
        </w:rPr>
        <w:t>Najveći dio poljoprivrednih površina spada u kategoriju oranica i vrtova, livada</w:t>
      </w:r>
    </w:p>
    <w:p w:rsidR="00012172" w:rsidRDefault="00012172">
      <w:pPr>
        <w:jc w:val="both"/>
        <w:rPr>
          <w:rFonts w:ascii="Arial" w:hAnsi="Arial" w:cs="Arial"/>
          <w:sz w:val="22"/>
          <w:szCs w:val="22"/>
        </w:rPr>
      </w:pPr>
    </w:p>
    <w:p w:rsidR="00012172" w:rsidRDefault="00012172">
      <w:pPr>
        <w:pStyle w:val="Opisslike"/>
        <w:rPr>
          <w:rFonts w:ascii="Times New Roman" w:hAnsi="Times New Roman"/>
          <w:b/>
          <w:bCs w:val="0"/>
          <w:sz w:val="22"/>
          <w:szCs w:val="22"/>
        </w:rPr>
      </w:pPr>
      <w:bookmarkStart w:id="14" w:name="_Toc132763253"/>
      <w:r>
        <w:rPr>
          <w:rFonts w:ascii="Times New Roman" w:hAnsi="Times New Roman"/>
          <w:b/>
          <w:bCs w:val="0"/>
          <w:sz w:val="22"/>
        </w:rPr>
        <w:t xml:space="preserve">Tablica </w:t>
      </w:r>
      <w:r>
        <w:rPr>
          <w:rFonts w:ascii="Times New Roman" w:hAnsi="Times New Roman"/>
          <w:b/>
          <w:bCs w:val="0"/>
          <w:sz w:val="22"/>
        </w:rPr>
        <w:fldChar w:fldCharType="begin"/>
      </w:r>
      <w:r>
        <w:rPr>
          <w:rFonts w:ascii="Times New Roman" w:hAnsi="Times New Roman"/>
          <w:b/>
          <w:bCs w:val="0"/>
          <w:sz w:val="22"/>
        </w:rPr>
        <w:instrText xml:space="preserve"> SEQ Tablica \* ARABIC </w:instrText>
      </w:r>
      <w:r>
        <w:rPr>
          <w:rFonts w:ascii="Times New Roman" w:hAnsi="Times New Roman"/>
          <w:b/>
          <w:bCs w:val="0"/>
          <w:sz w:val="22"/>
        </w:rPr>
        <w:fldChar w:fldCharType="separate"/>
      </w:r>
      <w:r w:rsidR="002B1815">
        <w:rPr>
          <w:rFonts w:ascii="Times New Roman" w:hAnsi="Times New Roman"/>
          <w:b/>
          <w:bCs w:val="0"/>
          <w:noProof/>
          <w:sz w:val="22"/>
        </w:rPr>
        <w:t>3</w:t>
      </w:r>
      <w:r>
        <w:rPr>
          <w:rFonts w:ascii="Times New Roman" w:hAnsi="Times New Roman"/>
          <w:b/>
          <w:bCs w:val="0"/>
          <w:sz w:val="22"/>
        </w:rPr>
        <w:fldChar w:fldCharType="end"/>
      </w:r>
      <w:r>
        <w:rPr>
          <w:rFonts w:ascii="Times New Roman" w:hAnsi="Times New Roman"/>
          <w:b/>
          <w:bCs w:val="0"/>
          <w:noProof/>
          <w:sz w:val="22"/>
        </w:rPr>
        <w:t>: Površine korištenog poljoprivrednog zemljišta prema popisu poljoprivrede (2003.) u ha</w:t>
      </w:r>
      <w:bookmarkEnd w:id="14"/>
    </w:p>
    <w:tbl>
      <w:tblPr>
        <w:tblW w:w="8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2"/>
        <w:gridCol w:w="1012"/>
        <w:gridCol w:w="1085"/>
        <w:gridCol w:w="889"/>
        <w:gridCol w:w="1024"/>
        <w:gridCol w:w="1011"/>
        <w:gridCol w:w="1109"/>
        <w:gridCol w:w="1391"/>
      </w:tblGrid>
      <w:tr w:rsidR="00012172">
        <w:tblPrEx>
          <w:tblCellMar>
            <w:top w:w="0" w:type="dxa"/>
            <w:bottom w:w="0" w:type="dxa"/>
          </w:tblCellMar>
        </w:tblPrEx>
        <w:tc>
          <w:tcPr>
            <w:tcW w:w="1012" w:type="dxa"/>
            <w:vAlign w:val="center"/>
          </w:tcPr>
          <w:p w:rsidR="00012172" w:rsidRDefault="00012172">
            <w:pPr>
              <w:jc w:val="center"/>
              <w:rPr>
                <w:sz w:val="22"/>
              </w:rPr>
            </w:pPr>
            <w:r>
              <w:rPr>
                <w:sz w:val="22"/>
              </w:rPr>
              <w:t>ukupno</w:t>
            </w:r>
          </w:p>
        </w:tc>
        <w:tc>
          <w:tcPr>
            <w:tcW w:w="1012" w:type="dxa"/>
            <w:vAlign w:val="center"/>
          </w:tcPr>
          <w:p w:rsidR="00012172" w:rsidRDefault="00012172">
            <w:pPr>
              <w:jc w:val="center"/>
              <w:rPr>
                <w:sz w:val="22"/>
              </w:rPr>
            </w:pPr>
            <w:r>
              <w:rPr>
                <w:sz w:val="22"/>
              </w:rPr>
              <w:t>oranice i vrtovi</w:t>
            </w:r>
          </w:p>
        </w:tc>
        <w:tc>
          <w:tcPr>
            <w:tcW w:w="1085" w:type="dxa"/>
            <w:vAlign w:val="center"/>
          </w:tcPr>
          <w:p w:rsidR="00012172" w:rsidRDefault="00012172">
            <w:pPr>
              <w:jc w:val="center"/>
              <w:rPr>
                <w:sz w:val="22"/>
              </w:rPr>
            </w:pPr>
            <w:r>
              <w:rPr>
                <w:sz w:val="22"/>
              </w:rPr>
              <w:t>okućnice</w:t>
            </w:r>
          </w:p>
        </w:tc>
        <w:tc>
          <w:tcPr>
            <w:tcW w:w="889" w:type="dxa"/>
            <w:vAlign w:val="center"/>
          </w:tcPr>
          <w:p w:rsidR="00012172" w:rsidRDefault="00012172">
            <w:pPr>
              <w:jc w:val="center"/>
              <w:rPr>
                <w:sz w:val="22"/>
              </w:rPr>
            </w:pPr>
            <w:r>
              <w:rPr>
                <w:sz w:val="22"/>
              </w:rPr>
              <w:t>livade</w:t>
            </w:r>
          </w:p>
        </w:tc>
        <w:tc>
          <w:tcPr>
            <w:tcW w:w="1024" w:type="dxa"/>
            <w:vAlign w:val="center"/>
          </w:tcPr>
          <w:p w:rsidR="00012172" w:rsidRDefault="00012172">
            <w:pPr>
              <w:jc w:val="center"/>
              <w:rPr>
                <w:sz w:val="22"/>
              </w:rPr>
            </w:pPr>
            <w:r>
              <w:rPr>
                <w:sz w:val="22"/>
              </w:rPr>
              <w:t>pašnjaci</w:t>
            </w:r>
          </w:p>
        </w:tc>
        <w:tc>
          <w:tcPr>
            <w:tcW w:w="1011" w:type="dxa"/>
            <w:vAlign w:val="center"/>
          </w:tcPr>
          <w:p w:rsidR="00012172" w:rsidRDefault="00012172">
            <w:pPr>
              <w:jc w:val="center"/>
              <w:rPr>
                <w:sz w:val="22"/>
              </w:rPr>
            </w:pPr>
            <w:r>
              <w:rPr>
                <w:sz w:val="22"/>
              </w:rPr>
              <w:t>voćnjaci</w:t>
            </w:r>
          </w:p>
        </w:tc>
        <w:tc>
          <w:tcPr>
            <w:tcW w:w="1109" w:type="dxa"/>
            <w:vAlign w:val="center"/>
          </w:tcPr>
          <w:p w:rsidR="00012172" w:rsidRDefault="00012172">
            <w:pPr>
              <w:jc w:val="center"/>
              <w:rPr>
                <w:sz w:val="22"/>
              </w:rPr>
            </w:pPr>
            <w:r>
              <w:rPr>
                <w:sz w:val="22"/>
              </w:rPr>
              <w:t>vinogradi</w:t>
            </w:r>
          </w:p>
        </w:tc>
        <w:tc>
          <w:tcPr>
            <w:tcW w:w="1391" w:type="dxa"/>
            <w:vAlign w:val="center"/>
          </w:tcPr>
          <w:p w:rsidR="00012172" w:rsidRDefault="00012172">
            <w:pPr>
              <w:jc w:val="center"/>
              <w:rPr>
                <w:sz w:val="22"/>
              </w:rPr>
            </w:pPr>
            <w:r>
              <w:rPr>
                <w:sz w:val="22"/>
              </w:rPr>
              <w:t>neobrađeno</w:t>
            </w:r>
          </w:p>
        </w:tc>
      </w:tr>
      <w:tr w:rsidR="00012172">
        <w:tblPrEx>
          <w:tblCellMar>
            <w:top w:w="0" w:type="dxa"/>
            <w:bottom w:w="0" w:type="dxa"/>
          </w:tblCellMar>
        </w:tblPrEx>
        <w:tc>
          <w:tcPr>
            <w:tcW w:w="1012" w:type="dxa"/>
            <w:vAlign w:val="center"/>
          </w:tcPr>
          <w:p w:rsidR="00012172" w:rsidRDefault="00012172">
            <w:pPr>
              <w:jc w:val="center"/>
              <w:rPr>
                <w:b/>
                <w:bCs/>
                <w:sz w:val="22"/>
              </w:rPr>
            </w:pPr>
            <w:r>
              <w:rPr>
                <w:b/>
                <w:bCs/>
                <w:sz w:val="22"/>
              </w:rPr>
              <w:t>1.239,3</w:t>
            </w:r>
          </w:p>
        </w:tc>
        <w:tc>
          <w:tcPr>
            <w:tcW w:w="1012" w:type="dxa"/>
            <w:vAlign w:val="center"/>
          </w:tcPr>
          <w:p w:rsidR="00012172" w:rsidRDefault="00012172">
            <w:pPr>
              <w:jc w:val="center"/>
              <w:rPr>
                <w:sz w:val="22"/>
              </w:rPr>
            </w:pPr>
            <w:r>
              <w:rPr>
                <w:sz w:val="22"/>
              </w:rPr>
              <w:t>853,8</w:t>
            </w:r>
          </w:p>
        </w:tc>
        <w:tc>
          <w:tcPr>
            <w:tcW w:w="1085" w:type="dxa"/>
            <w:vAlign w:val="center"/>
          </w:tcPr>
          <w:p w:rsidR="00012172" w:rsidRDefault="00012172">
            <w:pPr>
              <w:jc w:val="center"/>
              <w:rPr>
                <w:sz w:val="22"/>
              </w:rPr>
            </w:pPr>
            <w:r>
              <w:rPr>
                <w:sz w:val="22"/>
              </w:rPr>
              <w:t>1,7</w:t>
            </w:r>
          </w:p>
        </w:tc>
        <w:tc>
          <w:tcPr>
            <w:tcW w:w="889" w:type="dxa"/>
            <w:vAlign w:val="center"/>
          </w:tcPr>
          <w:p w:rsidR="00012172" w:rsidRDefault="00012172">
            <w:pPr>
              <w:jc w:val="center"/>
              <w:rPr>
                <w:sz w:val="22"/>
              </w:rPr>
            </w:pPr>
            <w:r>
              <w:rPr>
                <w:sz w:val="22"/>
              </w:rPr>
              <w:t>250,4</w:t>
            </w:r>
          </w:p>
        </w:tc>
        <w:tc>
          <w:tcPr>
            <w:tcW w:w="1024" w:type="dxa"/>
            <w:vAlign w:val="center"/>
          </w:tcPr>
          <w:p w:rsidR="00012172" w:rsidRDefault="00012172">
            <w:pPr>
              <w:jc w:val="center"/>
              <w:rPr>
                <w:sz w:val="22"/>
              </w:rPr>
            </w:pPr>
            <w:r>
              <w:rPr>
                <w:sz w:val="22"/>
              </w:rPr>
              <w:t>12,8</w:t>
            </w:r>
          </w:p>
        </w:tc>
        <w:tc>
          <w:tcPr>
            <w:tcW w:w="1011" w:type="dxa"/>
            <w:vAlign w:val="center"/>
          </w:tcPr>
          <w:p w:rsidR="00012172" w:rsidRDefault="00012172">
            <w:pPr>
              <w:jc w:val="center"/>
              <w:rPr>
                <w:sz w:val="22"/>
              </w:rPr>
            </w:pPr>
            <w:r>
              <w:rPr>
                <w:sz w:val="22"/>
              </w:rPr>
              <w:t>15,9</w:t>
            </w:r>
          </w:p>
        </w:tc>
        <w:tc>
          <w:tcPr>
            <w:tcW w:w="1109" w:type="dxa"/>
            <w:vAlign w:val="center"/>
          </w:tcPr>
          <w:p w:rsidR="00012172" w:rsidRDefault="00012172">
            <w:pPr>
              <w:jc w:val="center"/>
              <w:rPr>
                <w:sz w:val="22"/>
              </w:rPr>
            </w:pPr>
            <w:r>
              <w:rPr>
                <w:sz w:val="22"/>
              </w:rPr>
              <w:t>59,2</w:t>
            </w:r>
          </w:p>
        </w:tc>
        <w:tc>
          <w:tcPr>
            <w:tcW w:w="1391" w:type="dxa"/>
            <w:vAlign w:val="center"/>
          </w:tcPr>
          <w:p w:rsidR="00012172" w:rsidRDefault="00012172">
            <w:pPr>
              <w:jc w:val="center"/>
              <w:rPr>
                <w:sz w:val="22"/>
              </w:rPr>
            </w:pPr>
            <w:r>
              <w:rPr>
                <w:sz w:val="22"/>
              </w:rPr>
              <w:t>45,2</w:t>
            </w:r>
          </w:p>
        </w:tc>
      </w:tr>
    </w:tbl>
    <w:p w:rsidR="00012172" w:rsidRDefault="00012172">
      <w:pPr>
        <w:pStyle w:val="Tekst"/>
        <w:spacing w:line="240" w:lineRule="auto"/>
        <w:rPr>
          <w:rFonts w:ascii="Times New Roman" w:hAnsi="Times New Roman"/>
          <w:sz w:val="22"/>
          <w:szCs w:val="24"/>
          <w:lang w:val="hr-HR"/>
        </w:rPr>
      </w:pPr>
      <w:r>
        <w:rPr>
          <w:rFonts w:ascii="Times New Roman" w:hAnsi="Times New Roman"/>
          <w:sz w:val="22"/>
          <w:szCs w:val="24"/>
          <w:lang w:val="hr-HR"/>
        </w:rPr>
        <w:t>Izvor: Popis poljoprivrede 2003.</w:t>
      </w:r>
    </w:p>
    <w:p w:rsidR="00012172" w:rsidRDefault="00012172">
      <w:pPr>
        <w:jc w:val="both"/>
      </w:pPr>
    </w:p>
    <w:p w:rsidR="00012172" w:rsidRDefault="00012172">
      <w:pPr>
        <w:jc w:val="both"/>
      </w:pPr>
    </w:p>
    <w:p w:rsidR="00012172" w:rsidRDefault="00012172">
      <w:pPr>
        <w:pStyle w:val="Opisslike"/>
        <w:rPr>
          <w:rFonts w:ascii="Times New Roman" w:hAnsi="Times New Roman"/>
          <w:b/>
          <w:bCs w:val="0"/>
          <w:sz w:val="22"/>
        </w:rPr>
      </w:pPr>
      <w:bookmarkStart w:id="15" w:name="_Toc132763254"/>
      <w:r>
        <w:rPr>
          <w:rFonts w:ascii="Times New Roman" w:hAnsi="Times New Roman"/>
          <w:b/>
          <w:bCs w:val="0"/>
          <w:sz w:val="22"/>
        </w:rPr>
        <w:t xml:space="preserve">Tablica </w:t>
      </w:r>
      <w:r>
        <w:rPr>
          <w:rFonts w:ascii="Times New Roman" w:hAnsi="Times New Roman"/>
          <w:b/>
          <w:bCs w:val="0"/>
          <w:sz w:val="22"/>
        </w:rPr>
        <w:fldChar w:fldCharType="begin"/>
      </w:r>
      <w:r>
        <w:rPr>
          <w:rFonts w:ascii="Times New Roman" w:hAnsi="Times New Roman"/>
          <w:b/>
          <w:bCs w:val="0"/>
          <w:sz w:val="22"/>
        </w:rPr>
        <w:instrText xml:space="preserve"> SEQ Tablica \* ARABIC </w:instrText>
      </w:r>
      <w:r>
        <w:rPr>
          <w:rFonts w:ascii="Times New Roman" w:hAnsi="Times New Roman"/>
          <w:b/>
          <w:bCs w:val="0"/>
          <w:sz w:val="22"/>
        </w:rPr>
        <w:fldChar w:fldCharType="separate"/>
      </w:r>
      <w:r w:rsidR="002B1815">
        <w:rPr>
          <w:rFonts w:ascii="Times New Roman" w:hAnsi="Times New Roman"/>
          <w:b/>
          <w:bCs w:val="0"/>
          <w:noProof/>
          <w:sz w:val="22"/>
        </w:rPr>
        <w:t>4</w:t>
      </w:r>
      <w:r>
        <w:rPr>
          <w:rFonts w:ascii="Times New Roman" w:hAnsi="Times New Roman"/>
          <w:b/>
          <w:bCs w:val="0"/>
          <w:sz w:val="22"/>
        </w:rPr>
        <w:fldChar w:fldCharType="end"/>
      </w:r>
      <w:r>
        <w:rPr>
          <w:rFonts w:ascii="Times New Roman" w:hAnsi="Times New Roman"/>
          <w:b/>
          <w:bCs w:val="0"/>
          <w:sz w:val="22"/>
        </w:rPr>
        <w:t>: Poljoprivredna kućanstva prema korištenju poljoprivrednog zemljišta (2003.) u ha</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9"/>
        <w:gridCol w:w="968"/>
        <w:gridCol w:w="1085"/>
        <w:gridCol w:w="855"/>
        <w:gridCol w:w="1034"/>
        <w:gridCol w:w="1024"/>
        <w:gridCol w:w="1109"/>
        <w:gridCol w:w="1391"/>
      </w:tblGrid>
      <w:tr w:rsidR="00012172">
        <w:tblPrEx>
          <w:tblCellMar>
            <w:top w:w="0" w:type="dxa"/>
            <w:bottom w:w="0" w:type="dxa"/>
          </w:tblCellMar>
        </w:tblPrEx>
        <w:tc>
          <w:tcPr>
            <w:tcW w:w="969" w:type="dxa"/>
            <w:vAlign w:val="center"/>
          </w:tcPr>
          <w:p w:rsidR="00012172" w:rsidRDefault="00012172">
            <w:pPr>
              <w:jc w:val="center"/>
              <w:rPr>
                <w:sz w:val="22"/>
              </w:rPr>
            </w:pPr>
            <w:r>
              <w:rPr>
                <w:sz w:val="22"/>
              </w:rPr>
              <w:t>ukupno</w:t>
            </w:r>
          </w:p>
        </w:tc>
        <w:tc>
          <w:tcPr>
            <w:tcW w:w="968" w:type="dxa"/>
            <w:vAlign w:val="center"/>
          </w:tcPr>
          <w:p w:rsidR="00012172" w:rsidRDefault="00012172">
            <w:pPr>
              <w:jc w:val="center"/>
              <w:rPr>
                <w:sz w:val="22"/>
              </w:rPr>
            </w:pPr>
            <w:r>
              <w:rPr>
                <w:sz w:val="22"/>
              </w:rPr>
              <w:t>oranice i vrtovi</w:t>
            </w:r>
          </w:p>
        </w:tc>
        <w:tc>
          <w:tcPr>
            <w:tcW w:w="1085" w:type="dxa"/>
            <w:vAlign w:val="center"/>
          </w:tcPr>
          <w:p w:rsidR="00012172" w:rsidRDefault="00012172">
            <w:pPr>
              <w:jc w:val="center"/>
              <w:rPr>
                <w:sz w:val="22"/>
              </w:rPr>
            </w:pPr>
            <w:r>
              <w:rPr>
                <w:sz w:val="22"/>
              </w:rPr>
              <w:t>okućnice</w:t>
            </w:r>
          </w:p>
        </w:tc>
        <w:tc>
          <w:tcPr>
            <w:tcW w:w="855" w:type="dxa"/>
            <w:vAlign w:val="center"/>
          </w:tcPr>
          <w:p w:rsidR="00012172" w:rsidRDefault="00012172">
            <w:pPr>
              <w:jc w:val="center"/>
              <w:rPr>
                <w:sz w:val="22"/>
              </w:rPr>
            </w:pPr>
            <w:r>
              <w:rPr>
                <w:sz w:val="22"/>
              </w:rPr>
              <w:t>livade</w:t>
            </w:r>
          </w:p>
        </w:tc>
        <w:tc>
          <w:tcPr>
            <w:tcW w:w="1034" w:type="dxa"/>
            <w:vAlign w:val="center"/>
          </w:tcPr>
          <w:p w:rsidR="00012172" w:rsidRDefault="00012172">
            <w:pPr>
              <w:jc w:val="center"/>
              <w:rPr>
                <w:sz w:val="22"/>
              </w:rPr>
            </w:pPr>
            <w:r>
              <w:rPr>
                <w:sz w:val="22"/>
              </w:rPr>
              <w:t>pašnjaci</w:t>
            </w:r>
          </w:p>
        </w:tc>
        <w:tc>
          <w:tcPr>
            <w:tcW w:w="1024" w:type="dxa"/>
            <w:vAlign w:val="center"/>
          </w:tcPr>
          <w:p w:rsidR="00012172" w:rsidRDefault="00012172">
            <w:pPr>
              <w:jc w:val="center"/>
              <w:rPr>
                <w:sz w:val="22"/>
              </w:rPr>
            </w:pPr>
            <w:r>
              <w:rPr>
                <w:sz w:val="22"/>
              </w:rPr>
              <w:t>voćnjaci</w:t>
            </w:r>
          </w:p>
        </w:tc>
        <w:tc>
          <w:tcPr>
            <w:tcW w:w="1109" w:type="dxa"/>
            <w:vAlign w:val="center"/>
          </w:tcPr>
          <w:p w:rsidR="00012172" w:rsidRDefault="00012172">
            <w:pPr>
              <w:jc w:val="center"/>
              <w:rPr>
                <w:sz w:val="22"/>
              </w:rPr>
            </w:pPr>
            <w:r>
              <w:rPr>
                <w:sz w:val="22"/>
              </w:rPr>
              <w:t>vinogradi</w:t>
            </w:r>
          </w:p>
        </w:tc>
        <w:tc>
          <w:tcPr>
            <w:tcW w:w="1391" w:type="dxa"/>
            <w:vAlign w:val="center"/>
          </w:tcPr>
          <w:p w:rsidR="00012172" w:rsidRDefault="00012172">
            <w:pPr>
              <w:jc w:val="center"/>
              <w:rPr>
                <w:sz w:val="22"/>
              </w:rPr>
            </w:pPr>
            <w:r>
              <w:rPr>
                <w:sz w:val="22"/>
              </w:rPr>
              <w:t>neobrađeno</w:t>
            </w:r>
          </w:p>
        </w:tc>
      </w:tr>
      <w:tr w:rsidR="00012172">
        <w:tblPrEx>
          <w:tblCellMar>
            <w:top w:w="0" w:type="dxa"/>
            <w:bottom w:w="0" w:type="dxa"/>
          </w:tblCellMar>
        </w:tblPrEx>
        <w:tc>
          <w:tcPr>
            <w:tcW w:w="969" w:type="dxa"/>
            <w:vAlign w:val="center"/>
          </w:tcPr>
          <w:p w:rsidR="00012172" w:rsidRDefault="00012172">
            <w:pPr>
              <w:jc w:val="center"/>
              <w:rPr>
                <w:b/>
                <w:bCs/>
                <w:sz w:val="22"/>
              </w:rPr>
            </w:pPr>
            <w:r>
              <w:rPr>
                <w:b/>
                <w:bCs/>
                <w:sz w:val="22"/>
              </w:rPr>
              <w:t>436</w:t>
            </w:r>
          </w:p>
        </w:tc>
        <w:tc>
          <w:tcPr>
            <w:tcW w:w="968" w:type="dxa"/>
            <w:vAlign w:val="center"/>
          </w:tcPr>
          <w:p w:rsidR="00012172" w:rsidRDefault="00012172">
            <w:pPr>
              <w:jc w:val="center"/>
              <w:rPr>
                <w:sz w:val="22"/>
              </w:rPr>
            </w:pPr>
            <w:r>
              <w:rPr>
                <w:sz w:val="22"/>
              </w:rPr>
              <w:t>414</w:t>
            </w:r>
          </w:p>
        </w:tc>
        <w:tc>
          <w:tcPr>
            <w:tcW w:w="1085" w:type="dxa"/>
            <w:vAlign w:val="center"/>
          </w:tcPr>
          <w:p w:rsidR="00012172" w:rsidRDefault="00012172">
            <w:pPr>
              <w:jc w:val="center"/>
              <w:rPr>
                <w:sz w:val="22"/>
              </w:rPr>
            </w:pPr>
            <w:r>
              <w:rPr>
                <w:sz w:val="22"/>
              </w:rPr>
              <w:t>124</w:t>
            </w:r>
          </w:p>
        </w:tc>
        <w:tc>
          <w:tcPr>
            <w:tcW w:w="855" w:type="dxa"/>
            <w:vAlign w:val="center"/>
          </w:tcPr>
          <w:p w:rsidR="00012172" w:rsidRDefault="00012172">
            <w:pPr>
              <w:jc w:val="center"/>
              <w:rPr>
                <w:sz w:val="22"/>
              </w:rPr>
            </w:pPr>
            <w:r>
              <w:rPr>
                <w:sz w:val="22"/>
              </w:rPr>
              <w:t>342</w:t>
            </w:r>
          </w:p>
        </w:tc>
        <w:tc>
          <w:tcPr>
            <w:tcW w:w="1034" w:type="dxa"/>
            <w:vAlign w:val="center"/>
          </w:tcPr>
          <w:p w:rsidR="00012172" w:rsidRDefault="00012172">
            <w:pPr>
              <w:jc w:val="center"/>
              <w:rPr>
                <w:sz w:val="22"/>
              </w:rPr>
            </w:pPr>
            <w:r>
              <w:rPr>
                <w:sz w:val="22"/>
              </w:rPr>
              <w:t>34</w:t>
            </w:r>
          </w:p>
        </w:tc>
        <w:tc>
          <w:tcPr>
            <w:tcW w:w="1024" w:type="dxa"/>
            <w:vAlign w:val="center"/>
          </w:tcPr>
          <w:p w:rsidR="00012172" w:rsidRDefault="00012172">
            <w:pPr>
              <w:jc w:val="center"/>
              <w:rPr>
                <w:sz w:val="22"/>
              </w:rPr>
            </w:pPr>
            <w:r>
              <w:rPr>
                <w:sz w:val="22"/>
              </w:rPr>
              <w:t>392</w:t>
            </w:r>
          </w:p>
        </w:tc>
        <w:tc>
          <w:tcPr>
            <w:tcW w:w="1109" w:type="dxa"/>
            <w:vAlign w:val="center"/>
          </w:tcPr>
          <w:p w:rsidR="00012172" w:rsidRDefault="00012172">
            <w:pPr>
              <w:jc w:val="center"/>
              <w:rPr>
                <w:sz w:val="22"/>
              </w:rPr>
            </w:pPr>
            <w:r>
              <w:rPr>
                <w:sz w:val="22"/>
              </w:rPr>
              <w:t>409</w:t>
            </w:r>
          </w:p>
        </w:tc>
        <w:tc>
          <w:tcPr>
            <w:tcW w:w="1391" w:type="dxa"/>
            <w:vAlign w:val="center"/>
          </w:tcPr>
          <w:p w:rsidR="00012172" w:rsidRDefault="00012172">
            <w:pPr>
              <w:jc w:val="center"/>
              <w:rPr>
                <w:sz w:val="22"/>
              </w:rPr>
            </w:pPr>
            <w:r>
              <w:rPr>
                <w:sz w:val="22"/>
              </w:rPr>
              <w:t>126</w:t>
            </w:r>
          </w:p>
        </w:tc>
      </w:tr>
    </w:tbl>
    <w:p w:rsidR="00012172" w:rsidRDefault="00012172">
      <w:pPr>
        <w:pStyle w:val="Tijeloteksta-uvlaka2"/>
        <w:ind w:left="0"/>
        <w:rPr>
          <w:sz w:val="22"/>
        </w:rPr>
      </w:pPr>
      <w:r>
        <w:rPr>
          <w:sz w:val="22"/>
        </w:rPr>
        <w:t>Izvor: Popis poljoprivrede 2003.</w:t>
      </w:r>
    </w:p>
    <w:p w:rsidR="00012172" w:rsidRDefault="00012172">
      <w:pPr>
        <w:pStyle w:val="Opisslike"/>
        <w:rPr>
          <w:b/>
          <w:sz w:val="22"/>
          <w:szCs w:val="22"/>
        </w:rPr>
      </w:pPr>
    </w:p>
    <w:p w:rsidR="00012172" w:rsidRDefault="00012172">
      <w:pPr>
        <w:pStyle w:val="Opisslike"/>
        <w:rPr>
          <w:b/>
          <w:sz w:val="22"/>
          <w:szCs w:val="22"/>
        </w:rPr>
      </w:pPr>
    </w:p>
    <w:p w:rsidR="00012172" w:rsidRDefault="00012172">
      <w:pPr>
        <w:pStyle w:val="Opisslike"/>
        <w:rPr>
          <w:b/>
          <w:sz w:val="22"/>
          <w:szCs w:val="22"/>
        </w:rPr>
      </w:pPr>
    </w:p>
    <w:p w:rsidR="00012172" w:rsidRDefault="00012172">
      <w:pPr>
        <w:pStyle w:val="Opisslike"/>
        <w:rPr>
          <w:b/>
          <w:sz w:val="22"/>
          <w:szCs w:val="22"/>
        </w:rPr>
      </w:pPr>
    </w:p>
    <w:p w:rsidR="00012172" w:rsidRDefault="00012172">
      <w:pPr>
        <w:pStyle w:val="Opisslike"/>
        <w:rPr>
          <w:b/>
          <w:sz w:val="22"/>
        </w:rPr>
      </w:pPr>
      <w:r>
        <w:rPr>
          <w:b/>
          <w:sz w:val="22"/>
        </w:rPr>
        <w:t xml:space="preserve"> </w:t>
      </w:r>
      <w:bookmarkStart w:id="16" w:name="_Toc132763255"/>
      <w:r>
        <w:rPr>
          <w:b/>
          <w:sz w:val="22"/>
        </w:rPr>
        <w:t xml:space="preserve">Tablica </w:t>
      </w:r>
      <w:r>
        <w:rPr>
          <w:b/>
          <w:sz w:val="22"/>
        </w:rPr>
        <w:fldChar w:fldCharType="begin"/>
      </w:r>
      <w:r>
        <w:rPr>
          <w:b/>
          <w:sz w:val="22"/>
        </w:rPr>
        <w:instrText xml:space="preserve"> SEQ Tablica \* ARABIC </w:instrText>
      </w:r>
      <w:r>
        <w:rPr>
          <w:b/>
          <w:sz w:val="22"/>
        </w:rPr>
        <w:fldChar w:fldCharType="separate"/>
      </w:r>
      <w:r w:rsidR="002B1815">
        <w:rPr>
          <w:b/>
          <w:noProof/>
          <w:sz w:val="22"/>
        </w:rPr>
        <w:t>5</w:t>
      </w:r>
      <w:r>
        <w:rPr>
          <w:b/>
          <w:sz w:val="22"/>
        </w:rPr>
        <w:fldChar w:fldCharType="end"/>
      </w:r>
      <w:r>
        <w:rPr>
          <w:b/>
          <w:sz w:val="22"/>
        </w:rPr>
        <w:t>: Struktura zaposlenih u općini</w:t>
      </w:r>
      <w:bookmarkEnd w:id="16"/>
      <w:r>
        <w:rPr>
          <w:b/>
          <w:sz w:val="22"/>
        </w:rPr>
        <w:t xml:space="preserve"> </w:t>
      </w:r>
    </w:p>
    <w:tbl>
      <w:tblPr>
        <w:tblW w:w="7025" w:type="dxa"/>
        <w:jc w:val="center"/>
        <w:tblInd w:w="-5" w:type="dxa"/>
        <w:tblCellMar>
          <w:left w:w="0" w:type="dxa"/>
          <w:right w:w="0" w:type="dxa"/>
        </w:tblCellMar>
        <w:tblLook w:val="0000" w:firstRow="0" w:lastRow="0" w:firstColumn="0" w:lastColumn="0" w:noHBand="0" w:noVBand="0"/>
      </w:tblPr>
      <w:tblGrid>
        <w:gridCol w:w="942"/>
        <w:gridCol w:w="928"/>
        <w:gridCol w:w="3715"/>
        <w:gridCol w:w="720"/>
        <w:gridCol w:w="720"/>
      </w:tblGrid>
      <w:tr w:rsidR="00012172">
        <w:trPr>
          <w:cantSplit/>
          <w:trHeight w:val="240"/>
          <w:jc w:val="center"/>
        </w:trPr>
        <w:tc>
          <w:tcPr>
            <w:tcW w:w="5585" w:type="dxa"/>
            <w:gridSpan w:val="3"/>
            <w:tcBorders>
              <w:top w:val="single" w:sz="4" w:space="0" w:color="auto"/>
              <w:left w:val="single" w:sz="4" w:space="0" w:color="auto"/>
              <w:bottom w:val="single" w:sz="4" w:space="0" w:color="auto"/>
              <w:right w:val="single" w:sz="4" w:space="0" w:color="000000"/>
            </w:tcBorders>
          </w:tcPr>
          <w:p w:rsidR="00012172" w:rsidRDefault="00012172">
            <w:pPr>
              <w:pStyle w:val="Naslov5"/>
            </w:pPr>
            <w:r>
              <w:t>Djelatnost</w:t>
            </w:r>
          </w:p>
        </w:tc>
        <w:tc>
          <w:tcPr>
            <w:tcW w:w="1440" w:type="dxa"/>
            <w:gridSpan w:val="2"/>
            <w:tcBorders>
              <w:top w:val="single" w:sz="4" w:space="0" w:color="auto"/>
              <w:left w:val="nil"/>
              <w:bottom w:val="single" w:sz="4" w:space="0" w:color="auto"/>
              <w:right w:val="single" w:sz="4" w:space="0" w:color="000000"/>
            </w:tcBorders>
          </w:tcPr>
          <w:p w:rsidR="00012172" w:rsidRDefault="00012172">
            <w:pPr>
              <w:jc w:val="center"/>
              <w:rPr>
                <w:b/>
                <w:bCs/>
                <w:sz w:val="20"/>
                <w:szCs w:val="20"/>
              </w:rPr>
            </w:pPr>
            <w:r>
              <w:rPr>
                <w:b/>
                <w:bCs/>
                <w:sz w:val="20"/>
                <w:szCs w:val="20"/>
              </w:rPr>
              <w:t>2001</w:t>
            </w:r>
          </w:p>
        </w:tc>
      </w:tr>
      <w:tr w:rsidR="00012172">
        <w:trPr>
          <w:cantSplit/>
          <w:trHeight w:val="240"/>
          <w:jc w:val="center"/>
        </w:trPr>
        <w:tc>
          <w:tcPr>
            <w:tcW w:w="942" w:type="dxa"/>
            <w:tcBorders>
              <w:top w:val="nil"/>
              <w:left w:val="single" w:sz="4" w:space="0" w:color="auto"/>
              <w:bottom w:val="single" w:sz="4" w:space="0" w:color="auto"/>
              <w:right w:val="single" w:sz="4" w:space="0" w:color="auto"/>
            </w:tcBorders>
            <w:vAlign w:val="bottom"/>
          </w:tcPr>
          <w:p w:rsidR="00012172" w:rsidRDefault="00012172">
            <w:pPr>
              <w:jc w:val="right"/>
              <w:rPr>
                <w:b/>
                <w:bCs/>
                <w:color w:val="000000"/>
                <w:sz w:val="18"/>
                <w:szCs w:val="18"/>
              </w:rPr>
            </w:pPr>
            <w:r>
              <w:rPr>
                <w:b/>
                <w:bCs/>
                <w:color w:val="000000"/>
                <w:sz w:val="18"/>
                <w:szCs w:val="18"/>
              </w:rPr>
              <w:t>SEKTOR</w:t>
            </w:r>
          </w:p>
        </w:tc>
        <w:tc>
          <w:tcPr>
            <w:tcW w:w="928" w:type="dxa"/>
            <w:tcBorders>
              <w:top w:val="nil"/>
              <w:left w:val="nil"/>
              <w:bottom w:val="single" w:sz="4" w:space="0" w:color="auto"/>
              <w:right w:val="single" w:sz="4" w:space="0" w:color="auto"/>
            </w:tcBorders>
            <w:vAlign w:val="bottom"/>
          </w:tcPr>
          <w:p w:rsidR="00012172" w:rsidRDefault="00012172">
            <w:pPr>
              <w:jc w:val="right"/>
              <w:rPr>
                <w:rFonts w:ascii="Arial" w:hAnsi="Arial" w:cs="Arial"/>
                <w:color w:val="000000"/>
                <w:sz w:val="20"/>
                <w:szCs w:val="20"/>
              </w:rPr>
            </w:pPr>
            <w:r>
              <w:rPr>
                <w:rFonts w:ascii="Arial" w:hAnsi="Arial" w:cs="Arial"/>
                <w:color w:val="000000"/>
                <w:sz w:val="20"/>
                <w:szCs w:val="20"/>
              </w:rPr>
              <w:t>Oznaka</w:t>
            </w:r>
          </w:p>
        </w:tc>
        <w:tc>
          <w:tcPr>
            <w:tcW w:w="3715" w:type="dxa"/>
            <w:tcBorders>
              <w:top w:val="nil"/>
              <w:left w:val="nil"/>
              <w:bottom w:val="single" w:sz="4" w:space="0" w:color="auto"/>
              <w:right w:val="single" w:sz="4" w:space="0" w:color="auto"/>
            </w:tcBorders>
            <w:vAlign w:val="bottom"/>
          </w:tcPr>
          <w:p w:rsidR="00012172" w:rsidRDefault="00012172">
            <w:pPr>
              <w:rPr>
                <w:rFonts w:ascii="Arial" w:hAnsi="Arial" w:cs="Arial"/>
                <w:color w:val="000000"/>
                <w:sz w:val="20"/>
                <w:szCs w:val="20"/>
              </w:rPr>
            </w:pPr>
            <w:r>
              <w:rPr>
                <w:rFonts w:ascii="Arial" w:hAnsi="Arial" w:cs="Arial"/>
                <w:color w:val="000000"/>
                <w:sz w:val="20"/>
                <w:szCs w:val="20"/>
              </w:rPr>
              <w:t>Naziv</w:t>
            </w:r>
          </w:p>
        </w:tc>
        <w:tc>
          <w:tcPr>
            <w:tcW w:w="720" w:type="dxa"/>
            <w:tcBorders>
              <w:top w:val="nil"/>
              <w:left w:val="nil"/>
              <w:bottom w:val="single" w:sz="4" w:space="0" w:color="auto"/>
              <w:right w:val="single" w:sz="4" w:space="0" w:color="auto"/>
            </w:tcBorders>
            <w:vAlign w:val="bottom"/>
          </w:tcPr>
          <w:p w:rsidR="00012172" w:rsidRDefault="00012172">
            <w:pPr>
              <w:jc w:val="center"/>
              <w:rPr>
                <w:sz w:val="20"/>
                <w:szCs w:val="20"/>
              </w:rPr>
            </w:pPr>
            <w:r>
              <w:rPr>
                <w:sz w:val="20"/>
                <w:szCs w:val="20"/>
              </w:rPr>
              <w:t>broj</w:t>
            </w:r>
          </w:p>
        </w:tc>
        <w:tc>
          <w:tcPr>
            <w:tcW w:w="720" w:type="dxa"/>
            <w:tcBorders>
              <w:top w:val="nil"/>
              <w:left w:val="nil"/>
              <w:bottom w:val="single" w:sz="4" w:space="0" w:color="auto"/>
              <w:right w:val="single" w:sz="4" w:space="0" w:color="auto"/>
            </w:tcBorders>
            <w:vAlign w:val="bottom"/>
          </w:tcPr>
          <w:p w:rsidR="00012172" w:rsidRDefault="00012172">
            <w:pPr>
              <w:jc w:val="center"/>
              <w:rPr>
                <w:sz w:val="20"/>
                <w:szCs w:val="20"/>
              </w:rPr>
            </w:pPr>
            <w:r>
              <w:rPr>
                <w:sz w:val="20"/>
                <w:szCs w:val="20"/>
              </w:rPr>
              <w:t>%</w:t>
            </w:r>
          </w:p>
        </w:tc>
      </w:tr>
      <w:tr w:rsidR="00012172">
        <w:trPr>
          <w:trHeight w:val="240"/>
          <w:jc w:val="center"/>
        </w:trPr>
        <w:tc>
          <w:tcPr>
            <w:tcW w:w="942" w:type="dxa"/>
            <w:tcBorders>
              <w:top w:val="nil"/>
              <w:left w:val="single" w:sz="4" w:space="0" w:color="auto"/>
              <w:bottom w:val="single" w:sz="4" w:space="0" w:color="auto"/>
              <w:right w:val="single" w:sz="4" w:space="0" w:color="auto"/>
            </w:tcBorders>
            <w:vAlign w:val="bottom"/>
          </w:tcPr>
          <w:p w:rsidR="00012172" w:rsidRDefault="00012172">
            <w:pPr>
              <w:jc w:val="center"/>
              <w:rPr>
                <w:b/>
                <w:bCs/>
                <w:color w:val="000000"/>
                <w:sz w:val="20"/>
                <w:szCs w:val="20"/>
              </w:rPr>
            </w:pPr>
            <w:r>
              <w:rPr>
                <w:b/>
                <w:bCs/>
                <w:color w:val="000000"/>
                <w:sz w:val="20"/>
                <w:szCs w:val="20"/>
              </w:rPr>
              <w:t>I.</w:t>
            </w:r>
          </w:p>
        </w:tc>
        <w:tc>
          <w:tcPr>
            <w:tcW w:w="928" w:type="dxa"/>
            <w:tcBorders>
              <w:top w:val="nil"/>
              <w:left w:val="nil"/>
              <w:bottom w:val="single" w:sz="4" w:space="0" w:color="auto"/>
              <w:right w:val="single" w:sz="4" w:space="0" w:color="auto"/>
            </w:tcBorders>
            <w:vAlign w:val="bottom"/>
          </w:tcPr>
          <w:p w:rsidR="00012172" w:rsidRDefault="00012172">
            <w:pPr>
              <w:jc w:val="center"/>
              <w:rPr>
                <w:rFonts w:ascii="Arial" w:hAnsi="Arial" w:cs="Arial"/>
                <w:b/>
                <w:bCs/>
                <w:color w:val="000000"/>
                <w:sz w:val="20"/>
                <w:szCs w:val="20"/>
              </w:rPr>
            </w:pPr>
            <w:r>
              <w:rPr>
                <w:rFonts w:ascii="Arial" w:hAnsi="Arial" w:cs="Arial"/>
                <w:b/>
                <w:bCs/>
                <w:color w:val="000000"/>
                <w:sz w:val="20"/>
                <w:szCs w:val="20"/>
              </w:rPr>
              <w:t>A, B</w:t>
            </w:r>
          </w:p>
        </w:tc>
        <w:tc>
          <w:tcPr>
            <w:tcW w:w="3715" w:type="dxa"/>
            <w:tcBorders>
              <w:top w:val="nil"/>
              <w:left w:val="nil"/>
              <w:bottom w:val="single" w:sz="4" w:space="0" w:color="auto"/>
              <w:right w:val="single" w:sz="4" w:space="0" w:color="auto"/>
            </w:tcBorders>
            <w:vAlign w:val="bottom"/>
          </w:tcPr>
          <w:p w:rsidR="00012172" w:rsidRDefault="00012172">
            <w:pPr>
              <w:rPr>
                <w:rFonts w:ascii="Arial" w:hAnsi="Arial" w:cs="Arial"/>
                <w:color w:val="000000"/>
                <w:sz w:val="20"/>
                <w:szCs w:val="20"/>
              </w:rPr>
            </w:pPr>
            <w:r>
              <w:rPr>
                <w:rFonts w:ascii="Arial" w:hAnsi="Arial" w:cs="Arial"/>
                <w:color w:val="000000"/>
                <w:sz w:val="20"/>
                <w:szCs w:val="20"/>
              </w:rPr>
              <w:t>Poljoprivreda, ribarstvo, šumarstvo i lov</w:t>
            </w:r>
          </w:p>
        </w:tc>
        <w:tc>
          <w:tcPr>
            <w:tcW w:w="720" w:type="dxa"/>
            <w:tcBorders>
              <w:top w:val="nil"/>
              <w:left w:val="nil"/>
              <w:bottom w:val="single" w:sz="4" w:space="0" w:color="auto"/>
              <w:right w:val="single" w:sz="4" w:space="0" w:color="auto"/>
            </w:tcBorders>
            <w:vAlign w:val="bottom"/>
          </w:tcPr>
          <w:p w:rsidR="00012172" w:rsidRDefault="00012172">
            <w:pPr>
              <w:jc w:val="center"/>
              <w:rPr>
                <w:b/>
                <w:bCs/>
                <w:sz w:val="20"/>
                <w:szCs w:val="20"/>
              </w:rPr>
            </w:pPr>
            <w:r>
              <w:rPr>
                <w:b/>
                <w:bCs/>
                <w:sz w:val="20"/>
                <w:szCs w:val="20"/>
              </w:rPr>
              <w:t>446</w:t>
            </w:r>
          </w:p>
        </w:tc>
        <w:tc>
          <w:tcPr>
            <w:tcW w:w="720" w:type="dxa"/>
            <w:tcBorders>
              <w:top w:val="nil"/>
              <w:left w:val="nil"/>
              <w:bottom w:val="single" w:sz="4" w:space="0" w:color="auto"/>
              <w:right w:val="single" w:sz="4" w:space="0" w:color="auto"/>
            </w:tcBorders>
            <w:vAlign w:val="bottom"/>
          </w:tcPr>
          <w:p w:rsidR="00012172" w:rsidRDefault="00012172">
            <w:pPr>
              <w:jc w:val="center"/>
              <w:rPr>
                <w:b/>
                <w:bCs/>
                <w:sz w:val="20"/>
                <w:szCs w:val="20"/>
              </w:rPr>
            </w:pPr>
            <w:r>
              <w:rPr>
                <w:b/>
                <w:bCs/>
                <w:sz w:val="20"/>
                <w:szCs w:val="20"/>
              </w:rPr>
              <w:t>51,9</w:t>
            </w:r>
          </w:p>
        </w:tc>
      </w:tr>
      <w:tr w:rsidR="00012172">
        <w:trPr>
          <w:cantSplit/>
          <w:trHeight w:val="240"/>
          <w:jc w:val="center"/>
        </w:trPr>
        <w:tc>
          <w:tcPr>
            <w:tcW w:w="942" w:type="dxa"/>
            <w:vMerge w:val="restart"/>
            <w:tcBorders>
              <w:top w:val="nil"/>
              <w:left w:val="single" w:sz="4" w:space="0" w:color="auto"/>
              <w:bottom w:val="single" w:sz="4" w:space="0" w:color="000000"/>
              <w:right w:val="single" w:sz="4" w:space="0" w:color="auto"/>
            </w:tcBorders>
            <w:vAlign w:val="bottom"/>
          </w:tcPr>
          <w:p w:rsidR="00012172" w:rsidRDefault="00012172">
            <w:pPr>
              <w:jc w:val="center"/>
              <w:rPr>
                <w:b/>
                <w:bCs/>
                <w:sz w:val="20"/>
                <w:szCs w:val="20"/>
              </w:rPr>
            </w:pPr>
            <w:r>
              <w:rPr>
                <w:b/>
                <w:bCs/>
                <w:sz w:val="20"/>
                <w:szCs w:val="20"/>
              </w:rPr>
              <w:t>II.</w:t>
            </w:r>
          </w:p>
        </w:tc>
        <w:tc>
          <w:tcPr>
            <w:tcW w:w="928" w:type="dxa"/>
            <w:tcBorders>
              <w:top w:val="nil"/>
              <w:left w:val="nil"/>
              <w:bottom w:val="single" w:sz="4" w:space="0" w:color="auto"/>
              <w:right w:val="single" w:sz="4" w:space="0" w:color="auto"/>
            </w:tcBorders>
            <w:vAlign w:val="bottom"/>
          </w:tcPr>
          <w:p w:rsidR="00012172" w:rsidRDefault="00012172">
            <w:pPr>
              <w:jc w:val="center"/>
              <w:rPr>
                <w:rFonts w:ascii="Arial" w:hAnsi="Arial" w:cs="Arial"/>
                <w:b/>
                <w:bCs/>
                <w:sz w:val="20"/>
                <w:szCs w:val="20"/>
              </w:rPr>
            </w:pPr>
            <w:r>
              <w:rPr>
                <w:rFonts w:ascii="Arial" w:hAnsi="Arial" w:cs="Arial"/>
                <w:b/>
                <w:bCs/>
                <w:sz w:val="20"/>
                <w:szCs w:val="20"/>
              </w:rPr>
              <w:t>C, D</w:t>
            </w:r>
          </w:p>
        </w:tc>
        <w:tc>
          <w:tcPr>
            <w:tcW w:w="3715" w:type="dxa"/>
            <w:tcBorders>
              <w:top w:val="nil"/>
              <w:left w:val="nil"/>
              <w:bottom w:val="single" w:sz="4" w:space="0" w:color="auto"/>
              <w:right w:val="single" w:sz="4" w:space="0" w:color="auto"/>
            </w:tcBorders>
            <w:vAlign w:val="bottom"/>
          </w:tcPr>
          <w:p w:rsidR="00012172" w:rsidRDefault="00012172">
            <w:pPr>
              <w:rPr>
                <w:rFonts w:ascii="Arial" w:hAnsi="Arial" w:cs="Arial"/>
                <w:color w:val="000000"/>
                <w:sz w:val="20"/>
                <w:szCs w:val="20"/>
              </w:rPr>
            </w:pPr>
            <w:r>
              <w:rPr>
                <w:rFonts w:ascii="Arial" w:hAnsi="Arial" w:cs="Arial"/>
                <w:color w:val="000000"/>
                <w:sz w:val="20"/>
                <w:szCs w:val="20"/>
              </w:rPr>
              <w:t>Prerađivačka industrija, rudarstvo</w:t>
            </w:r>
          </w:p>
        </w:tc>
        <w:tc>
          <w:tcPr>
            <w:tcW w:w="720" w:type="dxa"/>
            <w:tcBorders>
              <w:top w:val="nil"/>
              <w:left w:val="nil"/>
              <w:bottom w:val="single" w:sz="4" w:space="0" w:color="auto"/>
              <w:right w:val="single" w:sz="4" w:space="0" w:color="auto"/>
            </w:tcBorders>
            <w:vAlign w:val="bottom"/>
          </w:tcPr>
          <w:p w:rsidR="00012172" w:rsidRDefault="00012172">
            <w:pPr>
              <w:jc w:val="center"/>
              <w:rPr>
                <w:sz w:val="20"/>
                <w:szCs w:val="20"/>
              </w:rPr>
            </w:pPr>
            <w:r>
              <w:rPr>
                <w:sz w:val="20"/>
                <w:szCs w:val="20"/>
              </w:rPr>
              <w:t>84</w:t>
            </w:r>
          </w:p>
        </w:tc>
        <w:tc>
          <w:tcPr>
            <w:tcW w:w="720" w:type="dxa"/>
            <w:tcBorders>
              <w:top w:val="nil"/>
              <w:left w:val="nil"/>
              <w:bottom w:val="single" w:sz="4" w:space="0" w:color="auto"/>
              <w:right w:val="single" w:sz="4" w:space="0" w:color="auto"/>
            </w:tcBorders>
            <w:vAlign w:val="bottom"/>
          </w:tcPr>
          <w:p w:rsidR="00012172" w:rsidRDefault="00012172">
            <w:pPr>
              <w:jc w:val="center"/>
              <w:rPr>
                <w:sz w:val="20"/>
                <w:szCs w:val="20"/>
              </w:rPr>
            </w:pPr>
            <w:r>
              <w:rPr>
                <w:sz w:val="20"/>
                <w:szCs w:val="20"/>
              </w:rPr>
              <w:t>9,7</w:t>
            </w:r>
          </w:p>
        </w:tc>
      </w:tr>
      <w:tr w:rsidR="00012172">
        <w:trPr>
          <w:cantSplit/>
          <w:trHeight w:val="240"/>
          <w:jc w:val="center"/>
        </w:trPr>
        <w:tc>
          <w:tcPr>
            <w:tcW w:w="0" w:type="auto"/>
            <w:vMerge/>
            <w:tcBorders>
              <w:top w:val="nil"/>
              <w:left w:val="single" w:sz="4" w:space="0" w:color="auto"/>
              <w:bottom w:val="single" w:sz="4" w:space="0" w:color="000000"/>
              <w:right w:val="single" w:sz="4" w:space="0" w:color="auto"/>
            </w:tcBorders>
            <w:vAlign w:val="center"/>
          </w:tcPr>
          <w:p w:rsidR="00012172" w:rsidRDefault="00012172">
            <w:pPr>
              <w:rPr>
                <w:b/>
                <w:bCs/>
                <w:sz w:val="20"/>
                <w:szCs w:val="20"/>
              </w:rPr>
            </w:pPr>
          </w:p>
        </w:tc>
        <w:tc>
          <w:tcPr>
            <w:tcW w:w="928" w:type="dxa"/>
            <w:tcBorders>
              <w:top w:val="nil"/>
              <w:left w:val="nil"/>
              <w:bottom w:val="single" w:sz="4" w:space="0" w:color="auto"/>
              <w:right w:val="single" w:sz="4" w:space="0" w:color="auto"/>
            </w:tcBorders>
            <w:vAlign w:val="bottom"/>
          </w:tcPr>
          <w:p w:rsidR="00012172" w:rsidRDefault="00012172">
            <w:pPr>
              <w:jc w:val="center"/>
              <w:rPr>
                <w:rFonts w:ascii="Arial" w:hAnsi="Arial" w:cs="Arial"/>
                <w:b/>
                <w:bCs/>
                <w:sz w:val="20"/>
                <w:szCs w:val="20"/>
              </w:rPr>
            </w:pPr>
            <w:r>
              <w:rPr>
                <w:rFonts w:ascii="Arial" w:hAnsi="Arial" w:cs="Arial"/>
                <w:b/>
                <w:bCs/>
                <w:sz w:val="20"/>
                <w:szCs w:val="20"/>
              </w:rPr>
              <w:t>F</w:t>
            </w:r>
          </w:p>
        </w:tc>
        <w:tc>
          <w:tcPr>
            <w:tcW w:w="3715" w:type="dxa"/>
            <w:tcBorders>
              <w:top w:val="nil"/>
              <w:left w:val="nil"/>
              <w:bottom w:val="single" w:sz="4" w:space="0" w:color="auto"/>
              <w:right w:val="single" w:sz="4" w:space="0" w:color="auto"/>
            </w:tcBorders>
            <w:vAlign w:val="bottom"/>
          </w:tcPr>
          <w:p w:rsidR="00012172" w:rsidRDefault="00012172">
            <w:pPr>
              <w:rPr>
                <w:rFonts w:ascii="Arial" w:hAnsi="Arial" w:cs="Arial"/>
                <w:color w:val="000000"/>
                <w:sz w:val="20"/>
                <w:szCs w:val="20"/>
              </w:rPr>
            </w:pPr>
            <w:r>
              <w:rPr>
                <w:rFonts w:ascii="Arial" w:hAnsi="Arial" w:cs="Arial"/>
                <w:color w:val="000000"/>
                <w:sz w:val="20"/>
                <w:szCs w:val="20"/>
              </w:rPr>
              <w:t>Građevinarstvo</w:t>
            </w:r>
          </w:p>
        </w:tc>
        <w:tc>
          <w:tcPr>
            <w:tcW w:w="720" w:type="dxa"/>
            <w:tcBorders>
              <w:top w:val="nil"/>
              <w:left w:val="nil"/>
              <w:bottom w:val="single" w:sz="4" w:space="0" w:color="auto"/>
              <w:right w:val="single" w:sz="4" w:space="0" w:color="auto"/>
            </w:tcBorders>
            <w:vAlign w:val="bottom"/>
          </w:tcPr>
          <w:p w:rsidR="00012172" w:rsidRDefault="00012172">
            <w:pPr>
              <w:jc w:val="center"/>
              <w:rPr>
                <w:sz w:val="20"/>
                <w:szCs w:val="20"/>
              </w:rPr>
            </w:pPr>
            <w:r>
              <w:rPr>
                <w:sz w:val="20"/>
                <w:szCs w:val="20"/>
              </w:rPr>
              <w:t>117</w:t>
            </w:r>
          </w:p>
        </w:tc>
        <w:tc>
          <w:tcPr>
            <w:tcW w:w="720" w:type="dxa"/>
            <w:tcBorders>
              <w:top w:val="nil"/>
              <w:left w:val="nil"/>
              <w:bottom w:val="single" w:sz="4" w:space="0" w:color="auto"/>
              <w:right w:val="single" w:sz="4" w:space="0" w:color="auto"/>
            </w:tcBorders>
            <w:vAlign w:val="bottom"/>
          </w:tcPr>
          <w:p w:rsidR="00012172" w:rsidRDefault="00012172">
            <w:pPr>
              <w:jc w:val="center"/>
              <w:rPr>
                <w:sz w:val="20"/>
                <w:szCs w:val="20"/>
              </w:rPr>
            </w:pPr>
            <w:r>
              <w:rPr>
                <w:sz w:val="20"/>
                <w:szCs w:val="20"/>
              </w:rPr>
              <w:t>13,6</w:t>
            </w:r>
          </w:p>
        </w:tc>
      </w:tr>
      <w:tr w:rsidR="00012172">
        <w:trPr>
          <w:cantSplit/>
          <w:trHeight w:val="240"/>
          <w:jc w:val="center"/>
        </w:trPr>
        <w:tc>
          <w:tcPr>
            <w:tcW w:w="0" w:type="auto"/>
            <w:vMerge/>
            <w:tcBorders>
              <w:top w:val="nil"/>
              <w:left w:val="single" w:sz="4" w:space="0" w:color="auto"/>
              <w:bottom w:val="single" w:sz="4" w:space="0" w:color="000000"/>
              <w:right w:val="single" w:sz="4" w:space="0" w:color="auto"/>
            </w:tcBorders>
            <w:vAlign w:val="center"/>
          </w:tcPr>
          <w:p w:rsidR="00012172" w:rsidRDefault="00012172">
            <w:pPr>
              <w:rPr>
                <w:b/>
                <w:bCs/>
                <w:sz w:val="20"/>
                <w:szCs w:val="20"/>
              </w:rPr>
            </w:pPr>
          </w:p>
        </w:tc>
        <w:tc>
          <w:tcPr>
            <w:tcW w:w="4643" w:type="dxa"/>
            <w:gridSpan w:val="2"/>
            <w:tcBorders>
              <w:top w:val="single" w:sz="4" w:space="0" w:color="auto"/>
              <w:left w:val="nil"/>
              <w:bottom w:val="single" w:sz="4" w:space="0" w:color="auto"/>
              <w:right w:val="single" w:sz="4" w:space="0" w:color="000000"/>
            </w:tcBorders>
            <w:vAlign w:val="bottom"/>
          </w:tcPr>
          <w:p w:rsidR="00012172" w:rsidRDefault="00012172">
            <w:pPr>
              <w:rPr>
                <w:rFonts w:ascii="Arial" w:hAnsi="Arial" w:cs="Arial"/>
                <w:sz w:val="20"/>
                <w:szCs w:val="20"/>
              </w:rPr>
            </w:pPr>
            <w:r>
              <w:rPr>
                <w:rFonts w:ascii="Arial" w:hAnsi="Arial" w:cs="Arial"/>
                <w:sz w:val="20"/>
                <w:szCs w:val="20"/>
              </w:rPr>
              <w:t>UKUPNO</w:t>
            </w:r>
          </w:p>
        </w:tc>
        <w:tc>
          <w:tcPr>
            <w:tcW w:w="720" w:type="dxa"/>
            <w:tcBorders>
              <w:top w:val="nil"/>
              <w:left w:val="nil"/>
              <w:bottom w:val="single" w:sz="4" w:space="0" w:color="auto"/>
              <w:right w:val="single" w:sz="4" w:space="0" w:color="auto"/>
            </w:tcBorders>
            <w:vAlign w:val="bottom"/>
          </w:tcPr>
          <w:p w:rsidR="00012172" w:rsidRDefault="00012172">
            <w:pPr>
              <w:jc w:val="center"/>
              <w:rPr>
                <w:b/>
                <w:bCs/>
                <w:sz w:val="20"/>
                <w:szCs w:val="20"/>
              </w:rPr>
            </w:pPr>
            <w:r>
              <w:rPr>
                <w:b/>
                <w:bCs/>
                <w:sz w:val="20"/>
                <w:szCs w:val="20"/>
              </w:rPr>
              <w:t>201</w:t>
            </w:r>
          </w:p>
        </w:tc>
        <w:tc>
          <w:tcPr>
            <w:tcW w:w="720" w:type="dxa"/>
            <w:tcBorders>
              <w:top w:val="nil"/>
              <w:left w:val="nil"/>
              <w:bottom w:val="single" w:sz="4" w:space="0" w:color="auto"/>
              <w:right w:val="single" w:sz="4" w:space="0" w:color="auto"/>
            </w:tcBorders>
            <w:vAlign w:val="bottom"/>
          </w:tcPr>
          <w:p w:rsidR="00012172" w:rsidRDefault="00012172">
            <w:pPr>
              <w:jc w:val="center"/>
              <w:rPr>
                <w:b/>
                <w:bCs/>
                <w:sz w:val="20"/>
                <w:szCs w:val="20"/>
              </w:rPr>
            </w:pPr>
            <w:r>
              <w:rPr>
                <w:b/>
                <w:bCs/>
                <w:sz w:val="20"/>
                <w:szCs w:val="20"/>
              </w:rPr>
              <w:t>23,4</w:t>
            </w:r>
          </w:p>
        </w:tc>
      </w:tr>
      <w:tr w:rsidR="00012172">
        <w:trPr>
          <w:cantSplit/>
          <w:trHeight w:val="240"/>
          <w:jc w:val="center"/>
        </w:trPr>
        <w:tc>
          <w:tcPr>
            <w:tcW w:w="942" w:type="dxa"/>
            <w:vMerge w:val="restart"/>
            <w:tcBorders>
              <w:top w:val="nil"/>
              <w:left w:val="single" w:sz="4" w:space="0" w:color="auto"/>
              <w:bottom w:val="single" w:sz="4" w:space="0" w:color="000000"/>
              <w:right w:val="single" w:sz="4" w:space="0" w:color="auto"/>
            </w:tcBorders>
            <w:vAlign w:val="bottom"/>
          </w:tcPr>
          <w:p w:rsidR="00012172" w:rsidRDefault="00012172">
            <w:pPr>
              <w:jc w:val="center"/>
              <w:rPr>
                <w:b/>
                <w:bCs/>
                <w:sz w:val="20"/>
                <w:szCs w:val="20"/>
              </w:rPr>
            </w:pPr>
            <w:r>
              <w:rPr>
                <w:b/>
                <w:bCs/>
                <w:sz w:val="20"/>
                <w:szCs w:val="20"/>
              </w:rPr>
              <w:t>III.</w:t>
            </w:r>
          </w:p>
        </w:tc>
        <w:tc>
          <w:tcPr>
            <w:tcW w:w="928" w:type="dxa"/>
            <w:tcBorders>
              <w:top w:val="nil"/>
              <w:left w:val="nil"/>
              <w:bottom w:val="single" w:sz="4" w:space="0" w:color="auto"/>
              <w:right w:val="single" w:sz="4" w:space="0" w:color="auto"/>
            </w:tcBorders>
            <w:vAlign w:val="bottom"/>
          </w:tcPr>
          <w:p w:rsidR="00012172" w:rsidRDefault="00012172">
            <w:pPr>
              <w:jc w:val="center"/>
              <w:rPr>
                <w:rFonts w:ascii="Arial" w:hAnsi="Arial" w:cs="Arial"/>
                <w:b/>
                <w:bCs/>
                <w:sz w:val="20"/>
                <w:szCs w:val="20"/>
              </w:rPr>
            </w:pPr>
            <w:r>
              <w:rPr>
                <w:rFonts w:ascii="Arial" w:hAnsi="Arial" w:cs="Arial"/>
                <w:b/>
                <w:bCs/>
                <w:sz w:val="20"/>
                <w:szCs w:val="20"/>
              </w:rPr>
              <w:t>E</w:t>
            </w:r>
          </w:p>
        </w:tc>
        <w:tc>
          <w:tcPr>
            <w:tcW w:w="3715" w:type="dxa"/>
            <w:tcBorders>
              <w:top w:val="nil"/>
              <w:left w:val="nil"/>
              <w:bottom w:val="single" w:sz="4" w:space="0" w:color="auto"/>
              <w:right w:val="single" w:sz="4" w:space="0" w:color="auto"/>
            </w:tcBorders>
            <w:vAlign w:val="bottom"/>
          </w:tcPr>
          <w:p w:rsidR="00012172" w:rsidRDefault="00012172">
            <w:pPr>
              <w:rPr>
                <w:rFonts w:ascii="Arial" w:hAnsi="Arial" w:cs="Arial"/>
                <w:color w:val="000000"/>
                <w:sz w:val="20"/>
                <w:szCs w:val="20"/>
              </w:rPr>
            </w:pPr>
            <w:r>
              <w:rPr>
                <w:rFonts w:ascii="Arial" w:hAnsi="Arial" w:cs="Arial"/>
                <w:color w:val="000000"/>
                <w:sz w:val="20"/>
                <w:szCs w:val="20"/>
              </w:rPr>
              <w:t>Opskrba elekt. energijom, plinom i vodom</w:t>
            </w:r>
          </w:p>
        </w:tc>
        <w:tc>
          <w:tcPr>
            <w:tcW w:w="720" w:type="dxa"/>
            <w:tcBorders>
              <w:top w:val="nil"/>
              <w:left w:val="nil"/>
              <w:bottom w:val="single" w:sz="4" w:space="0" w:color="auto"/>
              <w:right w:val="single" w:sz="4" w:space="0" w:color="auto"/>
            </w:tcBorders>
            <w:vAlign w:val="bottom"/>
          </w:tcPr>
          <w:p w:rsidR="00012172" w:rsidRDefault="00012172">
            <w:pPr>
              <w:jc w:val="center"/>
              <w:rPr>
                <w:sz w:val="20"/>
                <w:szCs w:val="20"/>
              </w:rPr>
            </w:pPr>
            <w:r>
              <w:rPr>
                <w:sz w:val="20"/>
                <w:szCs w:val="20"/>
              </w:rPr>
              <w:t>3</w:t>
            </w:r>
          </w:p>
        </w:tc>
        <w:tc>
          <w:tcPr>
            <w:tcW w:w="720" w:type="dxa"/>
            <w:tcBorders>
              <w:top w:val="nil"/>
              <w:left w:val="nil"/>
              <w:bottom w:val="single" w:sz="4" w:space="0" w:color="auto"/>
              <w:right w:val="single" w:sz="4" w:space="0" w:color="auto"/>
            </w:tcBorders>
            <w:vAlign w:val="bottom"/>
          </w:tcPr>
          <w:p w:rsidR="00012172" w:rsidRDefault="00012172">
            <w:pPr>
              <w:jc w:val="center"/>
              <w:rPr>
                <w:sz w:val="20"/>
                <w:szCs w:val="20"/>
              </w:rPr>
            </w:pPr>
            <w:r>
              <w:rPr>
                <w:sz w:val="20"/>
                <w:szCs w:val="20"/>
              </w:rPr>
              <w:t>0,3</w:t>
            </w:r>
          </w:p>
        </w:tc>
      </w:tr>
      <w:tr w:rsidR="00012172">
        <w:trPr>
          <w:cantSplit/>
          <w:trHeight w:val="240"/>
          <w:jc w:val="center"/>
        </w:trPr>
        <w:tc>
          <w:tcPr>
            <w:tcW w:w="0" w:type="auto"/>
            <w:vMerge/>
            <w:tcBorders>
              <w:top w:val="nil"/>
              <w:left w:val="single" w:sz="4" w:space="0" w:color="auto"/>
              <w:bottom w:val="single" w:sz="4" w:space="0" w:color="000000"/>
              <w:right w:val="single" w:sz="4" w:space="0" w:color="auto"/>
            </w:tcBorders>
            <w:vAlign w:val="center"/>
          </w:tcPr>
          <w:p w:rsidR="00012172" w:rsidRDefault="00012172">
            <w:pPr>
              <w:rPr>
                <w:b/>
                <w:bCs/>
                <w:sz w:val="20"/>
                <w:szCs w:val="20"/>
              </w:rPr>
            </w:pPr>
          </w:p>
        </w:tc>
        <w:tc>
          <w:tcPr>
            <w:tcW w:w="928" w:type="dxa"/>
            <w:tcBorders>
              <w:top w:val="nil"/>
              <w:left w:val="nil"/>
              <w:bottom w:val="single" w:sz="4" w:space="0" w:color="auto"/>
              <w:right w:val="single" w:sz="4" w:space="0" w:color="auto"/>
            </w:tcBorders>
            <w:vAlign w:val="bottom"/>
          </w:tcPr>
          <w:p w:rsidR="00012172" w:rsidRDefault="00012172">
            <w:pPr>
              <w:jc w:val="center"/>
              <w:rPr>
                <w:rFonts w:ascii="Arial" w:hAnsi="Arial" w:cs="Arial"/>
                <w:b/>
                <w:bCs/>
                <w:sz w:val="20"/>
                <w:szCs w:val="20"/>
              </w:rPr>
            </w:pPr>
            <w:r>
              <w:rPr>
                <w:rFonts w:ascii="Arial" w:hAnsi="Arial" w:cs="Arial"/>
                <w:b/>
                <w:bCs/>
                <w:sz w:val="20"/>
                <w:szCs w:val="20"/>
              </w:rPr>
              <w:t>G</w:t>
            </w:r>
          </w:p>
        </w:tc>
        <w:tc>
          <w:tcPr>
            <w:tcW w:w="3715" w:type="dxa"/>
            <w:tcBorders>
              <w:top w:val="nil"/>
              <w:left w:val="nil"/>
              <w:bottom w:val="single" w:sz="4" w:space="0" w:color="auto"/>
              <w:right w:val="single" w:sz="4" w:space="0" w:color="auto"/>
            </w:tcBorders>
            <w:vAlign w:val="bottom"/>
          </w:tcPr>
          <w:p w:rsidR="00012172" w:rsidRDefault="00012172">
            <w:pPr>
              <w:rPr>
                <w:rFonts w:ascii="Arial" w:hAnsi="Arial" w:cs="Arial"/>
                <w:color w:val="000000"/>
                <w:sz w:val="20"/>
                <w:szCs w:val="20"/>
              </w:rPr>
            </w:pPr>
            <w:r>
              <w:rPr>
                <w:rFonts w:ascii="Arial" w:hAnsi="Arial" w:cs="Arial"/>
                <w:color w:val="000000"/>
                <w:sz w:val="20"/>
                <w:szCs w:val="20"/>
              </w:rPr>
              <w:t>Trgovina na veliko i malo</w:t>
            </w:r>
          </w:p>
        </w:tc>
        <w:tc>
          <w:tcPr>
            <w:tcW w:w="720" w:type="dxa"/>
            <w:tcBorders>
              <w:top w:val="nil"/>
              <w:left w:val="nil"/>
              <w:bottom w:val="single" w:sz="4" w:space="0" w:color="auto"/>
              <w:right w:val="single" w:sz="4" w:space="0" w:color="auto"/>
            </w:tcBorders>
            <w:vAlign w:val="bottom"/>
          </w:tcPr>
          <w:p w:rsidR="00012172" w:rsidRDefault="00012172">
            <w:pPr>
              <w:jc w:val="center"/>
              <w:rPr>
                <w:sz w:val="20"/>
                <w:szCs w:val="20"/>
              </w:rPr>
            </w:pPr>
            <w:r>
              <w:rPr>
                <w:sz w:val="20"/>
                <w:szCs w:val="20"/>
              </w:rPr>
              <w:t>28</w:t>
            </w:r>
          </w:p>
        </w:tc>
        <w:tc>
          <w:tcPr>
            <w:tcW w:w="720" w:type="dxa"/>
            <w:tcBorders>
              <w:top w:val="nil"/>
              <w:left w:val="nil"/>
              <w:bottom w:val="single" w:sz="4" w:space="0" w:color="auto"/>
              <w:right w:val="single" w:sz="4" w:space="0" w:color="auto"/>
            </w:tcBorders>
            <w:vAlign w:val="bottom"/>
          </w:tcPr>
          <w:p w:rsidR="00012172" w:rsidRDefault="00012172">
            <w:pPr>
              <w:jc w:val="center"/>
              <w:rPr>
                <w:sz w:val="20"/>
                <w:szCs w:val="20"/>
              </w:rPr>
            </w:pPr>
            <w:r>
              <w:rPr>
                <w:sz w:val="20"/>
                <w:szCs w:val="20"/>
              </w:rPr>
              <w:t>3,2</w:t>
            </w:r>
          </w:p>
        </w:tc>
      </w:tr>
      <w:tr w:rsidR="00012172">
        <w:trPr>
          <w:cantSplit/>
          <w:trHeight w:val="240"/>
          <w:jc w:val="center"/>
        </w:trPr>
        <w:tc>
          <w:tcPr>
            <w:tcW w:w="0" w:type="auto"/>
            <w:vMerge/>
            <w:tcBorders>
              <w:top w:val="nil"/>
              <w:left w:val="single" w:sz="4" w:space="0" w:color="auto"/>
              <w:bottom w:val="single" w:sz="4" w:space="0" w:color="000000"/>
              <w:right w:val="single" w:sz="4" w:space="0" w:color="auto"/>
            </w:tcBorders>
            <w:vAlign w:val="center"/>
          </w:tcPr>
          <w:p w:rsidR="00012172" w:rsidRDefault="00012172">
            <w:pPr>
              <w:rPr>
                <w:b/>
                <w:bCs/>
                <w:sz w:val="20"/>
                <w:szCs w:val="20"/>
              </w:rPr>
            </w:pPr>
          </w:p>
        </w:tc>
        <w:tc>
          <w:tcPr>
            <w:tcW w:w="928" w:type="dxa"/>
            <w:tcBorders>
              <w:top w:val="nil"/>
              <w:left w:val="nil"/>
              <w:bottom w:val="single" w:sz="4" w:space="0" w:color="auto"/>
              <w:right w:val="single" w:sz="4" w:space="0" w:color="auto"/>
            </w:tcBorders>
            <w:vAlign w:val="bottom"/>
          </w:tcPr>
          <w:p w:rsidR="00012172" w:rsidRDefault="00012172">
            <w:pPr>
              <w:jc w:val="center"/>
              <w:rPr>
                <w:rFonts w:ascii="Arial" w:hAnsi="Arial" w:cs="Arial"/>
                <w:b/>
                <w:bCs/>
                <w:sz w:val="20"/>
                <w:szCs w:val="20"/>
              </w:rPr>
            </w:pPr>
            <w:r>
              <w:rPr>
                <w:rFonts w:ascii="Arial" w:hAnsi="Arial" w:cs="Arial"/>
                <w:b/>
                <w:bCs/>
                <w:sz w:val="20"/>
                <w:szCs w:val="20"/>
              </w:rPr>
              <w:t>H</w:t>
            </w:r>
          </w:p>
        </w:tc>
        <w:tc>
          <w:tcPr>
            <w:tcW w:w="3715" w:type="dxa"/>
            <w:tcBorders>
              <w:top w:val="nil"/>
              <w:left w:val="nil"/>
              <w:bottom w:val="single" w:sz="4" w:space="0" w:color="auto"/>
              <w:right w:val="single" w:sz="4" w:space="0" w:color="auto"/>
            </w:tcBorders>
            <w:vAlign w:val="bottom"/>
          </w:tcPr>
          <w:p w:rsidR="00012172" w:rsidRDefault="00012172">
            <w:pPr>
              <w:rPr>
                <w:rFonts w:ascii="Arial" w:hAnsi="Arial" w:cs="Arial"/>
                <w:color w:val="000000"/>
                <w:sz w:val="20"/>
                <w:szCs w:val="20"/>
              </w:rPr>
            </w:pPr>
            <w:r>
              <w:rPr>
                <w:rFonts w:ascii="Arial" w:hAnsi="Arial" w:cs="Arial"/>
                <w:color w:val="000000"/>
                <w:sz w:val="20"/>
                <w:szCs w:val="20"/>
              </w:rPr>
              <w:t>Hoteli i restorani</w:t>
            </w:r>
          </w:p>
        </w:tc>
        <w:tc>
          <w:tcPr>
            <w:tcW w:w="720" w:type="dxa"/>
            <w:tcBorders>
              <w:top w:val="nil"/>
              <w:left w:val="nil"/>
              <w:bottom w:val="single" w:sz="4" w:space="0" w:color="auto"/>
              <w:right w:val="single" w:sz="4" w:space="0" w:color="auto"/>
            </w:tcBorders>
            <w:vAlign w:val="bottom"/>
          </w:tcPr>
          <w:p w:rsidR="00012172" w:rsidRDefault="00012172">
            <w:pPr>
              <w:jc w:val="center"/>
              <w:rPr>
                <w:sz w:val="20"/>
                <w:szCs w:val="20"/>
              </w:rPr>
            </w:pPr>
            <w:r>
              <w:rPr>
                <w:sz w:val="20"/>
                <w:szCs w:val="20"/>
              </w:rPr>
              <w:t>15</w:t>
            </w:r>
          </w:p>
        </w:tc>
        <w:tc>
          <w:tcPr>
            <w:tcW w:w="720" w:type="dxa"/>
            <w:tcBorders>
              <w:top w:val="nil"/>
              <w:left w:val="nil"/>
              <w:bottom w:val="single" w:sz="4" w:space="0" w:color="auto"/>
              <w:right w:val="single" w:sz="4" w:space="0" w:color="auto"/>
            </w:tcBorders>
            <w:vAlign w:val="bottom"/>
          </w:tcPr>
          <w:p w:rsidR="00012172" w:rsidRDefault="00012172">
            <w:pPr>
              <w:jc w:val="center"/>
              <w:rPr>
                <w:sz w:val="20"/>
                <w:szCs w:val="20"/>
              </w:rPr>
            </w:pPr>
            <w:r>
              <w:rPr>
                <w:sz w:val="20"/>
                <w:szCs w:val="20"/>
              </w:rPr>
              <w:t>1,7</w:t>
            </w:r>
          </w:p>
        </w:tc>
      </w:tr>
      <w:tr w:rsidR="00012172">
        <w:trPr>
          <w:cantSplit/>
          <w:trHeight w:val="240"/>
          <w:jc w:val="center"/>
        </w:trPr>
        <w:tc>
          <w:tcPr>
            <w:tcW w:w="0" w:type="auto"/>
            <w:vMerge/>
            <w:tcBorders>
              <w:top w:val="nil"/>
              <w:left w:val="single" w:sz="4" w:space="0" w:color="auto"/>
              <w:bottom w:val="single" w:sz="4" w:space="0" w:color="000000"/>
              <w:right w:val="single" w:sz="4" w:space="0" w:color="auto"/>
            </w:tcBorders>
            <w:vAlign w:val="center"/>
          </w:tcPr>
          <w:p w:rsidR="00012172" w:rsidRDefault="00012172">
            <w:pPr>
              <w:rPr>
                <w:b/>
                <w:bCs/>
                <w:sz w:val="20"/>
                <w:szCs w:val="20"/>
              </w:rPr>
            </w:pPr>
          </w:p>
        </w:tc>
        <w:tc>
          <w:tcPr>
            <w:tcW w:w="928" w:type="dxa"/>
            <w:tcBorders>
              <w:top w:val="nil"/>
              <w:left w:val="nil"/>
              <w:bottom w:val="single" w:sz="4" w:space="0" w:color="auto"/>
              <w:right w:val="single" w:sz="4" w:space="0" w:color="auto"/>
            </w:tcBorders>
            <w:vAlign w:val="bottom"/>
          </w:tcPr>
          <w:p w:rsidR="00012172" w:rsidRDefault="00012172">
            <w:pPr>
              <w:jc w:val="center"/>
              <w:rPr>
                <w:rFonts w:ascii="Arial" w:hAnsi="Arial" w:cs="Arial"/>
                <w:b/>
                <w:bCs/>
                <w:sz w:val="20"/>
                <w:szCs w:val="20"/>
              </w:rPr>
            </w:pPr>
            <w:r>
              <w:rPr>
                <w:rFonts w:ascii="Arial" w:hAnsi="Arial" w:cs="Arial"/>
                <w:b/>
                <w:bCs/>
                <w:sz w:val="20"/>
                <w:szCs w:val="20"/>
              </w:rPr>
              <w:t>I</w:t>
            </w:r>
          </w:p>
        </w:tc>
        <w:tc>
          <w:tcPr>
            <w:tcW w:w="3715" w:type="dxa"/>
            <w:tcBorders>
              <w:top w:val="nil"/>
              <w:left w:val="nil"/>
              <w:bottom w:val="single" w:sz="4" w:space="0" w:color="auto"/>
              <w:right w:val="single" w:sz="4" w:space="0" w:color="auto"/>
            </w:tcBorders>
            <w:vAlign w:val="bottom"/>
          </w:tcPr>
          <w:p w:rsidR="00012172" w:rsidRDefault="00012172">
            <w:pPr>
              <w:rPr>
                <w:rFonts w:ascii="Arial" w:hAnsi="Arial" w:cs="Arial"/>
                <w:color w:val="000000"/>
                <w:sz w:val="20"/>
                <w:szCs w:val="20"/>
              </w:rPr>
            </w:pPr>
            <w:r>
              <w:rPr>
                <w:rFonts w:ascii="Arial" w:hAnsi="Arial" w:cs="Arial"/>
                <w:color w:val="000000"/>
                <w:sz w:val="20"/>
                <w:szCs w:val="20"/>
              </w:rPr>
              <w:t>Prijevoz, skladištenje i veze</w:t>
            </w:r>
          </w:p>
        </w:tc>
        <w:tc>
          <w:tcPr>
            <w:tcW w:w="720" w:type="dxa"/>
            <w:tcBorders>
              <w:top w:val="nil"/>
              <w:left w:val="nil"/>
              <w:bottom w:val="single" w:sz="4" w:space="0" w:color="auto"/>
              <w:right w:val="single" w:sz="4" w:space="0" w:color="auto"/>
            </w:tcBorders>
            <w:vAlign w:val="bottom"/>
          </w:tcPr>
          <w:p w:rsidR="00012172" w:rsidRDefault="00012172">
            <w:pPr>
              <w:jc w:val="center"/>
              <w:rPr>
                <w:sz w:val="20"/>
                <w:szCs w:val="20"/>
              </w:rPr>
            </w:pPr>
            <w:r>
              <w:rPr>
                <w:sz w:val="20"/>
                <w:szCs w:val="20"/>
              </w:rPr>
              <w:t>31</w:t>
            </w:r>
          </w:p>
        </w:tc>
        <w:tc>
          <w:tcPr>
            <w:tcW w:w="720" w:type="dxa"/>
            <w:tcBorders>
              <w:top w:val="nil"/>
              <w:left w:val="nil"/>
              <w:bottom w:val="single" w:sz="4" w:space="0" w:color="auto"/>
              <w:right w:val="single" w:sz="4" w:space="0" w:color="auto"/>
            </w:tcBorders>
            <w:vAlign w:val="bottom"/>
          </w:tcPr>
          <w:p w:rsidR="00012172" w:rsidRDefault="00012172">
            <w:pPr>
              <w:jc w:val="center"/>
              <w:rPr>
                <w:sz w:val="20"/>
                <w:szCs w:val="20"/>
              </w:rPr>
            </w:pPr>
            <w:r>
              <w:rPr>
                <w:sz w:val="20"/>
                <w:szCs w:val="20"/>
              </w:rPr>
              <w:t>3,6</w:t>
            </w:r>
          </w:p>
        </w:tc>
      </w:tr>
      <w:tr w:rsidR="00012172">
        <w:trPr>
          <w:cantSplit/>
          <w:trHeight w:val="240"/>
          <w:jc w:val="center"/>
        </w:trPr>
        <w:tc>
          <w:tcPr>
            <w:tcW w:w="0" w:type="auto"/>
            <w:vMerge/>
            <w:tcBorders>
              <w:top w:val="nil"/>
              <w:left w:val="single" w:sz="4" w:space="0" w:color="auto"/>
              <w:bottom w:val="single" w:sz="4" w:space="0" w:color="000000"/>
              <w:right w:val="single" w:sz="4" w:space="0" w:color="auto"/>
            </w:tcBorders>
            <w:vAlign w:val="center"/>
          </w:tcPr>
          <w:p w:rsidR="00012172" w:rsidRDefault="00012172">
            <w:pPr>
              <w:rPr>
                <w:b/>
                <w:bCs/>
                <w:sz w:val="20"/>
                <w:szCs w:val="20"/>
              </w:rPr>
            </w:pPr>
          </w:p>
        </w:tc>
        <w:tc>
          <w:tcPr>
            <w:tcW w:w="928" w:type="dxa"/>
            <w:tcBorders>
              <w:top w:val="nil"/>
              <w:left w:val="nil"/>
              <w:bottom w:val="single" w:sz="4" w:space="0" w:color="auto"/>
              <w:right w:val="single" w:sz="4" w:space="0" w:color="auto"/>
            </w:tcBorders>
            <w:vAlign w:val="bottom"/>
          </w:tcPr>
          <w:p w:rsidR="00012172" w:rsidRDefault="00012172">
            <w:pPr>
              <w:jc w:val="center"/>
              <w:rPr>
                <w:rFonts w:ascii="Arial" w:hAnsi="Arial" w:cs="Arial"/>
                <w:b/>
                <w:bCs/>
                <w:sz w:val="20"/>
                <w:szCs w:val="20"/>
              </w:rPr>
            </w:pPr>
            <w:r>
              <w:rPr>
                <w:rFonts w:ascii="Arial" w:hAnsi="Arial" w:cs="Arial"/>
                <w:b/>
                <w:bCs/>
                <w:sz w:val="20"/>
                <w:szCs w:val="20"/>
              </w:rPr>
              <w:t>M</w:t>
            </w:r>
          </w:p>
        </w:tc>
        <w:tc>
          <w:tcPr>
            <w:tcW w:w="3715" w:type="dxa"/>
            <w:tcBorders>
              <w:top w:val="nil"/>
              <w:left w:val="nil"/>
              <w:bottom w:val="single" w:sz="4" w:space="0" w:color="auto"/>
              <w:right w:val="single" w:sz="4" w:space="0" w:color="auto"/>
            </w:tcBorders>
            <w:vAlign w:val="bottom"/>
          </w:tcPr>
          <w:p w:rsidR="00012172" w:rsidRDefault="00012172">
            <w:pPr>
              <w:rPr>
                <w:rFonts w:ascii="Arial" w:hAnsi="Arial" w:cs="Arial"/>
                <w:color w:val="000000"/>
                <w:sz w:val="20"/>
                <w:szCs w:val="20"/>
              </w:rPr>
            </w:pPr>
            <w:r>
              <w:rPr>
                <w:rFonts w:ascii="Arial" w:hAnsi="Arial" w:cs="Arial"/>
                <w:color w:val="000000"/>
                <w:sz w:val="20"/>
                <w:szCs w:val="20"/>
              </w:rPr>
              <w:t>Obrazovanje</w:t>
            </w:r>
            <w:r>
              <w:rPr>
                <w:rFonts w:ascii="Arial" w:hAnsi="Arial" w:cs="Arial"/>
                <w:b/>
                <w:bCs/>
                <w:sz w:val="20"/>
                <w:szCs w:val="20"/>
              </w:rPr>
              <w:t xml:space="preserve"> </w:t>
            </w:r>
          </w:p>
        </w:tc>
        <w:tc>
          <w:tcPr>
            <w:tcW w:w="720" w:type="dxa"/>
            <w:tcBorders>
              <w:top w:val="nil"/>
              <w:left w:val="nil"/>
              <w:bottom w:val="single" w:sz="4" w:space="0" w:color="auto"/>
              <w:right w:val="single" w:sz="4" w:space="0" w:color="auto"/>
            </w:tcBorders>
            <w:vAlign w:val="bottom"/>
          </w:tcPr>
          <w:p w:rsidR="00012172" w:rsidRDefault="00012172">
            <w:pPr>
              <w:jc w:val="center"/>
              <w:rPr>
                <w:sz w:val="20"/>
                <w:szCs w:val="20"/>
              </w:rPr>
            </w:pPr>
            <w:r>
              <w:rPr>
                <w:sz w:val="20"/>
                <w:szCs w:val="20"/>
              </w:rPr>
              <w:t>15</w:t>
            </w:r>
          </w:p>
        </w:tc>
        <w:tc>
          <w:tcPr>
            <w:tcW w:w="720" w:type="dxa"/>
            <w:tcBorders>
              <w:top w:val="nil"/>
              <w:left w:val="nil"/>
              <w:bottom w:val="single" w:sz="4" w:space="0" w:color="auto"/>
              <w:right w:val="single" w:sz="4" w:space="0" w:color="auto"/>
            </w:tcBorders>
            <w:vAlign w:val="bottom"/>
          </w:tcPr>
          <w:p w:rsidR="00012172" w:rsidRDefault="00012172">
            <w:pPr>
              <w:jc w:val="center"/>
              <w:rPr>
                <w:sz w:val="20"/>
                <w:szCs w:val="20"/>
              </w:rPr>
            </w:pPr>
            <w:r>
              <w:rPr>
                <w:sz w:val="20"/>
                <w:szCs w:val="20"/>
              </w:rPr>
              <w:t>1,7</w:t>
            </w:r>
          </w:p>
        </w:tc>
      </w:tr>
      <w:tr w:rsidR="00012172">
        <w:trPr>
          <w:cantSplit/>
          <w:trHeight w:val="240"/>
          <w:jc w:val="center"/>
        </w:trPr>
        <w:tc>
          <w:tcPr>
            <w:tcW w:w="0" w:type="auto"/>
            <w:vMerge/>
            <w:tcBorders>
              <w:top w:val="nil"/>
              <w:left w:val="single" w:sz="4" w:space="0" w:color="auto"/>
              <w:bottom w:val="single" w:sz="4" w:space="0" w:color="000000"/>
              <w:right w:val="single" w:sz="4" w:space="0" w:color="auto"/>
            </w:tcBorders>
            <w:vAlign w:val="center"/>
          </w:tcPr>
          <w:p w:rsidR="00012172" w:rsidRDefault="00012172">
            <w:pPr>
              <w:rPr>
                <w:b/>
                <w:bCs/>
                <w:sz w:val="20"/>
                <w:szCs w:val="20"/>
              </w:rPr>
            </w:pPr>
          </w:p>
        </w:tc>
        <w:tc>
          <w:tcPr>
            <w:tcW w:w="928" w:type="dxa"/>
            <w:tcBorders>
              <w:top w:val="nil"/>
              <w:left w:val="nil"/>
              <w:bottom w:val="single" w:sz="4" w:space="0" w:color="auto"/>
              <w:right w:val="single" w:sz="4" w:space="0" w:color="auto"/>
            </w:tcBorders>
            <w:vAlign w:val="bottom"/>
          </w:tcPr>
          <w:p w:rsidR="00012172" w:rsidRDefault="00012172">
            <w:pPr>
              <w:jc w:val="center"/>
              <w:rPr>
                <w:rFonts w:ascii="Arial" w:hAnsi="Arial" w:cs="Arial"/>
                <w:b/>
                <w:bCs/>
                <w:sz w:val="20"/>
                <w:szCs w:val="20"/>
              </w:rPr>
            </w:pPr>
            <w:r>
              <w:rPr>
                <w:rFonts w:ascii="Arial" w:hAnsi="Arial" w:cs="Arial"/>
                <w:b/>
                <w:bCs/>
                <w:sz w:val="20"/>
                <w:szCs w:val="20"/>
              </w:rPr>
              <w:t>L</w:t>
            </w:r>
          </w:p>
        </w:tc>
        <w:tc>
          <w:tcPr>
            <w:tcW w:w="3715" w:type="dxa"/>
            <w:tcBorders>
              <w:top w:val="nil"/>
              <w:left w:val="nil"/>
              <w:bottom w:val="single" w:sz="4" w:space="0" w:color="auto"/>
              <w:right w:val="single" w:sz="4" w:space="0" w:color="auto"/>
            </w:tcBorders>
            <w:vAlign w:val="bottom"/>
          </w:tcPr>
          <w:p w:rsidR="00012172" w:rsidRDefault="00012172">
            <w:pPr>
              <w:rPr>
                <w:rFonts w:ascii="Arial" w:hAnsi="Arial" w:cs="Arial"/>
                <w:color w:val="000000"/>
                <w:sz w:val="20"/>
                <w:szCs w:val="20"/>
              </w:rPr>
            </w:pPr>
            <w:r>
              <w:rPr>
                <w:rFonts w:ascii="Arial" w:hAnsi="Arial" w:cs="Arial"/>
                <w:color w:val="000000"/>
                <w:sz w:val="20"/>
                <w:szCs w:val="20"/>
              </w:rPr>
              <w:t>Javna uprava, obvezno soc. osiguranje</w:t>
            </w:r>
          </w:p>
        </w:tc>
        <w:tc>
          <w:tcPr>
            <w:tcW w:w="720" w:type="dxa"/>
            <w:tcBorders>
              <w:top w:val="nil"/>
              <w:left w:val="nil"/>
              <w:bottom w:val="single" w:sz="4" w:space="0" w:color="auto"/>
              <w:right w:val="single" w:sz="4" w:space="0" w:color="auto"/>
            </w:tcBorders>
            <w:vAlign w:val="bottom"/>
          </w:tcPr>
          <w:p w:rsidR="00012172" w:rsidRDefault="00012172">
            <w:pPr>
              <w:jc w:val="center"/>
              <w:rPr>
                <w:sz w:val="20"/>
                <w:szCs w:val="20"/>
              </w:rPr>
            </w:pPr>
            <w:r>
              <w:rPr>
                <w:sz w:val="20"/>
                <w:szCs w:val="20"/>
              </w:rPr>
              <w:t>13</w:t>
            </w:r>
          </w:p>
        </w:tc>
        <w:tc>
          <w:tcPr>
            <w:tcW w:w="720" w:type="dxa"/>
            <w:tcBorders>
              <w:top w:val="nil"/>
              <w:left w:val="nil"/>
              <w:bottom w:val="single" w:sz="4" w:space="0" w:color="auto"/>
              <w:right w:val="single" w:sz="4" w:space="0" w:color="auto"/>
            </w:tcBorders>
            <w:vAlign w:val="bottom"/>
          </w:tcPr>
          <w:p w:rsidR="00012172" w:rsidRDefault="00012172">
            <w:pPr>
              <w:jc w:val="center"/>
              <w:rPr>
                <w:sz w:val="20"/>
                <w:szCs w:val="20"/>
              </w:rPr>
            </w:pPr>
            <w:r>
              <w:rPr>
                <w:sz w:val="20"/>
                <w:szCs w:val="20"/>
              </w:rPr>
              <w:t>1,5</w:t>
            </w:r>
          </w:p>
        </w:tc>
      </w:tr>
      <w:tr w:rsidR="00012172">
        <w:trPr>
          <w:cantSplit/>
          <w:trHeight w:val="240"/>
          <w:jc w:val="center"/>
        </w:trPr>
        <w:tc>
          <w:tcPr>
            <w:tcW w:w="0" w:type="auto"/>
            <w:vMerge/>
            <w:tcBorders>
              <w:top w:val="nil"/>
              <w:left w:val="single" w:sz="4" w:space="0" w:color="auto"/>
              <w:bottom w:val="single" w:sz="4" w:space="0" w:color="000000"/>
              <w:right w:val="single" w:sz="4" w:space="0" w:color="auto"/>
            </w:tcBorders>
            <w:vAlign w:val="center"/>
          </w:tcPr>
          <w:p w:rsidR="00012172" w:rsidRDefault="00012172">
            <w:pPr>
              <w:rPr>
                <w:b/>
                <w:bCs/>
                <w:sz w:val="20"/>
                <w:szCs w:val="20"/>
              </w:rPr>
            </w:pPr>
          </w:p>
        </w:tc>
        <w:tc>
          <w:tcPr>
            <w:tcW w:w="928" w:type="dxa"/>
            <w:tcBorders>
              <w:top w:val="nil"/>
              <w:left w:val="nil"/>
              <w:bottom w:val="single" w:sz="4" w:space="0" w:color="auto"/>
              <w:right w:val="single" w:sz="4" w:space="0" w:color="auto"/>
            </w:tcBorders>
            <w:vAlign w:val="bottom"/>
          </w:tcPr>
          <w:p w:rsidR="00012172" w:rsidRDefault="00012172">
            <w:pPr>
              <w:jc w:val="center"/>
              <w:rPr>
                <w:rFonts w:ascii="Arial" w:hAnsi="Arial" w:cs="Arial"/>
                <w:b/>
                <w:bCs/>
                <w:sz w:val="20"/>
                <w:szCs w:val="20"/>
              </w:rPr>
            </w:pPr>
            <w:r>
              <w:rPr>
                <w:rFonts w:ascii="Arial" w:hAnsi="Arial" w:cs="Arial"/>
                <w:b/>
                <w:bCs/>
                <w:sz w:val="20"/>
                <w:szCs w:val="20"/>
              </w:rPr>
              <w:t>N</w:t>
            </w:r>
          </w:p>
        </w:tc>
        <w:tc>
          <w:tcPr>
            <w:tcW w:w="3715" w:type="dxa"/>
            <w:tcBorders>
              <w:top w:val="nil"/>
              <w:left w:val="nil"/>
              <w:bottom w:val="single" w:sz="4" w:space="0" w:color="auto"/>
              <w:right w:val="single" w:sz="4" w:space="0" w:color="auto"/>
            </w:tcBorders>
            <w:vAlign w:val="bottom"/>
          </w:tcPr>
          <w:p w:rsidR="00012172" w:rsidRDefault="00012172">
            <w:pPr>
              <w:rPr>
                <w:rFonts w:ascii="Arial" w:hAnsi="Arial" w:cs="Arial"/>
                <w:color w:val="000000"/>
                <w:sz w:val="20"/>
                <w:szCs w:val="20"/>
              </w:rPr>
            </w:pPr>
            <w:r>
              <w:rPr>
                <w:rFonts w:ascii="Arial" w:hAnsi="Arial" w:cs="Arial"/>
                <w:color w:val="000000"/>
                <w:sz w:val="20"/>
                <w:szCs w:val="20"/>
              </w:rPr>
              <w:t>Zdravstvena zaštita i socijalna skrb</w:t>
            </w:r>
          </w:p>
        </w:tc>
        <w:tc>
          <w:tcPr>
            <w:tcW w:w="720" w:type="dxa"/>
            <w:tcBorders>
              <w:top w:val="nil"/>
              <w:left w:val="nil"/>
              <w:bottom w:val="single" w:sz="4" w:space="0" w:color="auto"/>
              <w:right w:val="single" w:sz="4" w:space="0" w:color="auto"/>
            </w:tcBorders>
            <w:vAlign w:val="bottom"/>
          </w:tcPr>
          <w:p w:rsidR="00012172" w:rsidRDefault="00012172">
            <w:pPr>
              <w:jc w:val="center"/>
              <w:rPr>
                <w:sz w:val="20"/>
                <w:szCs w:val="20"/>
              </w:rPr>
            </w:pPr>
            <w:r>
              <w:rPr>
                <w:sz w:val="20"/>
                <w:szCs w:val="20"/>
              </w:rPr>
              <w:t>9</w:t>
            </w:r>
          </w:p>
        </w:tc>
        <w:tc>
          <w:tcPr>
            <w:tcW w:w="720" w:type="dxa"/>
            <w:tcBorders>
              <w:top w:val="nil"/>
              <w:left w:val="nil"/>
              <w:bottom w:val="single" w:sz="4" w:space="0" w:color="auto"/>
              <w:right w:val="single" w:sz="4" w:space="0" w:color="auto"/>
            </w:tcBorders>
            <w:vAlign w:val="bottom"/>
          </w:tcPr>
          <w:p w:rsidR="00012172" w:rsidRDefault="00012172">
            <w:pPr>
              <w:jc w:val="center"/>
              <w:rPr>
                <w:sz w:val="20"/>
                <w:szCs w:val="20"/>
              </w:rPr>
            </w:pPr>
            <w:r>
              <w:rPr>
                <w:sz w:val="20"/>
                <w:szCs w:val="20"/>
              </w:rPr>
              <w:t>1,0</w:t>
            </w:r>
          </w:p>
        </w:tc>
      </w:tr>
      <w:tr w:rsidR="00012172">
        <w:trPr>
          <w:cantSplit/>
          <w:trHeight w:val="240"/>
          <w:jc w:val="center"/>
        </w:trPr>
        <w:tc>
          <w:tcPr>
            <w:tcW w:w="0" w:type="auto"/>
            <w:vMerge/>
            <w:tcBorders>
              <w:top w:val="nil"/>
              <w:left w:val="single" w:sz="4" w:space="0" w:color="auto"/>
              <w:bottom w:val="single" w:sz="4" w:space="0" w:color="000000"/>
              <w:right w:val="single" w:sz="4" w:space="0" w:color="auto"/>
            </w:tcBorders>
            <w:vAlign w:val="center"/>
          </w:tcPr>
          <w:p w:rsidR="00012172" w:rsidRDefault="00012172">
            <w:pPr>
              <w:rPr>
                <w:b/>
                <w:bCs/>
                <w:sz w:val="20"/>
                <w:szCs w:val="20"/>
              </w:rPr>
            </w:pPr>
          </w:p>
        </w:tc>
        <w:tc>
          <w:tcPr>
            <w:tcW w:w="928" w:type="dxa"/>
            <w:tcBorders>
              <w:top w:val="nil"/>
              <w:left w:val="nil"/>
              <w:bottom w:val="single" w:sz="4" w:space="0" w:color="auto"/>
              <w:right w:val="single" w:sz="4" w:space="0" w:color="auto"/>
            </w:tcBorders>
            <w:vAlign w:val="bottom"/>
          </w:tcPr>
          <w:p w:rsidR="00012172" w:rsidRDefault="00012172">
            <w:pPr>
              <w:jc w:val="center"/>
              <w:rPr>
                <w:rFonts w:ascii="Arial" w:hAnsi="Arial" w:cs="Arial"/>
                <w:sz w:val="20"/>
                <w:szCs w:val="20"/>
              </w:rPr>
            </w:pPr>
            <w:r>
              <w:rPr>
                <w:rFonts w:ascii="Arial" w:hAnsi="Arial" w:cs="Arial"/>
                <w:sz w:val="20"/>
                <w:szCs w:val="20"/>
              </w:rPr>
              <w:t> </w:t>
            </w:r>
          </w:p>
        </w:tc>
        <w:tc>
          <w:tcPr>
            <w:tcW w:w="3715" w:type="dxa"/>
            <w:tcBorders>
              <w:top w:val="nil"/>
              <w:left w:val="nil"/>
              <w:bottom w:val="single" w:sz="4" w:space="0" w:color="auto"/>
              <w:right w:val="single" w:sz="4" w:space="0" w:color="auto"/>
            </w:tcBorders>
            <w:vAlign w:val="bottom"/>
          </w:tcPr>
          <w:p w:rsidR="00012172" w:rsidRDefault="00012172">
            <w:pPr>
              <w:rPr>
                <w:rFonts w:ascii="Arial" w:hAnsi="Arial" w:cs="Arial"/>
                <w:color w:val="000000"/>
                <w:sz w:val="20"/>
                <w:szCs w:val="20"/>
              </w:rPr>
            </w:pPr>
            <w:r>
              <w:rPr>
                <w:rFonts w:ascii="Arial" w:hAnsi="Arial" w:cs="Arial"/>
                <w:color w:val="000000"/>
                <w:sz w:val="20"/>
                <w:szCs w:val="20"/>
              </w:rPr>
              <w:t>ostalo</w:t>
            </w:r>
          </w:p>
        </w:tc>
        <w:tc>
          <w:tcPr>
            <w:tcW w:w="720" w:type="dxa"/>
            <w:tcBorders>
              <w:top w:val="nil"/>
              <w:left w:val="nil"/>
              <w:bottom w:val="single" w:sz="4" w:space="0" w:color="auto"/>
              <w:right w:val="single" w:sz="4" w:space="0" w:color="auto"/>
            </w:tcBorders>
            <w:vAlign w:val="bottom"/>
          </w:tcPr>
          <w:p w:rsidR="00012172" w:rsidRDefault="00012172">
            <w:pPr>
              <w:jc w:val="center"/>
              <w:rPr>
                <w:sz w:val="20"/>
                <w:szCs w:val="20"/>
              </w:rPr>
            </w:pPr>
            <w:r>
              <w:rPr>
                <w:sz w:val="20"/>
                <w:szCs w:val="20"/>
              </w:rPr>
              <w:t>28</w:t>
            </w:r>
          </w:p>
        </w:tc>
        <w:tc>
          <w:tcPr>
            <w:tcW w:w="720" w:type="dxa"/>
            <w:tcBorders>
              <w:top w:val="nil"/>
              <w:left w:val="nil"/>
              <w:bottom w:val="single" w:sz="4" w:space="0" w:color="auto"/>
              <w:right w:val="single" w:sz="4" w:space="0" w:color="auto"/>
            </w:tcBorders>
            <w:vAlign w:val="bottom"/>
          </w:tcPr>
          <w:p w:rsidR="00012172" w:rsidRDefault="00012172">
            <w:pPr>
              <w:jc w:val="center"/>
              <w:rPr>
                <w:sz w:val="20"/>
                <w:szCs w:val="20"/>
              </w:rPr>
            </w:pPr>
            <w:r>
              <w:rPr>
                <w:sz w:val="20"/>
                <w:szCs w:val="20"/>
              </w:rPr>
              <w:t>3,2</w:t>
            </w:r>
          </w:p>
        </w:tc>
      </w:tr>
      <w:tr w:rsidR="00012172">
        <w:trPr>
          <w:cantSplit/>
          <w:trHeight w:val="240"/>
          <w:jc w:val="center"/>
        </w:trPr>
        <w:tc>
          <w:tcPr>
            <w:tcW w:w="0" w:type="auto"/>
            <w:vMerge/>
            <w:tcBorders>
              <w:top w:val="nil"/>
              <w:left w:val="single" w:sz="4" w:space="0" w:color="auto"/>
              <w:bottom w:val="single" w:sz="4" w:space="0" w:color="000000"/>
              <w:right w:val="single" w:sz="4" w:space="0" w:color="auto"/>
            </w:tcBorders>
            <w:vAlign w:val="center"/>
          </w:tcPr>
          <w:p w:rsidR="00012172" w:rsidRDefault="00012172">
            <w:pPr>
              <w:rPr>
                <w:b/>
                <w:bCs/>
                <w:sz w:val="20"/>
                <w:szCs w:val="20"/>
              </w:rPr>
            </w:pPr>
          </w:p>
        </w:tc>
        <w:tc>
          <w:tcPr>
            <w:tcW w:w="4643" w:type="dxa"/>
            <w:gridSpan w:val="2"/>
            <w:tcBorders>
              <w:top w:val="single" w:sz="4" w:space="0" w:color="auto"/>
              <w:left w:val="nil"/>
              <w:bottom w:val="single" w:sz="4" w:space="0" w:color="auto"/>
              <w:right w:val="single" w:sz="4" w:space="0" w:color="000000"/>
            </w:tcBorders>
            <w:vAlign w:val="bottom"/>
          </w:tcPr>
          <w:p w:rsidR="00012172" w:rsidRDefault="00012172">
            <w:pPr>
              <w:rPr>
                <w:rFonts w:ascii="Arial" w:hAnsi="Arial" w:cs="Arial"/>
                <w:sz w:val="20"/>
                <w:szCs w:val="20"/>
              </w:rPr>
            </w:pPr>
            <w:r>
              <w:rPr>
                <w:rFonts w:ascii="Arial" w:hAnsi="Arial" w:cs="Arial"/>
                <w:sz w:val="20"/>
                <w:szCs w:val="20"/>
              </w:rPr>
              <w:t>UKUPNO</w:t>
            </w:r>
          </w:p>
        </w:tc>
        <w:tc>
          <w:tcPr>
            <w:tcW w:w="720" w:type="dxa"/>
            <w:tcBorders>
              <w:top w:val="nil"/>
              <w:left w:val="nil"/>
              <w:bottom w:val="single" w:sz="4" w:space="0" w:color="auto"/>
              <w:right w:val="single" w:sz="4" w:space="0" w:color="auto"/>
            </w:tcBorders>
            <w:vAlign w:val="bottom"/>
          </w:tcPr>
          <w:p w:rsidR="00012172" w:rsidRDefault="00012172">
            <w:pPr>
              <w:jc w:val="center"/>
              <w:rPr>
                <w:b/>
                <w:bCs/>
                <w:color w:val="000000"/>
                <w:sz w:val="20"/>
                <w:szCs w:val="20"/>
              </w:rPr>
            </w:pPr>
            <w:r>
              <w:rPr>
                <w:b/>
                <w:bCs/>
                <w:color w:val="000000"/>
                <w:sz w:val="20"/>
                <w:szCs w:val="20"/>
              </w:rPr>
              <w:t>142</w:t>
            </w:r>
          </w:p>
        </w:tc>
        <w:tc>
          <w:tcPr>
            <w:tcW w:w="720" w:type="dxa"/>
            <w:tcBorders>
              <w:top w:val="nil"/>
              <w:left w:val="nil"/>
              <w:bottom w:val="single" w:sz="4" w:space="0" w:color="auto"/>
              <w:right w:val="single" w:sz="4" w:space="0" w:color="auto"/>
            </w:tcBorders>
            <w:vAlign w:val="bottom"/>
          </w:tcPr>
          <w:p w:rsidR="00012172" w:rsidRDefault="00012172">
            <w:pPr>
              <w:jc w:val="center"/>
              <w:rPr>
                <w:b/>
                <w:bCs/>
                <w:sz w:val="20"/>
                <w:szCs w:val="20"/>
              </w:rPr>
            </w:pPr>
            <w:r>
              <w:rPr>
                <w:b/>
                <w:bCs/>
                <w:sz w:val="20"/>
                <w:szCs w:val="20"/>
              </w:rPr>
              <w:t>16,5</w:t>
            </w:r>
          </w:p>
        </w:tc>
      </w:tr>
      <w:tr w:rsidR="00012172">
        <w:trPr>
          <w:trHeight w:val="240"/>
          <w:jc w:val="center"/>
        </w:trPr>
        <w:tc>
          <w:tcPr>
            <w:tcW w:w="5585" w:type="dxa"/>
            <w:gridSpan w:val="3"/>
            <w:tcBorders>
              <w:top w:val="single" w:sz="4" w:space="0" w:color="auto"/>
              <w:left w:val="single" w:sz="4" w:space="0" w:color="auto"/>
              <w:bottom w:val="single" w:sz="4" w:space="0" w:color="auto"/>
              <w:right w:val="single" w:sz="4" w:space="0" w:color="000000"/>
            </w:tcBorders>
            <w:vAlign w:val="bottom"/>
          </w:tcPr>
          <w:p w:rsidR="00012172" w:rsidRDefault="00012172">
            <w:pPr>
              <w:rPr>
                <w:rFonts w:ascii="Arial" w:hAnsi="Arial" w:cs="Arial"/>
                <w:sz w:val="20"/>
                <w:szCs w:val="20"/>
              </w:rPr>
            </w:pPr>
            <w:r>
              <w:rPr>
                <w:rFonts w:ascii="Arial" w:hAnsi="Arial" w:cs="Arial"/>
                <w:sz w:val="20"/>
                <w:szCs w:val="20"/>
              </w:rPr>
              <w:t>Nepoznato i u inozemstvu</w:t>
            </w:r>
          </w:p>
        </w:tc>
        <w:tc>
          <w:tcPr>
            <w:tcW w:w="720" w:type="dxa"/>
            <w:tcBorders>
              <w:top w:val="nil"/>
              <w:left w:val="nil"/>
              <w:bottom w:val="single" w:sz="4" w:space="0" w:color="auto"/>
              <w:right w:val="single" w:sz="4" w:space="0" w:color="auto"/>
            </w:tcBorders>
            <w:vAlign w:val="bottom"/>
          </w:tcPr>
          <w:p w:rsidR="00012172" w:rsidRDefault="00012172">
            <w:pPr>
              <w:jc w:val="center"/>
              <w:rPr>
                <w:color w:val="000000"/>
                <w:sz w:val="20"/>
                <w:szCs w:val="20"/>
              </w:rPr>
            </w:pPr>
            <w:r>
              <w:rPr>
                <w:color w:val="000000"/>
                <w:sz w:val="20"/>
                <w:szCs w:val="20"/>
              </w:rPr>
              <w:t>69</w:t>
            </w:r>
          </w:p>
        </w:tc>
        <w:tc>
          <w:tcPr>
            <w:tcW w:w="720" w:type="dxa"/>
            <w:tcBorders>
              <w:top w:val="nil"/>
              <w:left w:val="nil"/>
              <w:bottom w:val="single" w:sz="4" w:space="0" w:color="auto"/>
              <w:right w:val="single" w:sz="4" w:space="0" w:color="auto"/>
            </w:tcBorders>
            <w:vAlign w:val="bottom"/>
          </w:tcPr>
          <w:p w:rsidR="00012172" w:rsidRDefault="00012172">
            <w:pPr>
              <w:jc w:val="center"/>
              <w:rPr>
                <w:sz w:val="20"/>
                <w:szCs w:val="20"/>
              </w:rPr>
            </w:pPr>
            <w:r>
              <w:rPr>
                <w:sz w:val="20"/>
                <w:szCs w:val="20"/>
              </w:rPr>
              <w:t>8,0</w:t>
            </w:r>
          </w:p>
        </w:tc>
      </w:tr>
      <w:tr w:rsidR="00012172">
        <w:trPr>
          <w:trHeight w:val="240"/>
          <w:jc w:val="center"/>
        </w:trPr>
        <w:tc>
          <w:tcPr>
            <w:tcW w:w="5585" w:type="dxa"/>
            <w:gridSpan w:val="3"/>
            <w:tcBorders>
              <w:top w:val="single" w:sz="4" w:space="0" w:color="auto"/>
              <w:left w:val="single" w:sz="4" w:space="0" w:color="auto"/>
              <w:bottom w:val="single" w:sz="4" w:space="0" w:color="auto"/>
              <w:right w:val="single" w:sz="4" w:space="0" w:color="000000"/>
            </w:tcBorders>
            <w:vAlign w:val="bottom"/>
          </w:tcPr>
          <w:p w:rsidR="00012172" w:rsidRDefault="00012172">
            <w:pPr>
              <w:rPr>
                <w:rFonts w:ascii="Arial" w:hAnsi="Arial" w:cs="Arial"/>
                <w:sz w:val="20"/>
                <w:szCs w:val="20"/>
              </w:rPr>
            </w:pPr>
            <w:r>
              <w:rPr>
                <w:rFonts w:ascii="Arial" w:hAnsi="Arial" w:cs="Arial"/>
                <w:sz w:val="20"/>
                <w:szCs w:val="20"/>
              </w:rPr>
              <w:t>UKUPNO</w:t>
            </w:r>
          </w:p>
        </w:tc>
        <w:tc>
          <w:tcPr>
            <w:tcW w:w="720" w:type="dxa"/>
            <w:tcBorders>
              <w:top w:val="nil"/>
              <w:left w:val="nil"/>
              <w:bottom w:val="single" w:sz="4" w:space="0" w:color="auto"/>
              <w:right w:val="single" w:sz="4" w:space="0" w:color="auto"/>
            </w:tcBorders>
            <w:vAlign w:val="bottom"/>
          </w:tcPr>
          <w:p w:rsidR="00012172" w:rsidRDefault="00012172">
            <w:pPr>
              <w:jc w:val="center"/>
              <w:rPr>
                <w:b/>
                <w:bCs/>
                <w:color w:val="000000"/>
                <w:sz w:val="20"/>
                <w:szCs w:val="20"/>
              </w:rPr>
            </w:pPr>
            <w:r>
              <w:rPr>
                <w:b/>
                <w:bCs/>
                <w:color w:val="000000"/>
                <w:sz w:val="20"/>
                <w:szCs w:val="20"/>
              </w:rPr>
              <w:t>858</w:t>
            </w:r>
          </w:p>
        </w:tc>
        <w:tc>
          <w:tcPr>
            <w:tcW w:w="720" w:type="dxa"/>
            <w:tcBorders>
              <w:top w:val="nil"/>
              <w:left w:val="nil"/>
              <w:bottom w:val="single" w:sz="4" w:space="0" w:color="auto"/>
              <w:right w:val="single" w:sz="4" w:space="0" w:color="auto"/>
            </w:tcBorders>
            <w:vAlign w:val="bottom"/>
          </w:tcPr>
          <w:p w:rsidR="00012172" w:rsidRDefault="00012172">
            <w:pPr>
              <w:jc w:val="center"/>
              <w:rPr>
                <w:b/>
                <w:bCs/>
                <w:sz w:val="20"/>
                <w:szCs w:val="20"/>
              </w:rPr>
            </w:pPr>
            <w:r>
              <w:rPr>
                <w:b/>
                <w:bCs/>
                <w:sz w:val="20"/>
                <w:szCs w:val="20"/>
              </w:rPr>
              <w:t>100,0</w:t>
            </w:r>
          </w:p>
        </w:tc>
      </w:tr>
    </w:tbl>
    <w:p w:rsidR="00012172" w:rsidRDefault="00012172">
      <w:pPr>
        <w:pStyle w:val="Tekst"/>
        <w:spacing w:line="240" w:lineRule="auto"/>
        <w:ind w:firstLine="708"/>
        <w:rPr>
          <w:rFonts w:ascii="Arial" w:hAnsi="Arial" w:cs="Arial"/>
          <w:sz w:val="22"/>
          <w:lang w:val="hr-HR"/>
        </w:rPr>
      </w:pPr>
      <w:r>
        <w:rPr>
          <w:rFonts w:ascii="Arial" w:hAnsi="Arial" w:cs="Arial"/>
          <w:sz w:val="22"/>
          <w:lang w:val="hr-HR"/>
        </w:rPr>
        <w:t xml:space="preserve">     Izvor: Popis stanovništva 2001. </w:t>
      </w:r>
    </w:p>
    <w:p w:rsidR="00012172" w:rsidRDefault="00012172">
      <w:pPr>
        <w:jc w:val="both"/>
        <w:rPr>
          <w:rFonts w:ascii="Arial" w:hAnsi="Arial" w:cs="Arial"/>
          <w:sz w:val="22"/>
          <w:szCs w:val="22"/>
        </w:rPr>
      </w:pPr>
    </w:p>
    <w:p w:rsidR="00012172" w:rsidRDefault="00012172">
      <w:pPr>
        <w:jc w:val="both"/>
        <w:rPr>
          <w:rFonts w:ascii="Arial" w:hAnsi="Arial" w:cs="Arial"/>
          <w:sz w:val="22"/>
          <w:szCs w:val="22"/>
        </w:rPr>
      </w:pPr>
    </w:p>
    <w:p w:rsidR="00012172" w:rsidRDefault="00012172">
      <w:pPr>
        <w:jc w:val="both"/>
        <w:rPr>
          <w:rFonts w:ascii="Arial" w:hAnsi="Arial" w:cs="Arial"/>
          <w:sz w:val="22"/>
          <w:szCs w:val="22"/>
        </w:rPr>
      </w:pPr>
      <w:r>
        <w:rPr>
          <w:rFonts w:ascii="Arial" w:hAnsi="Arial" w:cs="Arial"/>
          <w:sz w:val="22"/>
          <w:szCs w:val="22"/>
        </w:rPr>
        <w:t>U inozemstvu su 2001. bile zaposlene 64 osobe.</w:t>
      </w:r>
    </w:p>
    <w:p w:rsidR="00012172" w:rsidRDefault="00012172">
      <w:pPr>
        <w:jc w:val="both"/>
        <w:rPr>
          <w:rFonts w:ascii="Arial" w:hAnsi="Arial" w:cs="Arial"/>
          <w:sz w:val="22"/>
          <w:szCs w:val="22"/>
        </w:rPr>
      </w:pPr>
    </w:p>
    <w:p w:rsidR="00012172" w:rsidRDefault="00012172">
      <w:pPr>
        <w:jc w:val="both"/>
        <w:rPr>
          <w:rFonts w:ascii="Arial" w:hAnsi="Arial" w:cs="Arial"/>
          <w:sz w:val="22"/>
          <w:szCs w:val="22"/>
        </w:rPr>
      </w:pPr>
    </w:p>
    <w:p w:rsidR="00012172" w:rsidRDefault="00012172">
      <w:pPr>
        <w:jc w:val="both"/>
        <w:rPr>
          <w:rFonts w:ascii="Arial" w:hAnsi="Arial" w:cs="Arial"/>
          <w:sz w:val="22"/>
          <w:szCs w:val="22"/>
        </w:rPr>
      </w:pPr>
    </w:p>
    <w:p w:rsidR="00012172" w:rsidRDefault="00012172">
      <w:pPr>
        <w:pStyle w:val="Opisslike"/>
        <w:rPr>
          <w:rFonts w:ascii="Times New Roman" w:hAnsi="Times New Roman"/>
          <w:b/>
          <w:sz w:val="22"/>
        </w:rPr>
      </w:pPr>
      <w:bookmarkStart w:id="17" w:name="_Toc132763256"/>
      <w:r>
        <w:rPr>
          <w:rFonts w:ascii="Times New Roman" w:hAnsi="Times New Roman"/>
          <w:b/>
          <w:sz w:val="22"/>
        </w:rPr>
        <w:t xml:space="preserve">Tablica </w:t>
      </w:r>
      <w:r>
        <w:rPr>
          <w:rFonts w:ascii="Times New Roman" w:hAnsi="Times New Roman"/>
          <w:b/>
          <w:sz w:val="22"/>
        </w:rPr>
        <w:fldChar w:fldCharType="begin"/>
      </w:r>
      <w:r>
        <w:rPr>
          <w:rFonts w:ascii="Times New Roman" w:hAnsi="Times New Roman"/>
          <w:b/>
          <w:sz w:val="22"/>
        </w:rPr>
        <w:instrText xml:space="preserve"> SEQ Tablica \* ARABIC </w:instrText>
      </w:r>
      <w:r>
        <w:rPr>
          <w:rFonts w:ascii="Times New Roman" w:hAnsi="Times New Roman"/>
          <w:b/>
          <w:sz w:val="22"/>
        </w:rPr>
        <w:fldChar w:fldCharType="separate"/>
      </w:r>
      <w:r w:rsidR="002B1815">
        <w:rPr>
          <w:rFonts w:ascii="Times New Roman" w:hAnsi="Times New Roman"/>
          <w:b/>
          <w:noProof/>
          <w:sz w:val="22"/>
        </w:rPr>
        <w:t>6</w:t>
      </w:r>
      <w:r>
        <w:rPr>
          <w:rFonts w:ascii="Times New Roman" w:hAnsi="Times New Roman"/>
          <w:b/>
          <w:sz w:val="22"/>
        </w:rPr>
        <w:fldChar w:fldCharType="end"/>
      </w:r>
      <w:r>
        <w:rPr>
          <w:rFonts w:ascii="Times New Roman" w:hAnsi="Times New Roman"/>
          <w:b/>
          <w:sz w:val="22"/>
        </w:rPr>
        <w:t>: Uzdržavano poljoprivredno stanovništvo 2001.</w:t>
      </w:r>
      <w:bookmarkEnd w:id="17"/>
      <w:r>
        <w:rPr>
          <w:rFonts w:ascii="Times New Roman" w:hAnsi="Times New Roman"/>
          <w:b/>
          <w:sz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4"/>
        <w:gridCol w:w="1154"/>
        <w:gridCol w:w="1146"/>
        <w:gridCol w:w="1147"/>
        <w:gridCol w:w="1155"/>
        <w:gridCol w:w="1151"/>
        <w:gridCol w:w="1151"/>
        <w:gridCol w:w="1240"/>
      </w:tblGrid>
      <w:tr w:rsidR="00012172">
        <w:trPr>
          <w:jc w:val="center"/>
        </w:trPr>
        <w:tc>
          <w:tcPr>
            <w:tcW w:w="9288" w:type="dxa"/>
            <w:gridSpan w:val="8"/>
          </w:tcPr>
          <w:p w:rsidR="00012172" w:rsidRDefault="00012172">
            <w:pPr>
              <w:jc w:val="center"/>
              <w:rPr>
                <w:rFonts w:ascii="Arial" w:hAnsi="Arial" w:cs="Arial"/>
                <w:sz w:val="20"/>
                <w:szCs w:val="20"/>
              </w:rPr>
            </w:pPr>
            <w:r>
              <w:rPr>
                <w:rFonts w:ascii="Arial" w:hAnsi="Arial" w:cs="Arial"/>
                <w:sz w:val="20"/>
                <w:szCs w:val="20"/>
              </w:rPr>
              <w:t>Uzdržavano poljoprivredno stanovništvo</w:t>
            </w:r>
          </w:p>
        </w:tc>
      </w:tr>
      <w:tr w:rsidR="00012172">
        <w:trPr>
          <w:cantSplit/>
          <w:trHeight w:val="480"/>
          <w:jc w:val="center"/>
        </w:trPr>
        <w:tc>
          <w:tcPr>
            <w:tcW w:w="1144" w:type="dxa"/>
            <w:vMerge w:val="restart"/>
            <w:vAlign w:val="center"/>
          </w:tcPr>
          <w:p w:rsidR="00012172" w:rsidRDefault="00012172">
            <w:pPr>
              <w:jc w:val="center"/>
              <w:rPr>
                <w:rFonts w:ascii="Arial" w:hAnsi="Arial" w:cs="Arial"/>
                <w:sz w:val="20"/>
                <w:szCs w:val="20"/>
              </w:rPr>
            </w:pPr>
            <w:r>
              <w:rPr>
                <w:rFonts w:ascii="Arial" w:hAnsi="Arial" w:cs="Arial"/>
                <w:sz w:val="20"/>
                <w:szCs w:val="20"/>
              </w:rPr>
              <w:t>svega</w:t>
            </w:r>
          </w:p>
        </w:tc>
        <w:tc>
          <w:tcPr>
            <w:tcW w:w="1154" w:type="dxa"/>
            <w:vMerge w:val="restart"/>
            <w:vAlign w:val="center"/>
          </w:tcPr>
          <w:p w:rsidR="00012172" w:rsidRDefault="00012172">
            <w:pPr>
              <w:jc w:val="center"/>
              <w:rPr>
                <w:rFonts w:ascii="Arial" w:hAnsi="Arial" w:cs="Arial"/>
                <w:sz w:val="20"/>
                <w:szCs w:val="20"/>
              </w:rPr>
            </w:pPr>
            <w:r>
              <w:rPr>
                <w:rFonts w:ascii="Arial" w:hAnsi="Arial" w:cs="Arial"/>
                <w:sz w:val="20"/>
                <w:szCs w:val="20"/>
              </w:rPr>
              <w:t>kućanice</w:t>
            </w:r>
          </w:p>
        </w:tc>
        <w:tc>
          <w:tcPr>
            <w:tcW w:w="1146" w:type="dxa"/>
            <w:vMerge w:val="restart"/>
            <w:vAlign w:val="center"/>
          </w:tcPr>
          <w:p w:rsidR="00012172" w:rsidRDefault="00012172">
            <w:pPr>
              <w:jc w:val="center"/>
              <w:rPr>
                <w:rFonts w:ascii="Arial" w:hAnsi="Arial" w:cs="Arial"/>
                <w:sz w:val="20"/>
                <w:szCs w:val="20"/>
              </w:rPr>
            </w:pPr>
            <w:r>
              <w:rPr>
                <w:rFonts w:ascii="Arial" w:hAnsi="Arial" w:cs="Arial"/>
                <w:sz w:val="20"/>
                <w:szCs w:val="20"/>
              </w:rPr>
              <w:t>djeca od 0-6 godina</w:t>
            </w:r>
          </w:p>
        </w:tc>
        <w:tc>
          <w:tcPr>
            <w:tcW w:w="1147" w:type="dxa"/>
            <w:vMerge w:val="restart"/>
            <w:vAlign w:val="center"/>
          </w:tcPr>
          <w:p w:rsidR="00012172" w:rsidRDefault="00012172">
            <w:pPr>
              <w:jc w:val="center"/>
              <w:rPr>
                <w:rFonts w:ascii="Arial" w:hAnsi="Arial" w:cs="Arial"/>
                <w:sz w:val="20"/>
                <w:szCs w:val="20"/>
              </w:rPr>
            </w:pPr>
            <w:r>
              <w:rPr>
                <w:rFonts w:ascii="Arial" w:hAnsi="Arial" w:cs="Arial"/>
                <w:sz w:val="20"/>
                <w:szCs w:val="20"/>
              </w:rPr>
              <w:t>djeca od 7-14 godina koja se školuju</w:t>
            </w:r>
          </w:p>
        </w:tc>
        <w:tc>
          <w:tcPr>
            <w:tcW w:w="2306" w:type="dxa"/>
            <w:gridSpan w:val="2"/>
            <w:vAlign w:val="center"/>
          </w:tcPr>
          <w:p w:rsidR="00012172" w:rsidRDefault="00012172">
            <w:pPr>
              <w:jc w:val="center"/>
              <w:rPr>
                <w:rFonts w:ascii="Arial" w:hAnsi="Arial" w:cs="Arial"/>
                <w:sz w:val="20"/>
                <w:szCs w:val="20"/>
              </w:rPr>
            </w:pPr>
            <w:r>
              <w:rPr>
                <w:rFonts w:ascii="Arial" w:hAnsi="Arial" w:cs="Arial"/>
                <w:sz w:val="20"/>
                <w:szCs w:val="20"/>
              </w:rPr>
              <w:t>učenici</w:t>
            </w:r>
          </w:p>
        </w:tc>
        <w:tc>
          <w:tcPr>
            <w:tcW w:w="1151" w:type="dxa"/>
            <w:vMerge w:val="restart"/>
            <w:vAlign w:val="center"/>
          </w:tcPr>
          <w:p w:rsidR="00012172" w:rsidRDefault="00012172">
            <w:pPr>
              <w:jc w:val="center"/>
              <w:rPr>
                <w:rFonts w:ascii="Arial" w:hAnsi="Arial" w:cs="Arial"/>
                <w:sz w:val="20"/>
                <w:szCs w:val="20"/>
              </w:rPr>
            </w:pPr>
            <w:r>
              <w:rPr>
                <w:rFonts w:ascii="Arial" w:hAnsi="Arial" w:cs="Arial"/>
                <w:sz w:val="20"/>
                <w:szCs w:val="20"/>
              </w:rPr>
              <w:t>studenti</w:t>
            </w:r>
          </w:p>
        </w:tc>
        <w:tc>
          <w:tcPr>
            <w:tcW w:w="1240" w:type="dxa"/>
            <w:vMerge w:val="restart"/>
            <w:vAlign w:val="center"/>
          </w:tcPr>
          <w:p w:rsidR="00012172" w:rsidRDefault="00012172">
            <w:pPr>
              <w:jc w:val="center"/>
              <w:rPr>
                <w:rFonts w:ascii="Arial" w:hAnsi="Arial" w:cs="Arial"/>
                <w:sz w:val="20"/>
                <w:szCs w:val="20"/>
              </w:rPr>
            </w:pPr>
            <w:r>
              <w:rPr>
                <w:rFonts w:ascii="Arial" w:hAnsi="Arial" w:cs="Arial"/>
                <w:sz w:val="20"/>
                <w:szCs w:val="20"/>
              </w:rPr>
              <w:t>nesposobni za rad</w:t>
            </w:r>
          </w:p>
        </w:tc>
      </w:tr>
      <w:tr w:rsidR="00012172">
        <w:trPr>
          <w:cantSplit/>
          <w:trHeight w:val="675"/>
          <w:jc w:val="center"/>
        </w:trPr>
        <w:tc>
          <w:tcPr>
            <w:tcW w:w="1144" w:type="dxa"/>
            <w:vMerge/>
            <w:vAlign w:val="center"/>
          </w:tcPr>
          <w:p w:rsidR="00012172" w:rsidRDefault="00012172">
            <w:pPr>
              <w:jc w:val="center"/>
              <w:rPr>
                <w:rFonts w:ascii="Arial" w:hAnsi="Arial" w:cs="Arial"/>
                <w:sz w:val="20"/>
                <w:szCs w:val="20"/>
              </w:rPr>
            </w:pPr>
          </w:p>
        </w:tc>
        <w:tc>
          <w:tcPr>
            <w:tcW w:w="1154" w:type="dxa"/>
            <w:vMerge/>
            <w:vAlign w:val="center"/>
          </w:tcPr>
          <w:p w:rsidR="00012172" w:rsidRDefault="00012172">
            <w:pPr>
              <w:jc w:val="center"/>
              <w:rPr>
                <w:rFonts w:ascii="Arial" w:hAnsi="Arial" w:cs="Arial"/>
                <w:sz w:val="20"/>
                <w:szCs w:val="20"/>
              </w:rPr>
            </w:pPr>
          </w:p>
        </w:tc>
        <w:tc>
          <w:tcPr>
            <w:tcW w:w="1146" w:type="dxa"/>
            <w:vMerge/>
            <w:vAlign w:val="center"/>
          </w:tcPr>
          <w:p w:rsidR="00012172" w:rsidRDefault="00012172">
            <w:pPr>
              <w:jc w:val="center"/>
              <w:rPr>
                <w:rFonts w:ascii="Arial" w:hAnsi="Arial" w:cs="Arial"/>
                <w:sz w:val="20"/>
                <w:szCs w:val="20"/>
              </w:rPr>
            </w:pPr>
          </w:p>
        </w:tc>
        <w:tc>
          <w:tcPr>
            <w:tcW w:w="1147" w:type="dxa"/>
            <w:vMerge/>
            <w:vAlign w:val="center"/>
          </w:tcPr>
          <w:p w:rsidR="00012172" w:rsidRDefault="00012172">
            <w:pPr>
              <w:jc w:val="center"/>
              <w:rPr>
                <w:rFonts w:ascii="Arial" w:hAnsi="Arial" w:cs="Arial"/>
                <w:sz w:val="20"/>
                <w:szCs w:val="20"/>
              </w:rPr>
            </w:pPr>
          </w:p>
        </w:tc>
        <w:tc>
          <w:tcPr>
            <w:tcW w:w="1155" w:type="dxa"/>
            <w:vAlign w:val="center"/>
          </w:tcPr>
          <w:p w:rsidR="00012172" w:rsidRDefault="00012172">
            <w:pPr>
              <w:jc w:val="center"/>
              <w:rPr>
                <w:rFonts w:ascii="Arial" w:hAnsi="Arial" w:cs="Arial"/>
                <w:sz w:val="20"/>
                <w:szCs w:val="20"/>
              </w:rPr>
            </w:pPr>
            <w:r>
              <w:rPr>
                <w:rFonts w:ascii="Arial" w:hAnsi="Arial" w:cs="Arial"/>
                <w:sz w:val="20"/>
                <w:szCs w:val="20"/>
              </w:rPr>
              <w:t>osnovnih škola</w:t>
            </w:r>
          </w:p>
        </w:tc>
        <w:tc>
          <w:tcPr>
            <w:tcW w:w="1151" w:type="dxa"/>
            <w:vAlign w:val="center"/>
          </w:tcPr>
          <w:p w:rsidR="00012172" w:rsidRDefault="00012172">
            <w:pPr>
              <w:jc w:val="center"/>
              <w:rPr>
                <w:rFonts w:ascii="Arial" w:hAnsi="Arial" w:cs="Arial"/>
                <w:sz w:val="20"/>
                <w:szCs w:val="20"/>
              </w:rPr>
            </w:pPr>
            <w:r>
              <w:rPr>
                <w:rFonts w:ascii="Arial" w:hAnsi="Arial" w:cs="Arial"/>
                <w:sz w:val="20"/>
                <w:szCs w:val="20"/>
              </w:rPr>
              <w:t>srednjih škola</w:t>
            </w:r>
          </w:p>
        </w:tc>
        <w:tc>
          <w:tcPr>
            <w:tcW w:w="1151" w:type="dxa"/>
            <w:vMerge/>
          </w:tcPr>
          <w:p w:rsidR="00012172" w:rsidRDefault="00012172">
            <w:pPr>
              <w:rPr>
                <w:rFonts w:ascii="Arial" w:hAnsi="Arial" w:cs="Arial"/>
                <w:sz w:val="20"/>
                <w:szCs w:val="20"/>
              </w:rPr>
            </w:pPr>
          </w:p>
        </w:tc>
        <w:tc>
          <w:tcPr>
            <w:tcW w:w="1240" w:type="dxa"/>
            <w:vMerge/>
          </w:tcPr>
          <w:p w:rsidR="00012172" w:rsidRDefault="00012172">
            <w:pPr>
              <w:rPr>
                <w:rFonts w:ascii="Arial" w:hAnsi="Arial" w:cs="Arial"/>
                <w:sz w:val="20"/>
                <w:szCs w:val="20"/>
              </w:rPr>
            </w:pPr>
          </w:p>
        </w:tc>
      </w:tr>
      <w:tr w:rsidR="00012172">
        <w:trPr>
          <w:jc w:val="center"/>
        </w:trPr>
        <w:tc>
          <w:tcPr>
            <w:tcW w:w="1144" w:type="dxa"/>
            <w:vAlign w:val="center"/>
          </w:tcPr>
          <w:p w:rsidR="00012172" w:rsidRDefault="00012172">
            <w:pPr>
              <w:jc w:val="center"/>
              <w:rPr>
                <w:rFonts w:ascii="Arial" w:hAnsi="Arial" w:cs="Arial"/>
                <w:sz w:val="22"/>
                <w:szCs w:val="22"/>
              </w:rPr>
            </w:pPr>
            <w:r>
              <w:rPr>
                <w:rFonts w:ascii="Arial" w:hAnsi="Arial" w:cs="Arial"/>
                <w:sz w:val="22"/>
                <w:szCs w:val="22"/>
              </w:rPr>
              <w:t>200</w:t>
            </w:r>
          </w:p>
        </w:tc>
        <w:tc>
          <w:tcPr>
            <w:tcW w:w="1154" w:type="dxa"/>
            <w:vAlign w:val="center"/>
          </w:tcPr>
          <w:p w:rsidR="00012172" w:rsidRDefault="00012172">
            <w:pPr>
              <w:jc w:val="center"/>
              <w:rPr>
                <w:rFonts w:ascii="Arial" w:hAnsi="Arial" w:cs="Arial"/>
                <w:sz w:val="22"/>
                <w:szCs w:val="22"/>
              </w:rPr>
            </w:pPr>
            <w:r>
              <w:rPr>
                <w:rFonts w:ascii="Arial" w:hAnsi="Arial" w:cs="Arial"/>
                <w:sz w:val="22"/>
                <w:szCs w:val="22"/>
              </w:rPr>
              <w:t>49</w:t>
            </w:r>
          </w:p>
        </w:tc>
        <w:tc>
          <w:tcPr>
            <w:tcW w:w="1146" w:type="dxa"/>
            <w:vAlign w:val="center"/>
          </w:tcPr>
          <w:p w:rsidR="00012172" w:rsidRDefault="00012172">
            <w:pPr>
              <w:jc w:val="center"/>
              <w:rPr>
                <w:rFonts w:ascii="Arial" w:hAnsi="Arial" w:cs="Arial"/>
                <w:sz w:val="22"/>
                <w:szCs w:val="22"/>
              </w:rPr>
            </w:pPr>
            <w:r>
              <w:rPr>
                <w:rFonts w:ascii="Arial" w:hAnsi="Arial" w:cs="Arial"/>
                <w:sz w:val="22"/>
                <w:szCs w:val="22"/>
              </w:rPr>
              <w:t>59</w:t>
            </w:r>
          </w:p>
        </w:tc>
        <w:tc>
          <w:tcPr>
            <w:tcW w:w="1147" w:type="dxa"/>
            <w:vAlign w:val="center"/>
          </w:tcPr>
          <w:p w:rsidR="00012172" w:rsidRDefault="00012172">
            <w:pPr>
              <w:jc w:val="center"/>
              <w:rPr>
                <w:rFonts w:ascii="Arial" w:hAnsi="Arial" w:cs="Arial"/>
                <w:sz w:val="22"/>
                <w:szCs w:val="22"/>
              </w:rPr>
            </w:pPr>
            <w:r>
              <w:rPr>
                <w:rFonts w:ascii="Arial" w:hAnsi="Arial" w:cs="Arial"/>
                <w:sz w:val="22"/>
                <w:szCs w:val="22"/>
              </w:rPr>
              <w:t>1</w:t>
            </w:r>
          </w:p>
        </w:tc>
        <w:tc>
          <w:tcPr>
            <w:tcW w:w="1155" w:type="dxa"/>
            <w:vAlign w:val="center"/>
          </w:tcPr>
          <w:p w:rsidR="00012172" w:rsidRDefault="00012172">
            <w:pPr>
              <w:jc w:val="center"/>
              <w:rPr>
                <w:rFonts w:ascii="Arial" w:hAnsi="Arial" w:cs="Arial"/>
                <w:sz w:val="22"/>
                <w:szCs w:val="22"/>
              </w:rPr>
            </w:pPr>
            <w:r>
              <w:rPr>
                <w:rFonts w:ascii="Arial" w:hAnsi="Arial" w:cs="Arial"/>
                <w:sz w:val="22"/>
                <w:szCs w:val="22"/>
              </w:rPr>
              <w:t>40</w:t>
            </w:r>
          </w:p>
        </w:tc>
        <w:tc>
          <w:tcPr>
            <w:tcW w:w="1151" w:type="dxa"/>
            <w:vAlign w:val="center"/>
          </w:tcPr>
          <w:p w:rsidR="00012172" w:rsidRDefault="00012172">
            <w:pPr>
              <w:jc w:val="center"/>
              <w:rPr>
                <w:rFonts w:ascii="Arial" w:hAnsi="Arial" w:cs="Arial"/>
                <w:sz w:val="22"/>
                <w:szCs w:val="22"/>
              </w:rPr>
            </w:pPr>
            <w:r>
              <w:rPr>
                <w:rFonts w:ascii="Arial" w:hAnsi="Arial" w:cs="Arial"/>
                <w:sz w:val="22"/>
                <w:szCs w:val="22"/>
              </w:rPr>
              <w:t>14</w:t>
            </w:r>
          </w:p>
        </w:tc>
        <w:tc>
          <w:tcPr>
            <w:tcW w:w="1151" w:type="dxa"/>
            <w:vAlign w:val="center"/>
          </w:tcPr>
          <w:p w:rsidR="00012172" w:rsidRDefault="00012172">
            <w:pPr>
              <w:jc w:val="center"/>
              <w:rPr>
                <w:rFonts w:ascii="Arial" w:hAnsi="Arial" w:cs="Arial"/>
                <w:sz w:val="22"/>
                <w:szCs w:val="22"/>
              </w:rPr>
            </w:pPr>
            <w:r>
              <w:rPr>
                <w:rFonts w:ascii="Arial" w:hAnsi="Arial" w:cs="Arial"/>
                <w:sz w:val="22"/>
                <w:szCs w:val="22"/>
              </w:rPr>
              <w:t>2</w:t>
            </w:r>
          </w:p>
        </w:tc>
        <w:tc>
          <w:tcPr>
            <w:tcW w:w="1240" w:type="dxa"/>
            <w:vAlign w:val="center"/>
          </w:tcPr>
          <w:p w:rsidR="00012172" w:rsidRDefault="00012172">
            <w:pPr>
              <w:jc w:val="center"/>
              <w:rPr>
                <w:rFonts w:ascii="Arial" w:hAnsi="Arial" w:cs="Arial"/>
                <w:sz w:val="22"/>
                <w:szCs w:val="22"/>
              </w:rPr>
            </w:pPr>
            <w:r>
              <w:rPr>
                <w:rFonts w:ascii="Arial" w:hAnsi="Arial" w:cs="Arial"/>
                <w:sz w:val="22"/>
                <w:szCs w:val="22"/>
              </w:rPr>
              <w:t>38</w:t>
            </w:r>
          </w:p>
        </w:tc>
      </w:tr>
    </w:tbl>
    <w:p w:rsidR="00012172" w:rsidRDefault="00012172">
      <w:pPr>
        <w:pStyle w:val="Opisslike"/>
        <w:rPr>
          <w:b/>
          <w:bCs w:val="0"/>
        </w:rPr>
      </w:pPr>
    </w:p>
    <w:p w:rsidR="00012172" w:rsidRDefault="00012172"/>
    <w:p w:rsidR="00012172" w:rsidRDefault="00012172"/>
    <w:p w:rsidR="00012172" w:rsidRDefault="00012172"/>
    <w:p w:rsidR="00012172" w:rsidRDefault="00012172"/>
    <w:p w:rsidR="00012172" w:rsidRDefault="00012172"/>
    <w:p w:rsidR="00012172" w:rsidRDefault="00012172"/>
    <w:p w:rsidR="00012172" w:rsidRDefault="00012172"/>
    <w:p w:rsidR="00012172" w:rsidRDefault="00012172"/>
    <w:p w:rsidR="00012172" w:rsidRDefault="00012172"/>
    <w:p w:rsidR="00012172" w:rsidRDefault="00012172"/>
    <w:p w:rsidR="00012172" w:rsidRDefault="00012172"/>
    <w:p w:rsidR="00012172" w:rsidRDefault="00012172"/>
    <w:p w:rsidR="00012172" w:rsidRDefault="00012172"/>
    <w:p w:rsidR="00012172" w:rsidRDefault="00012172"/>
    <w:p w:rsidR="00012172" w:rsidRDefault="00012172"/>
    <w:p w:rsidR="00012172" w:rsidRDefault="00012172"/>
    <w:p w:rsidR="00012172" w:rsidRDefault="00012172">
      <w:pPr>
        <w:pStyle w:val="Naslov3"/>
        <w:rPr>
          <w:rFonts w:ascii="Times New Roman" w:hAnsi="Times New Roman" w:cs="Times New Roman"/>
        </w:rPr>
      </w:pPr>
      <w:bookmarkStart w:id="18" w:name="_Toc95140579"/>
      <w:r>
        <w:rPr>
          <w:rFonts w:ascii="Times New Roman" w:hAnsi="Times New Roman" w:cs="Times New Roman"/>
        </w:rPr>
        <w:lastRenderedPageBreak/>
        <w:t>1.1.2.4. Komunalna infrastruktura</w:t>
      </w:r>
      <w:bookmarkEnd w:id="18"/>
    </w:p>
    <w:p w:rsidR="00012172" w:rsidRDefault="00012172">
      <w:pPr>
        <w:jc w:val="both"/>
        <w:rPr>
          <w:rFonts w:ascii="Arial" w:hAnsi="Arial"/>
          <w:b/>
          <w:sz w:val="22"/>
          <w:szCs w:val="22"/>
        </w:rPr>
      </w:pPr>
    </w:p>
    <w:p w:rsidR="00012172" w:rsidRDefault="00012172">
      <w:pPr>
        <w:numPr>
          <w:ilvl w:val="0"/>
          <w:numId w:val="3"/>
        </w:numPr>
        <w:jc w:val="both"/>
        <w:rPr>
          <w:rFonts w:ascii="Arial" w:hAnsi="Arial"/>
          <w:b/>
          <w:sz w:val="22"/>
          <w:szCs w:val="22"/>
        </w:rPr>
      </w:pPr>
      <w:r>
        <w:rPr>
          <w:rFonts w:ascii="Arial" w:hAnsi="Arial"/>
          <w:b/>
          <w:sz w:val="22"/>
          <w:szCs w:val="22"/>
        </w:rPr>
        <w:t>Prometni sustav</w:t>
      </w:r>
    </w:p>
    <w:p w:rsidR="00012172" w:rsidRDefault="00012172">
      <w:pPr>
        <w:jc w:val="both"/>
        <w:rPr>
          <w:rFonts w:ascii="Arial" w:hAnsi="Arial" w:cs="Arial"/>
          <w:b/>
          <w:sz w:val="22"/>
          <w:szCs w:val="22"/>
        </w:rPr>
      </w:pPr>
    </w:p>
    <w:p w:rsidR="00012172" w:rsidRDefault="00012172">
      <w:pPr>
        <w:jc w:val="both"/>
        <w:rPr>
          <w:rFonts w:ascii="Arial" w:hAnsi="Arial" w:cs="Arial"/>
          <w:sz w:val="22"/>
          <w:szCs w:val="22"/>
        </w:rPr>
      </w:pPr>
      <w:r>
        <w:rPr>
          <w:rFonts w:ascii="Arial" w:hAnsi="Arial" w:cs="Arial"/>
          <w:b/>
          <w:sz w:val="22"/>
          <w:szCs w:val="22"/>
        </w:rPr>
        <w:t>Cestovni promet</w:t>
      </w:r>
    </w:p>
    <w:p w:rsidR="00012172" w:rsidRDefault="00012172">
      <w:pPr>
        <w:rPr>
          <w:rFonts w:ascii="Arial" w:hAnsi="Arial" w:cs="Arial"/>
        </w:rPr>
      </w:pPr>
      <w:r>
        <w:rPr>
          <w:rFonts w:ascii="Arial" w:hAnsi="Arial" w:cs="Arial"/>
        </w:rPr>
        <w:t>Područjem općine pružaju se sljedeći cestovni pravci:</w:t>
      </w:r>
    </w:p>
    <w:p w:rsidR="00012172" w:rsidRDefault="00012172">
      <w:pPr>
        <w:pStyle w:val="StandardWeb"/>
        <w:spacing w:before="0" w:beforeAutospacing="0" w:after="0" w:afterAutospacing="0"/>
        <w:rPr>
          <w:rFonts w:ascii="Arial" w:hAnsi="Arial" w:cs="Arial"/>
        </w:rPr>
      </w:pPr>
    </w:p>
    <w:p w:rsidR="00012172" w:rsidRDefault="00012172">
      <w:pPr>
        <w:pStyle w:val="Opisslike"/>
        <w:rPr>
          <w:b/>
          <w:bCs w:val="0"/>
          <w:sz w:val="22"/>
        </w:rPr>
      </w:pPr>
      <w:bookmarkStart w:id="19" w:name="_Toc97426171"/>
      <w:bookmarkStart w:id="20" w:name="_Toc132763257"/>
      <w:r>
        <w:rPr>
          <w:b/>
          <w:bCs w:val="0"/>
          <w:sz w:val="22"/>
        </w:rPr>
        <w:t xml:space="preserve">Tablica </w:t>
      </w:r>
      <w:r>
        <w:rPr>
          <w:b/>
          <w:bCs w:val="0"/>
          <w:sz w:val="22"/>
        </w:rPr>
        <w:fldChar w:fldCharType="begin"/>
      </w:r>
      <w:r>
        <w:rPr>
          <w:b/>
          <w:bCs w:val="0"/>
          <w:sz w:val="22"/>
        </w:rPr>
        <w:instrText xml:space="preserve"> SEQ Tablica \* ARABIC </w:instrText>
      </w:r>
      <w:r>
        <w:rPr>
          <w:b/>
          <w:bCs w:val="0"/>
          <w:sz w:val="22"/>
        </w:rPr>
        <w:fldChar w:fldCharType="separate"/>
      </w:r>
      <w:r w:rsidR="002B1815">
        <w:rPr>
          <w:b/>
          <w:bCs w:val="0"/>
          <w:noProof/>
          <w:sz w:val="22"/>
        </w:rPr>
        <w:t>7</w:t>
      </w:r>
      <w:r>
        <w:rPr>
          <w:b/>
          <w:bCs w:val="0"/>
          <w:sz w:val="22"/>
        </w:rPr>
        <w:fldChar w:fldCharType="end"/>
      </w:r>
      <w:r>
        <w:rPr>
          <w:b/>
          <w:bCs w:val="0"/>
          <w:sz w:val="22"/>
        </w:rPr>
        <w:t xml:space="preserve">: Ceste u općini </w:t>
      </w:r>
      <w:bookmarkEnd w:id="19"/>
      <w:r>
        <w:rPr>
          <w:b/>
          <w:bCs w:val="0"/>
          <w:sz w:val="22"/>
        </w:rPr>
        <w:t>Gornja Rijeka</w:t>
      </w:r>
      <w:bookmarkEnd w:id="20"/>
    </w:p>
    <w:tbl>
      <w:tblPr>
        <w:tblW w:w="9144" w:type="dxa"/>
        <w:jc w:val="center"/>
        <w:tblCellSpacing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10"/>
        <w:gridCol w:w="4860"/>
        <w:gridCol w:w="1080"/>
        <w:gridCol w:w="1080"/>
        <w:gridCol w:w="1014"/>
      </w:tblGrid>
      <w:tr w:rsidR="00012172">
        <w:trPr>
          <w:cantSplit/>
          <w:trHeight w:val="410"/>
          <w:tblCellSpacing w:w="0" w:type="dxa"/>
          <w:jc w:val="center"/>
        </w:trPr>
        <w:tc>
          <w:tcPr>
            <w:tcW w:w="1110" w:type="dxa"/>
            <w:vMerge w:val="restart"/>
            <w:tcBorders>
              <w:top w:val="double" w:sz="4" w:space="0" w:color="auto"/>
            </w:tcBorders>
            <w:shd w:val="clear" w:color="auto" w:fill="C0C0C0"/>
            <w:vAlign w:val="center"/>
          </w:tcPr>
          <w:p w:rsidR="00012172" w:rsidRDefault="00012172">
            <w:pPr>
              <w:jc w:val="center"/>
              <w:rPr>
                <w:rFonts w:ascii="Arial" w:hAnsi="Arial" w:cs="Arial"/>
                <w:b/>
                <w:bCs/>
              </w:rPr>
            </w:pPr>
            <w:r>
              <w:rPr>
                <w:rFonts w:ascii="Arial" w:hAnsi="Arial" w:cs="Arial"/>
                <w:b/>
                <w:bCs/>
              </w:rPr>
              <w:t>BROJ CESTE</w:t>
            </w:r>
          </w:p>
        </w:tc>
        <w:tc>
          <w:tcPr>
            <w:tcW w:w="4860" w:type="dxa"/>
            <w:vMerge w:val="restart"/>
            <w:tcBorders>
              <w:top w:val="double" w:sz="4" w:space="0" w:color="auto"/>
            </w:tcBorders>
            <w:shd w:val="clear" w:color="auto" w:fill="C0C0C0"/>
            <w:vAlign w:val="center"/>
          </w:tcPr>
          <w:p w:rsidR="00012172" w:rsidRDefault="00012172">
            <w:pPr>
              <w:pStyle w:val="StandardWeb"/>
              <w:spacing w:before="0" w:beforeAutospacing="0" w:after="0" w:afterAutospacing="0"/>
              <w:jc w:val="center"/>
              <w:rPr>
                <w:rFonts w:ascii="Arial" w:hAnsi="Arial" w:cs="Arial"/>
                <w:b/>
                <w:bCs/>
              </w:rPr>
            </w:pPr>
            <w:r>
              <w:rPr>
                <w:rFonts w:ascii="Arial" w:hAnsi="Arial" w:cs="Arial"/>
                <w:b/>
                <w:bCs/>
              </w:rPr>
              <w:t>NAZIV CESTE</w:t>
            </w:r>
          </w:p>
        </w:tc>
        <w:tc>
          <w:tcPr>
            <w:tcW w:w="3174" w:type="dxa"/>
            <w:gridSpan w:val="3"/>
            <w:tcBorders>
              <w:top w:val="double" w:sz="4" w:space="0" w:color="auto"/>
              <w:bottom w:val="single" w:sz="6" w:space="0" w:color="auto"/>
              <w:right w:val="double" w:sz="4" w:space="0" w:color="auto"/>
            </w:tcBorders>
            <w:shd w:val="clear" w:color="auto" w:fill="C0C0C0"/>
            <w:vAlign w:val="center"/>
          </w:tcPr>
          <w:p w:rsidR="00012172" w:rsidRDefault="00012172">
            <w:pPr>
              <w:pStyle w:val="StandardWeb"/>
              <w:spacing w:before="0" w:beforeAutospacing="0" w:after="0" w:afterAutospacing="0"/>
              <w:jc w:val="center"/>
              <w:rPr>
                <w:rFonts w:ascii="Arial" w:hAnsi="Arial" w:cs="Arial"/>
                <w:b/>
                <w:bCs/>
              </w:rPr>
            </w:pPr>
            <w:r>
              <w:rPr>
                <w:rFonts w:ascii="Arial" w:hAnsi="Arial" w:cs="Arial"/>
                <w:b/>
                <w:bCs/>
              </w:rPr>
              <w:t>DUŽINA CESTE KROZ OPĆINU (m)</w:t>
            </w:r>
          </w:p>
        </w:tc>
      </w:tr>
      <w:tr w:rsidR="00012172">
        <w:trPr>
          <w:cantSplit/>
          <w:trHeight w:val="410"/>
          <w:tblCellSpacing w:w="0" w:type="dxa"/>
          <w:jc w:val="center"/>
        </w:trPr>
        <w:tc>
          <w:tcPr>
            <w:tcW w:w="1110" w:type="dxa"/>
            <w:vMerge/>
            <w:tcBorders>
              <w:bottom w:val="double" w:sz="4" w:space="0" w:color="auto"/>
            </w:tcBorders>
            <w:shd w:val="clear" w:color="auto" w:fill="C0C0C0"/>
            <w:vAlign w:val="center"/>
          </w:tcPr>
          <w:p w:rsidR="00012172" w:rsidRDefault="00012172">
            <w:pPr>
              <w:jc w:val="center"/>
              <w:rPr>
                <w:rFonts w:ascii="Arial" w:hAnsi="Arial" w:cs="Arial"/>
                <w:b/>
                <w:bCs/>
              </w:rPr>
            </w:pPr>
          </w:p>
        </w:tc>
        <w:tc>
          <w:tcPr>
            <w:tcW w:w="4860" w:type="dxa"/>
            <w:vMerge/>
            <w:tcBorders>
              <w:bottom w:val="double" w:sz="4" w:space="0" w:color="auto"/>
            </w:tcBorders>
            <w:shd w:val="clear" w:color="auto" w:fill="C0C0C0"/>
            <w:vAlign w:val="center"/>
          </w:tcPr>
          <w:p w:rsidR="00012172" w:rsidRDefault="00012172">
            <w:pPr>
              <w:pStyle w:val="StandardWeb"/>
              <w:spacing w:before="0" w:beforeAutospacing="0" w:after="0" w:afterAutospacing="0"/>
              <w:jc w:val="center"/>
              <w:rPr>
                <w:rFonts w:ascii="Arial" w:hAnsi="Arial" w:cs="Arial"/>
                <w:b/>
                <w:bCs/>
              </w:rPr>
            </w:pPr>
          </w:p>
        </w:tc>
        <w:tc>
          <w:tcPr>
            <w:tcW w:w="1080" w:type="dxa"/>
            <w:tcBorders>
              <w:top w:val="double" w:sz="4" w:space="0" w:color="auto"/>
              <w:bottom w:val="double" w:sz="4" w:space="0" w:color="auto"/>
            </w:tcBorders>
            <w:shd w:val="clear" w:color="auto" w:fill="C0C0C0"/>
            <w:vAlign w:val="center"/>
          </w:tcPr>
          <w:p w:rsidR="00012172" w:rsidRDefault="00012172">
            <w:pPr>
              <w:pStyle w:val="StandardWeb"/>
              <w:spacing w:before="0" w:beforeAutospacing="0" w:after="0" w:afterAutospacing="0"/>
              <w:jc w:val="center"/>
              <w:rPr>
                <w:rFonts w:ascii="Arial" w:hAnsi="Arial" w:cs="Arial"/>
                <w:b/>
                <w:bCs/>
                <w:sz w:val="20"/>
              </w:rPr>
            </w:pPr>
            <w:r>
              <w:rPr>
                <w:rFonts w:ascii="Arial" w:hAnsi="Arial" w:cs="Arial"/>
                <w:b/>
                <w:bCs/>
                <w:sz w:val="20"/>
              </w:rPr>
              <w:t>ASFALT</w:t>
            </w:r>
          </w:p>
        </w:tc>
        <w:tc>
          <w:tcPr>
            <w:tcW w:w="1080" w:type="dxa"/>
            <w:tcBorders>
              <w:bottom w:val="double" w:sz="4" w:space="0" w:color="auto"/>
            </w:tcBorders>
            <w:shd w:val="clear" w:color="auto" w:fill="C0C0C0"/>
            <w:vAlign w:val="center"/>
          </w:tcPr>
          <w:p w:rsidR="00012172" w:rsidRDefault="00012172">
            <w:pPr>
              <w:pStyle w:val="StandardWeb"/>
              <w:spacing w:before="0" w:beforeAutospacing="0" w:after="0" w:afterAutospacing="0"/>
              <w:jc w:val="center"/>
              <w:rPr>
                <w:rFonts w:ascii="Arial" w:hAnsi="Arial" w:cs="Arial"/>
                <w:b/>
                <w:bCs/>
                <w:sz w:val="20"/>
              </w:rPr>
            </w:pPr>
            <w:r>
              <w:rPr>
                <w:rFonts w:ascii="Arial" w:hAnsi="Arial" w:cs="Arial"/>
                <w:b/>
                <w:bCs/>
                <w:sz w:val="20"/>
              </w:rPr>
              <w:t>MAKADM</w:t>
            </w:r>
          </w:p>
        </w:tc>
        <w:tc>
          <w:tcPr>
            <w:tcW w:w="1014" w:type="dxa"/>
            <w:tcBorders>
              <w:bottom w:val="double" w:sz="4" w:space="0" w:color="auto"/>
              <w:right w:val="double" w:sz="4" w:space="0" w:color="auto"/>
            </w:tcBorders>
            <w:shd w:val="clear" w:color="auto" w:fill="C0C0C0"/>
            <w:vAlign w:val="center"/>
          </w:tcPr>
          <w:p w:rsidR="00012172" w:rsidRDefault="00012172">
            <w:pPr>
              <w:pStyle w:val="StandardWeb"/>
              <w:spacing w:before="0" w:beforeAutospacing="0" w:after="0" w:afterAutospacing="0"/>
              <w:jc w:val="center"/>
              <w:rPr>
                <w:rFonts w:ascii="Arial" w:hAnsi="Arial" w:cs="Arial"/>
                <w:b/>
                <w:bCs/>
                <w:sz w:val="20"/>
              </w:rPr>
            </w:pPr>
            <w:r>
              <w:rPr>
                <w:rFonts w:ascii="Arial" w:hAnsi="Arial" w:cs="Arial"/>
                <w:b/>
                <w:bCs/>
                <w:sz w:val="20"/>
              </w:rPr>
              <w:t>UKUPNO</w:t>
            </w:r>
          </w:p>
        </w:tc>
      </w:tr>
      <w:tr w:rsidR="00012172">
        <w:trPr>
          <w:cantSplit/>
          <w:trHeight w:val="567"/>
          <w:tblCellSpacing w:w="0" w:type="dxa"/>
          <w:jc w:val="center"/>
        </w:trPr>
        <w:tc>
          <w:tcPr>
            <w:tcW w:w="9144" w:type="dxa"/>
            <w:gridSpan w:val="5"/>
            <w:tcBorders>
              <w:top w:val="single" w:sz="6" w:space="0" w:color="auto"/>
              <w:bottom w:val="single" w:sz="6" w:space="0" w:color="auto"/>
              <w:right w:val="double" w:sz="4" w:space="0" w:color="auto"/>
            </w:tcBorders>
            <w:shd w:val="clear" w:color="auto" w:fill="E6E6E6"/>
            <w:vAlign w:val="center"/>
          </w:tcPr>
          <w:p w:rsidR="00012172" w:rsidRDefault="00012172">
            <w:pPr>
              <w:pStyle w:val="xl30"/>
              <w:pBdr>
                <w:left w:val="none" w:sz="0" w:space="0" w:color="auto"/>
                <w:bottom w:val="none" w:sz="0" w:space="0" w:color="auto"/>
              </w:pBdr>
              <w:spacing w:before="0" w:beforeAutospacing="0" w:after="0" w:afterAutospacing="0"/>
              <w:rPr>
                <w:rFonts w:ascii="Arial" w:hAnsi="Arial" w:cs="Arial"/>
                <w:b/>
                <w:bCs/>
              </w:rPr>
            </w:pPr>
            <w:r>
              <w:rPr>
                <w:rFonts w:ascii="Arial" w:hAnsi="Arial" w:cs="Arial"/>
                <w:b/>
                <w:bCs/>
              </w:rPr>
              <w:t>DRŽAVNE CESTE</w:t>
            </w:r>
          </w:p>
        </w:tc>
      </w:tr>
      <w:tr w:rsidR="00012172">
        <w:trPr>
          <w:tblCellSpacing w:w="0" w:type="dxa"/>
          <w:jc w:val="center"/>
        </w:trPr>
        <w:tc>
          <w:tcPr>
            <w:tcW w:w="1110" w:type="dxa"/>
            <w:tcBorders>
              <w:top w:val="single" w:sz="2" w:space="0" w:color="auto"/>
              <w:bottom w:val="single" w:sz="6" w:space="0" w:color="auto"/>
            </w:tcBorders>
            <w:vAlign w:val="center"/>
          </w:tcPr>
          <w:p w:rsidR="00012172" w:rsidRDefault="00012172">
            <w:pPr>
              <w:pStyle w:val="xl30"/>
              <w:pBdr>
                <w:left w:val="none" w:sz="0" w:space="0" w:color="auto"/>
                <w:bottom w:val="none" w:sz="0" w:space="0" w:color="auto"/>
              </w:pBdr>
              <w:spacing w:before="0" w:beforeAutospacing="0" w:after="0" w:afterAutospacing="0" w:line="225" w:lineRule="atLeast"/>
              <w:rPr>
                <w:rFonts w:ascii="Arial" w:hAnsi="Arial" w:cs="Arial"/>
              </w:rPr>
            </w:pPr>
            <w:r>
              <w:rPr>
                <w:rFonts w:ascii="Arial" w:hAnsi="Arial" w:cs="Arial"/>
              </w:rPr>
              <w:t>D 22</w:t>
            </w:r>
          </w:p>
        </w:tc>
        <w:tc>
          <w:tcPr>
            <w:tcW w:w="4860" w:type="dxa"/>
            <w:tcBorders>
              <w:top w:val="single" w:sz="2" w:space="0" w:color="auto"/>
              <w:bottom w:val="single" w:sz="6" w:space="0" w:color="auto"/>
            </w:tcBorders>
            <w:vAlign w:val="center"/>
          </w:tcPr>
          <w:p w:rsidR="00012172" w:rsidRDefault="00012172">
            <w:pPr>
              <w:spacing w:line="225" w:lineRule="atLeast"/>
              <w:rPr>
                <w:rFonts w:ascii="Arial" w:hAnsi="Arial" w:cs="Arial"/>
              </w:rPr>
            </w:pPr>
            <w:r>
              <w:rPr>
                <w:rFonts w:ascii="Arial" w:hAnsi="Arial" w:cs="Arial"/>
              </w:rPr>
              <w:t>Sv. Ivan Žabno – Križevci – Novi Marof</w:t>
            </w:r>
          </w:p>
        </w:tc>
        <w:tc>
          <w:tcPr>
            <w:tcW w:w="1080" w:type="dxa"/>
            <w:tcBorders>
              <w:top w:val="single" w:sz="2" w:space="0" w:color="auto"/>
              <w:bottom w:val="single" w:sz="6" w:space="0" w:color="auto"/>
            </w:tcBorders>
            <w:vAlign w:val="center"/>
          </w:tcPr>
          <w:p w:rsidR="00012172" w:rsidRDefault="00012172">
            <w:pPr>
              <w:spacing w:line="225" w:lineRule="atLeast"/>
              <w:jc w:val="center"/>
              <w:rPr>
                <w:rFonts w:ascii="Arial" w:hAnsi="Arial" w:cs="Arial"/>
              </w:rPr>
            </w:pPr>
            <w:r>
              <w:rPr>
                <w:rFonts w:ascii="Arial" w:hAnsi="Arial" w:cs="Arial"/>
              </w:rPr>
              <w:t>4 000</w:t>
            </w:r>
          </w:p>
        </w:tc>
        <w:tc>
          <w:tcPr>
            <w:tcW w:w="1080" w:type="dxa"/>
            <w:tcBorders>
              <w:top w:val="single" w:sz="2" w:space="0" w:color="auto"/>
              <w:bottom w:val="single" w:sz="6" w:space="0" w:color="auto"/>
            </w:tcBorders>
            <w:vAlign w:val="center"/>
          </w:tcPr>
          <w:p w:rsidR="00012172" w:rsidRDefault="00012172">
            <w:pPr>
              <w:spacing w:line="225" w:lineRule="atLeast"/>
              <w:jc w:val="center"/>
              <w:rPr>
                <w:rFonts w:ascii="Arial" w:hAnsi="Arial" w:cs="Arial"/>
              </w:rPr>
            </w:pPr>
            <w:r>
              <w:rPr>
                <w:rFonts w:ascii="Arial" w:hAnsi="Arial" w:cs="Arial"/>
              </w:rPr>
              <w:t>0</w:t>
            </w:r>
          </w:p>
        </w:tc>
        <w:tc>
          <w:tcPr>
            <w:tcW w:w="1014" w:type="dxa"/>
            <w:tcBorders>
              <w:top w:val="single" w:sz="2" w:space="0" w:color="auto"/>
              <w:bottom w:val="single" w:sz="6" w:space="0" w:color="auto"/>
              <w:right w:val="double" w:sz="4" w:space="0" w:color="auto"/>
            </w:tcBorders>
            <w:vAlign w:val="center"/>
          </w:tcPr>
          <w:p w:rsidR="00012172" w:rsidRDefault="00012172">
            <w:pPr>
              <w:spacing w:line="225" w:lineRule="atLeast"/>
              <w:jc w:val="center"/>
              <w:rPr>
                <w:rFonts w:ascii="Arial" w:hAnsi="Arial" w:cs="Arial"/>
              </w:rPr>
            </w:pPr>
            <w:r>
              <w:rPr>
                <w:rFonts w:ascii="Arial" w:hAnsi="Arial" w:cs="Arial"/>
              </w:rPr>
              <w:t>4 000</w:t>
            </w:r>
          </w:p>
        </w:tc>
      </w:tr>
      <w:tr w:rsidR="00012172">
        <w:trPr>
          <w:cantSplit/>
          <w:trHeight w:val="457"/>
          <w:tblCellSpacing w:w="0" w:type="dxa"/>
          <w:jc w:val="center"/>
        </w:trPr>
        <w:tc>
          <w:tcPr>
            <w:tcW w:w="5970" w:type="dxa"/>
            <w:gridSpan w:val="2"/>
            <w:tcBorders>
              <w:top w:val="single" w:sz="2" w:space="0" w:color="auto"/>
              <w:bottom w:val="single" w:sz="6" w:space="0" w:color="auto"/>
            </w:tcBorders>
            <w:vAlign w:val="center"/>
          </w:tcPr>
          <w:p w:rsidR="00012172" w:rsidRDefault="00012172">
            <w:pPr>
              <w:pStyle w:val="xl64"/>
              <w:pBdr>
                <w:left w:val="none" w:sz="0" w:space="0" w:color="auto"/>
                <w:bottom w:val="none" w:sz="0" w:space="0" w:color="auto"/>
                <w:right w:val="none" w:sz="0" w:space="0" w:color="auto"/>
              </w:pBdr>
              <w:spacing w:before="0" w:beforeAutospacing="0" w:after="0" w:afterAutospacing="0" w:line="225" w:lineRule="atLeast"/>
              <w:rPr>
                <w:rFonts w:ascii="Arial" w:hAnsi="Arial" w:cs="Arial"/>
                <w:b/>
                <w:bCs/>
                <w:sz w:val="20"/>
              </w:rPr>
            </w:pPr>
            <w:r>
              <w:rPr>
                <w:rFonts w:ascii="Arial" w:hAnsi="Arial" w:cs="Arial"/>
                <w:b/>
                <w:bCs/>
                <w:sz w:val="20"/>
              </w:rPr>
              <w:t>DRŽAVNE CESTE UKUPNO</w:t>
            </w:r>
          </w:p>
        </w:tc>
        <w:tc>
          <w:tcPr>
            <w:tcW w:w="1080" w:type="dxa"/>
            <w:tcBorders>
              <w:top w:val="single" w:sz="2" w:space="0" w:color="auto"/>
              <w:bottom w:val="single" w:sz="6" w:space="0" w:color="auto"/>
            </w:tcBorders>
            <w:vAlign w:val="center"/>
          </w:tcPr>
          <w:p w:rsidR="00012172" w:rsidRDefault="00012172">
            <w:pPr>
              <w:spacing w:line="225" w:lineRule="atLeast"/>
              <w:jc w:val="center"/>
              <w:rPr>
                <w:rFonts w:ascii="Arial" w:hAnsi="Arial" w:cs="Arial"/>
              </w:rPr>
            </w:pPr>
            <w:r>
              <w:rPr>
                <w:rFonts w:ascii="Arial" w:hAnsi="Arial" w:cs="Arial"/>
              </w:rPr>
              <w:t>4 000</w:t>
            </w:r>
          </w:p>
        </w:tc>
        <w:tc>
          <w:tcPr>
            <w:tcW w:w="1080" w:type="dxa"/>
            <w:tcBorders>
              <w:top w:val="single" w:sz="2" w:space="0" w:color="auto"/>
              <w:bottom w:val="single" w:sz="6" w:space="0" w:color="auto"/>
            </w:tcBorders>
            <w:vAlign w:val="center"/>
          </w:tcPr>
          <w:p w:rsidR="00012172" w:rsidRDefault="00012172">
            <w:pPr>
              <w:spacing w:line="225" w:lineRule="atLeast"/>
              <w:jc w:val="center"/>
              <w:rPr>
                <w:rFonts w:ascii="Arial" w:hAnsi="Arial" w:cs="Arial"/>
              </w:rPr>
            </w:pPr>
            <w:r>
              <w:rPr>
                <w:rFonts w:ascii="Arial" w:hAnsi="Arial" w:cs="Arial"/>
              </w:rPr>
              <w:t>0</w:t>
            </w:r>
          </w:p>
        </w:tc>
        <w:tc>
          <w:tcPr>
            <w:tcW w:w="1014" w:type="dxa"/>
            <w:tcBorders>
              <w:top w:val="single" w:sz="2" w:space="0" w:color="auto"/>
              <w:bottom w:val="single" w:sz="6" w:space="0" w:color="auto"/>
              <w:right w:val="double" w:sz="4" w:space="0" w:color="auto"/>
            </w:tcBorders>
            <w:vAlign w:val="center"/>
          </w:tcPr>
          <w:p w:rsidR="00012172" w:rsidRDefault="00012172">
            <w:pPr>
              <w:spacing w:line="225" w:lineRule="atLeast"/>
              <w:jc w:val="center"/>
              <w:rPr>
                <w:rFonts w:ascii="Arial" w:hAnsi="Arial" w:cs="Arial"/>
              </w:rPr>
            </w:pPr>
            <w:r>
              <w:rPr>
                <w:rFonts w:ascii="Arial" w:hAnsi="Arial" w:cs="Arial"/>
              </w:rPr>
              <w:t>4 000</w:t>
            </w:r>
          </w:p>
        </w:tc>
      </w:tr>
      <w:tr w:rsidR="00012172">
        <w:trPr>
          <w:cantSplit/>
          <w:trHeight w:val="567"/>
          <w:tblCellSpacing w:w="0" w:type="dxa"/>
          <w:jc w:val="center"/>
        </w:trPr>
        <w:tc>
          <w:tcPr>
            <w:tcW w:w="9144" w:type="dxa"/>
            <w:gridSpan w:val="5"/>
            <w:tcBorders>
              <w:top w:val="single" w:sz="6" w:space="0" w:color="auto"/>
              <w:bottom w:val="single" w:sz="6" w:space="0" w:color="auto"/>
              <w:right w:val="double" w:sz="4" w:space="0" w:color="auto"/>
            </w:tcBorders>
            <w:shd w:val="clear" w:color="auto" w:fill="E6E6E6"/>
            <w:vAlign w:val="center"/>
          </w:tcPr>
          <w:p w:rsidR="00012172" w:rsidRDefault="00012172">
            <w:pPr>
              <w:jc w:val="center"/>
              <w:rPr>
                <w:rFonts w:ascii="Arial" w:hAnsi="Arial" w:cs="Arial"/>
                <w:b/>
                <w:bCs/>
              </w:rPr>
            </w:pPr>
            <w:r>
              <w:rPr>
                <w:rFonts w:ascii="Arial" w:hAnsi="Arial" w:cs="Arial"/>
                <w:b/>
                <w:bCs/>
              </w:rPr>
              <w:t>ŽUPANIJSKE CESTE KOPRIVNICA</w:t>
            </w:r>
          </w:p>
        </w:tc>
      </w:tr>
      <w:tr w:rsidR="00012172">
        <w:trPr>
          <w:tblCellSpacing w:w="0" w:type="dxa"/>
          <w:jc w:val="center"/>
        </w:trPr>
        <w:tc>
          <w:tcPr>
            <w:tcW w:w="1110" w:type="dxa"/>
            <w:tcBorders>
              <w:top w:val="single" w:sz="2" w:space="0" w:color="auto"/>
              <w:bottom w:val="single" w:sz="6" w:space="0" w:color="auto"/>
            </w:tcBorders>
            <w:vAlign w:val="center"/>
          </w:tcPr>
          <w:p w:rsidR="00012172" w:rsidRDefault="00012172">
            <w:pPr>
              <w:spacing w:line="225" w:lineRule="atLeast"/>
              <w:jc w:val="center"/>
              <w:rPr>
                <w:rFonts w:ascii="Arial" w:hAnsi="Arial" w:cs="Arial"/>
              </w:rPr>
            </w:pPr>
            <w:r>
              <w:rPr>
                <w:rFonts w:ascii="Arial" w:hAnsi="Arial" w:cs="Arial"/>
              </w:rPr>
              <w:t>ŽC 2244</w:t>
            </w:r>
          </w:p>
        </w:tc>
        <w:tc>
          <w:tcPr>
            <w:tcW w:w="4860" w:type="dxa"/>
            <w:tcBorders>
              <w:top w:val="single" w:sz="2" w:space="0" w:color="auto"/>
              <w:bottom w:val="single" w:sz="6" w:space="0" w:color="auto"/>
            </w:tcBorders>
            <w:vAlign w:val="center"/>
          </w:tcPr>
          <w:p w:rsidR="00012172" w:rsidRDefault="00012172">
            <w:pPr>
              <w:spacing w:line="225" w:lineRule="atLeast"/>
              <w:rPr>
                <w:rFonts w:ascii="Arial" w:hAnsi="Arial" w:cs="Arial"/>
                <w:sz w:val="22"/>
              </w:rPr>
            </w:pPr>
            <w:r>
              <w:rPr>
                <w:rFonts w:ascii="Arial" w:hAnsi="Arial" w:cs="Arial"/>
                <w:sz w:val="22"/>
              </w:rPr>
              <w:t>Sudovec (ŽC 2175) – Pofuki – Bisag – (ŽC 2207)</w:t>
            </w:r>
          </w:p>
        </w:tc>
        <w:tc>
          <w:tcPr>
            <w:tcW w:w="1080" w:type="dxa"/>
            <w:tcBorders>
              <w:top w:val="single" w:sz="2" w:space="0" w:color="auto"/>
              <w:bottom w:val="single" w:sz="6" w:space="0" w:color="auto"/>
            </w:tcBorders>
            <w:vAlign w:val="center"/>
          </w:tcPr>
          <w:p w:rsidR="00012172" w:rsidRDefault="00012172">
            <w:pPr>
              <w:spacing w:line="225" w:lineRule="atLeast"/>
              <w:jc w:val="center"/>
              <w:rPr>
                <w:rFonts w:ascii="Arial" w:hAnsi="Arial" w:cs="Arial"/>
              </w:rPr>
            </w:pPr>
            <w:r>
              <w:rPr>
                <w:rFonts w:ascii="Arial" w:hAnsi="Arial" w:cs="Arial"/>
              </w:rPr>
              <w:t>1 656</w:t>
            </w:r>
          </w:p>
        </w:tc>
        <w:tc>
          <w:tcPr>
            <w:tcW w:w="1080" w:type="dxa"/>
            <w:tcBorders>
              <w:top w:val="single" w:sz="2" w:space="0" w:color="auto"/>
              <w:bottom w:val="single" w:sz="6" w:space="0" w:color="auto"/>
            </w:tcBorders>
            <w:vAlign w:val="center"/>
          </w:tcPr>
          <w:p w:rsidR="00012172" w:rsidRDefault="00012172">
            <w:pPr>
              <w:spacing w:line="225" w:lineRule="atLeast"/>
              <w:jc w:val="center"/>
              <w:rPr>
                <w:rFonts w:ascii="Arial" w:hAnsi="Arial" w:cs="Arial"/>
              </w:rPr>
            </w:pPr>
            <w:r>
              <w:rPr>
                <w:rFonts w:ascii="Arial" w:hAnsi="Arial" w:cs="Arial"/>
              </w:rPr>
              <w:t>0</w:t>
            </w:r>
          </w:p>
        </w:tc>
        <w:tc>
          <w:tcPr>
            <w:tcW w:w="1014" w:type="dxa"/>
            <w:tcBorders>
              <w:top w:val="single" w:sz="2" w:space="0" w:color="auto"/>
              <w:bottom w:val="single" w:sz="6" w:space="0" w:color="auto"/>
              <w:right w:val="double" w:sz="4" w:space="0" w:color="auto"/>
            </w:tcBorders>
            <w:vAlign w:val="center"/>
          </w:tcPr>
          <w:p w:rsidR="00012172" w:rsidRDefault="00012172">
            <w:pPr>
              <w:spacing w:line="225" w:lineRule="atLeast"/>
              <w:jc w:val="center"/>
              <w:rPr>
                <w:rFonts w:ascii="Arial" w:hAnsi="Arial" w:cs="Arial"/>
              </w:rPr>
            </w:pPr>
            <w:r>
              <w:rPr>
                <w:rFonts w:ascii="Arial" w:hAnsi="Arial" w:cs="Arial"/>
              </w:rPr>
              <w:t>1 656</w:t>
            </w:r>
          </w:p>
        </w:tc>
      </w:tr>
      <w:tr w:rsidR="00012172">
        <w:trPr>
          <w:cantSplit/>
          <w:trHeight w:val="527"/>
          <w:tblCellSpacing w:w="0" w:type="dxa"/>
          <w:jc w:val="center"/>
        </w:trPr>
        <w:tc>
          <w:tcPr>
            <w:tcW w:w="5970" w:type="dxa"/>
            <w:gridSpan w:val="2"/>
            <w:tcBorders>
              <w:top w:val="single" w:sz="2" w:space="0" w:color="auto"/>
              <w:bottom w:val="single" w:sz="6" w:space="0" w:color="auto"/>
            </w:tcBorders>
            <w:vAlign w:val="center"/>
          </w:tcPr>
          <w:p w:rsidR="00012172" w:rsidRDefault="00012172">
            <w:pPr>
              <w:jc w:val="right"/>
              <w:rPr>
                <w:rFonts w:ascii="Arial" w:hAnsi="Arial" w:cs="Arial"/>
                <w:b/>
                <w:bCs/>
                <w:sz w:val="20"/>
              </w:rPr>
            </w:pPr>
            <w:r>
              <w:rPr>
                <w:rFonts w:ascii="Arial" w:hAnsi="Arial" w:cs="Arial"/>
                <w:b/>
                <w:bCs/>
                <w:sz w:val="20"/>
              </w:rPr>
              <w:t>ŽUPANIJSKE CESTE UKUPNO</w:t>
            </w:r>
          </w:p>
        </w:tc>
        <w:tc>
          <w:tcPr>
            <w:tcW w:w="1080" w:type="dxa"/>
            <w:tcBorders>
              <w:top w:val="single" w:sz="2" w:space="0" w:color="auto"/>
              <w:bottom w:val="single" w:sz="6" w:space="0" w:color="auto"/>
            </w:tcBorders>
            <w:vAlign w:val="center"/>
          </w:tcPr>
          <w:p w:rsidR="00012172" w:rsidRDefault="00012172">
            <w:pPr>
              <w:jc w:val="center"/>
              <w:rPr>
                <w:rFonts w:ascii="Arial" w:hAnsi="Arial" w:cs="Arial"/>
              </w:rPr>
            </w:pPr>
            <w:r>
              <w:rPr>
                <w:rFonts w:ascii="Arial" w:hAnsi="Arial" w:cs="Arial"/>
              </w:rPr>
              <w:t>1 656</w:t>
            </w:r>
          </w:p>
        </w:tc>
        <w:tc>
          <w:tcPr>
            <w:tcW w:w="1080" w:type="dxa"/>
            <w:tcBorders>
              <w:top w:val="single" w:sz="2" w:space="0" w:color="auto"/>
              <w:bottom w:val="single" w:sz="6" w:space="0" w:color="auto"/>
            </w:tcBorders>
            <w:vAlign w:val="center"/>
          </w:tcPr>
          <w:p w:rsidR="00012172" w:rsidRDefault="00012172">
            <w:pPr>
              <w:pStyle w:val="xl30"/>
              <w:pBdr>
                <w:left w:val="none" w:sz="0" w:space="0" w:color="auto"/>
                <w:bottom w:val="none" w:sz="0" w:space="0" w:color="auto"/>
              </w:pBdr>
              <w:spacing w:before="0" w:beforeAutospacing="0" w:after="0" w:afterAutospacing="0"/>
              <w:rPr>
                <w:rFonts w:ascii="Arial" w:hAnsi="Arial" w:cs="Arial"/>
              </w:rPr>
            </w:pPr>
            <w:r>
              <w:rPr>
                <w:rFonts w:ascii="Arial" w:hAnsi="Arial" w:cs="Arial"/>
              </w:rPr>
              <w:t>0</w:t>
            </w:r>
          </w:p>
        </w:tc>
        <w:tc>
          <w:tcPr>
            <w:tcW w:w="1014" w:type="dxa"/>
            <w:tcBorders>
              <w:top w:val="single" w:sz="2" w:space="0" w:color="auto"/>
              <w:bottom w:val="single" w:sz="6" w:space="0" w:color="auto"/>
              <w:right w:val="double" w:sz="4" w:space="0" w:color="auto"/>
            </w:tcBorders>
            <w:vAlign w:val="center"/>
          </w:tcPr>
          <w:p w:rsidR="00012172" w:rsidRDefault="00012172">
            <w:pPr>
              <w:jc w:val="center"/>
              <w:rPr>
                <w:rFonts w:ascii="Arial" w:hAnsi="Arial" w:cs="Arial"/>
              </w:rPr>
            </w:pPr>
            <w:r>
              <w:rPr>
                <w:rFonts w:ascii="Arial" w:hAnsi="Arial" w:cs="Arial"/>
              </w:rPr>
              <w:t>1 656</w:t>
            </w:r>
          </w:p>
        </w:tc>
      </w:tr>
      <w:tr w:rsidR="00012172">
        <w:trPr>
          <w:cantSplit/>
          <w:trHeight w:val="567"/>
          <w:tblCellSpacing w:w="0" w:type="dxa"/>
          <w:jc w:val="center"/>
        </w:trPr>
        <w:tc>
          <w:tcPr>
            <w:tcW w:w="9144" w:type="dxa"/>
            <w:gridSpan w:val="5"/>
            <w:tcBorders>
              <w:top w:val="single" w:sz="6" w:space="0" w:color="auto"/>
              <w:bottom w:val="single" w:sz="6" w:space="0" w:color="auto"/>
              <w:right w:val="double" w:sz="4" w:space="0" w:color="auto"/>
            </w:tcBorders>
            <w:shd w:val="clear" w:color="auto" w:fill="E6E6E6"/>
            <w:vAlign w:val="center"/>
          </w:tcPr>
          <w:p w:rsidR="00012172" w:rsidRDefault="00012172">
            <w:pPr>
              <w:pStyle w:val="xl30"/>
              <w:pBdr>
                <w:left w:val="none" w:sz="0" w:space="0" w:color="auto"/>
                <w:bottom w:val="none" w:sz="0" w:space="0" w:color="auto"/>
              </w:pBdr>
              <w:spacing w:before="0" w:beforeAutospacing="0" w:after="0" w:afterAutospacing="0"/>
              <w:rPr>
                <w:rFonts w:ascii="Arial" w:hAnsi="Arial" w:cs="Arial"/>
                <w:b/>
                <w:bCs/>
              </w:rPr>
            </w:pPr>
            <w:r>
              <w:rPr>
                <w:rFonts w:ascii="Arial" w:hAnsi="Arial" w:cs="Arial"/>
                <w:b/>
                <w:bCs/>
              </w:rPr>
              <w:t>LOKALNE CESTE KOPRIVNICA</w:t>
            </w:r>
          </w:p>
        </w:tc>
      </w:tr>
      <w:tr w:rsidR="00012172">
        <w:trPr>
          <w:tblCellSpacing w:w="0" w:type="dxa"/>
          <w:jc w:val="center"/>
        </w:trPr>
        <w:tc>
          <w:tcPr>
            <w:tcW w:w="1110" w:type="dxa"/>
            <w:tcBorders>
              <w:top w:val="single" w:sz="2" w:space="0" w:color="auto"/>
              <w:bottom w:val="single" w:sz="6" w:space="0" w:color="auto"/>
            </w:tcBorders>
            <w:vAlign w:val="center"/>
          </w:tcPr>
          <w:p w:rsidR="00012172" w:rsidRDefault="00012172">
            <w:pPr>
              <w:jc w:val="center"/>
              <w:rPr>
                <w:rFonts w:ascii="Arial" w:hAnsi="Arial" w:cs="Arial"/>
              </w:rPr>
            </w:pPr>
            <w:r>
              <w:rPr>
                <w:rFonts w:ascii="Arial" w:hAnsi="Arial" w:cs="Arial"/>
              </w:rPr>
              <w:t>LC 26040</w:t>
            </w:r>
          </w:p>
        </w:tc>
        <w:tc>
          <w:tcPr>
            <w:tcW w:w="4860" w:type="dxa"/>
            <w:tcBorders>
              <w:top w:val="single" w:sz="2" w:space="0" w:color="auto"/>
              <w:bottom w:val="single" w:sz="6" w:space="0" w:color="auto"/>
            </w:tcBorders>
            <w:vAlign w:val="center"/>
          </w:tcPr>
          <w:p w:rsidR="00012172" w:rsidRDefault="00012172">
            <w:pPr>
              <w:rPr>
                <w:rFonts w:ascii="Arial" w:hAnsi="Arial" w:cs="Arial"/>
                <w:sz w:val="22"/>
              </w:rPr>
            </w:pPr>
            <w:r>
              <w:rPr>
                <w:rFonts w:ascii="Arial" w:hAnsi="Arial" w:cs="Arial"/>
                <w:sz w:val="22"/>
              </w:rPr>
              <w:t xml:space="preserve"> Pofuki (ŽC 2244) – Kolarec – D. Fodrovec – ŽC   3002</w:t>
            </w:r>
          </w:p>
        </w:tc>
        <w:tc>
          <w:tcPr>
            <w:tcW w:w="1080" w:type="dxa"/>
            <w:tcBorders>
              <w:top w:val="single" w:sz="2" w:space="0" w:color="auto"/>
              <w:bottom w:val="single" w:sz="6" w:space="0" w:color="auto"/>
            </w:tcBorders>
            <w:vAlign w:val="center"/>
          </w:tcPr>
          <w:p w:rsidR="00012172" w:rsidRDefault="00012172">
            <w:pPr>
              <w:jc w:val="center"/>
              <w:rPr>
                <w:rFonts w:ascii="Arial" w:hAnsi="Arial" w:cs="Arial"/>
              </w:rPr>
            </w:pPr>
            <w:r>
              <w:rPr>
                <w:rFonts w:ascii="Arial" w:hAnsi="Arial" w:cs="Arial"/>
              </w:rPr>
              <w:t>3 211</w:t>
            </w:r>
          </w:p>
        </w:tc>
        <w:tc>
          <w:tcPr>
            <w:tcW w:w="1080" w:type="dxa"/>
            <w:tcBorders>
              <w:top w:val="single" w:sz="2" w:space="0" w:color="auto"/>
              <w:bottom w:val="single" w:sz="6" w:space="0" w:color="auto"/>
            </w:tcBorders>
            <w:vAlign w:val="center"/>
          </w:tcPr>
          <w:p w:rsidR="00012172" w:rsidRDefault="00012172">
            <w:pPr>
              <w:jc w:val="center"/>
              <w:rPr>
                <w:rFonts w:ascii="Arial" w:hAnsi="Arial" w:cs="Arial"/>
              </w:rPr>
            </w:pPr>
            <w:r>
              <w:rPr>
                <w:rFonts w:ascii="Arial" w:hAnsi="Arial" w:cs="Arial"/>
              </w:rPr>
              <w:t>0</w:t>
            </w:r>
          </w:p>
        </w:tc>
        <w:tc>
          <w:tcPr>
            <w:tcW w:w="1014" w:type="dxa"/>
            <w:tcBorders>
              <w:top w:val="single" w:sz="2" w:space="0" w:color="auto"/>
              <w:bottom w:val="single" w:sz="6" w:space="0" w:color="auto"/>
              <w:right w:val="double" w:sz="4" w:space="0" w:color="auto"/>
            </w:tcBorders>
            <w:vAlign w:val="center"/>
          </w:tcPr>
          <w:p w:rsidR="00012172" w:rsidRDefault="00012172">
            <w:pPr>
              <w:jc w:val="center"/>
              <w:rPr>
                <w:rFonts w:ascii="Arial" w:hAnsi="Arial" w:cs="Arial"/>
              </w:rPr>
            </w:pPr>
            <w:r>
              <w:rPr>
                <w:rFonts w:ascii="Arial" w:hAnsi="Arial" w:cs="Arial"/>
              </w:rPr>
              <w:t>3 211</w:t>
            </w:r>
          </w:p>
        </w:tc>
      </w:tr>
      <w:tr w:rsidR="00012172">
        <w:trPr>
          <w:tblCellSpacing w:w="0" w:type="dxa"/>
          <w:jc w:val="center"/>
        </w:trPr>
        <w:tc>
          <w:tcPr>
            <w:tcW w:w="1110" w:type="dxa"/>
            <w:tcBorders>
              <w:top w:val="single" w:sz="2" w:space="0" w:color="auto"/>
              <w:bottom w:val="single" w:sz="6" w:space="0" w:color="auto"/>
            </w:tcBorders>
            <w:vAlign w:val="center"/>
          </w:tcPr>
          <w:p w:rsidR="00012172" w:rsidRDefault="00012172">
            <w:pPr>
              <w:jc w:val="center"/>
              <w:rPr>
                <w:rFonts w:ascii="Arial" w:hAnsi="Arial" w:cs="Arial"/>
              </w:rPr>
            </w:pPr>
            <w:r>
              <w:rPr>
                <w:rFonts w:ascii="Arial" w:hAnsi="Arial" w:cs="Arial"/>
              </w:rPr>
              <w:t>LC 26041</w:t>
            </w:r>
          </w:p>
        </w:tc>
        <w:tc>
          <w:tcPr>
            <w:tcW w:w="4860" w:type="dxa"/>
            <w:tcBorders>
              <w:top w:val="single" w:sz="2" w:space="0" w:color="auto"/>
              <w:bottom w:val="single" w:sz="6" w:space="0" w:color="auto"/>
            </w:tcBorders>
            <w:vAlign w:val="center"/>
          </w:tcPr>
          <w:p w:rsidR="00012172" w:rsidRDefault="00012172">
            <w:pPr>
              <w:rPr>
                <w:rFonts w:ascii="Arial" w:hAnsi="Arial" w:cs="Arial"/>
                <w:sz w:val="22"/>
              </w:rPr>
            </w:pPr>
            <w:r>
              <w:rPr>
                <w:rFonts w:ascii="Arial" w:hAnsi="Arial" w:cs="Arial"/>
                <w:sz w:val="22"/>
              </w:rPr>
              <w:t xml:space="preserve"> D 22 – Kostanjevec Riječki</w:t>
            </w:r>
          </w:p>
        </w:tc>
        <w:tc>
          <w:tcPr>
            <w:tcW w:w="1080" w:type="dxa"/>
            <w:tcBorders>
              <w:top w:val="single" w:sz="2" w:space="0" w:color="auto"/>
              <w:bottom w:val="single" w:sz="6" w:space="0" w:color="auto"/>
            </w:tcBorders>
            <w:vAlign w:val="center"/>
          </w:tcPr>
          <w:p w:rsidR="00012172" w:rsidRDefault="00012172">
            <w:pPr>
              <w:jc w:val="center"/>
              <w:rPr>
                <w:rFonts w:ascii="Arial" w:hAnsi="Arial" w:cs="Arial"/>
              </w:rPr>
            </w:pPr>
            <w:r>
              <w:rPr>
                <w:rFonts w:ascii="Arial" w:hAnsi="Arial" w:cs="Arial"/>
              </w:rPr>
              <w:t>1 528</w:t>
            </w:r>
          </w:p>
        </w:tc>
        <w:tc>
          <w:tcPr>
            <w:tcW w:w="1080" w:type="dxa"/>
            <w:tcBorders>
              <w:top w:val="single" w:sz="2" w:space="0" w:color="auto"/>
              <w:bottom w:val="single" w:sz="6" w:space="0" w:color="auto"/>
            </w:tcBorders>
            <w:vAlign w:val="center"/>
          </w:tcPr>
          <w:p w:rsidR="00012172" w:rsidRDefault="00012172">
            <w:pPr>
              <w:jc w:val="center"/>
              <w:rPr>
                <w:rFonts w:ascii="Arial" w:hAnsi="Arial" w:cs="Arial"/>
              </w:rPr>
            </w:pPr>
            <w:r>
              <w:rPr>
                <w:rFonts w:ascii="Arial" w:hAnsi="Arial" w:cs="Arial"/>
              </w:rPr>
              <w:t>0</w:t>
            </w:r>
          </w:p>
        </w:tc>
        <w:tc>
          <w:tcPr>
            <w:tcW w:w="1014" w:type="dxa"/>
            <w:tcBorders>
              <w:top w:val="single" w:sz="2" w:space="0" w:color="auto"/>
              <w:bottom w:val="single" w:sz="6" w:space="0" w:color="auto"/>
              <w:right w:val="double" w:sz="4" w:space="0" w:color="auto"/>
            </w:tcBorders>
            <w:vAlign w:val="center"/>
          </w:tcPr>
          <w:p w:rsidR="00012172" w:rsidRDefault="00012172">
            <w:pPr>
              <w:jc w:val="center"/>
              <w:rPr>
                <w:rFonts w:ascii="Arial" w:hAnsi="Arial" w:cs="Arial"/>
              </w:rPr>
            </w:pPr>
            <w:r>
              <w:rPr>
                <w:rFonts w:ascii="Arial" w:hAnsi="Arial" w:cs="Arial"/>
              </w:rPr>
              <w:t>1 528</w:t>
            </w:r>
          </w:p>
        </w:tc>
      </w:tr>
      <w:tr w:rsidR="00012172">
        <w:trPr>
          <w:tblCellSpacing w:w="0" w:type="dxa"/>
          <w:jc w:val="center"/>
        </w:trPr>
        <w:tc>
          <w:tcPr>
            <w:tcW w:w="1110" w:type="dxa"/>
            <w:tcBorders>
              <w:top w:val="single" w:sz="2" w:space="0" w:color="auto"/>
              <w:bottom w:val="single" w:sz="6" w:space="0" w:color="auto"/>
            </w:tcBorders>
            <w:vAlign w:val="center"/>
          </w:tcPr>
          <w:p w:rsidR="00012172" w:rsidRDefault="00012172">
            <w:pPr>
              <w:jc w:val="center"/>
              <w:rPr>
                <w:rFonts w:ascii="Arial" w:hAnsi="Arial" w:cs="Arial"/>
              </w:rPr>
            </w:pPr>
            <w:r>
              <w:rPr>
                <w:rFonts w:ascii="Arial" w:hAnsi="Arial" w:cs="Arial"/>
              </w:rPr>
              <w:t>LC 26042</w:t>
            </w:r>
          </w:p>
        </w:tc>
        <w:tc>
          <w:tcPr>
            <w:tcW w:w="4860" w:type="dxa"/>
            <w:tcBorders>
              <w:top w:val="single" w:sz="2" w:space="0" w:color="auto"/>
              <w:bottom w:val="single" w:sz="6" w:space="0" w:color="auto"/>
            </w:tcBorders>
            <w:vAlign w:val="center"/>
          </w:tcPr>
          <w:p w:rsidR="00012172" w:rsidRDefault="00012172">
            <w:pPr>
              <w:rPr>
                <w:rFonts w:ascii="Arial" w:hAnsi="Arial" w:cs="Arial"/>
                <w:sz w:val="22"/>
              </w:rPr>
            </w:pPr>
            <w:r>
              <w:rPr>
                <w:rFonts w:ascii="Arial" w:hAnsi="Arial" w:cs="Arial"/>
                <w:sz w:val="22"/>
              </w:rPr>
              <w:t xml:space="preserve"> Gornja Rijeka (D 22) - Deklešanec</w:t>
            </w:r>
          </w:p>
        </w:tc>
        <w:tc>
          <w:tcPr>
            <w:tcW w:w="1080" w:type="dxa"/>
            <w:tcBorders>
              <w:top w:val="single" w:sz="2" w:space="0" w:color="auto"/>
              <w:bottom w:val="single" w:sz="6" w:space="0" w:color="auto"/>
            </w:tcBorders>
            <w:vAlign w:val="center"/>
          </w:tcPr>
          <w:p w:rsidR="00012172" w:rsidRDefault="00012172">
            <w:pPr>
              <w:jc w:val="center"/>
              <w:rPr>
                <w:rFonts w:ascii="Arial" w:hAnsi="Arial" w:cs="Arial"/>
              </w:rPr>
            </w:pPr>
            <w:r>
              <w:rPr>
                <w:rFonts w:ascii="Arial" w:hAnsi="Arial" w:cs="Arial"/>
              </w:rPr>
              <w:t>1 783</w:t>
            </w:r>
          </w:p>
        </w:tc>
        <w:tc>
          <w:tcPr>
            <w:tcW w:w="1080" w:type="dxa"/>
            <w:tcBorders>
              <w:top w:val="single" w:sz="2" w:space="0" w:color="auto"/>
              <w:bottom w:val="single" w:sz="6" w:space="0" w:color="auto"/>
            </w:tcBorders>
            <w:vAlign w:val="center"/>
          </w:tcPr>
          <w:p w:rsidR="00012172" w:rsidRDefault="00012172">
            <w:pPr>
              <w:jc w:val="center"/>
              <w:rPr>
                <w:rFonts w:ascii="Arial" w:hAnsi="Arial" w:cs="Arial"/>
              </w:rPr>
            </w:pPr>
            <w:r>
              <w:rPr>
                <w:rFonts w:ascii="Arial" w:hAnsi="Arial" w:cs="Arial"/>
              </w:rPr>
              <w:t>0</w:t>
            </w:r>
          </w:p>
        </w:tc>
        <w:tc>
          <w:tcPr>
            <w:tcW w:w="1014" w:type="dxa"/>
            <w:tcBorders>
              <w:top w:val="single" w:sz="2" w:space="0" w:color="auto"/>
              <w:bottom w:val="single" w:sz="6" w:space="0" w:color="auto"/>
              <w:right w:val="double" w:sz="4" w:space="0" w:color="auto"/>
            </w:tcBorders>
            <w:vAlign w:val="center"/>
          </w:tcPr>
          <w:p w:rsidR="00012172" w:rsidRDefault="00012172">
            <w:pPr>
              <w:jc w:val="center"/>
              <w:rPr>
                <w:rFonts w:ascii="Arial" w:hAnsi="Arial" w:cs="Arial"/>
              </w:rPr>
            </w:pPr>
            <w:r>
              <w:rPr>
                <w:rFonts w:ascii="Arial" w:hAnsi="Arial" w:cs="Arial"/>
              </w:rPr>
              <w:t>1 783</w:t>
            </w:r>
          </w:p>
        </w:tc>
      </w:tr>
      <w:tr w:rsidR="00012172">
        <w:trPr>
          <w:tblCellSpacing w:w="0" w:type="dxa"/>
          <w:jc w:val="center"/>
        </w:trPr>
        <w:tc>
          <w:tcPr>
            <w:tcW w:w="1110" w:type="dxa"/>
            <w:tcBorders>
              <w:top w:val="single" w:sz="2" w:space="0" w:color="auto"/>
              <w:bottom w:val="single" w:sz="6" w:space="0" w:color="auto"/>
            </w:tcBorders>
            <w:vAlign w:val="center"/>
          </w:tcPr>
          <w:p w:rsidR="00012172" w:rsidRDefault="00012172">
            <w:pPr>
              <w:jc w:val="center"/>
              <w:rPr>
                <w:rFonts w:ascii="Arial" w:hAnsi="Arial" w:cs="Arial"/>
              </w:rPr>
            </w:pPr>
            <w:r>
              <w:rPr>
                <w:rFonts w:ascii="Arial" w:hAnsi="Arial" w:cs="Arial"/>
              </w:rPr>
              <w:t>LC 26043</w:t>
            </w:r>
          </w:p>
        </w:tc>
        <w:tc>
          <w:tcPr>
            <w:tcW w:w="4860" w:type="dxa"/>
            <w:tcBorders>
              <w:top w:val="single" w:sz="2" w:space="0" w:color="auto"/>
              <w:bottom w:val="single" w:sz="6" w:space="0" w:color="auto"/>
            </w:tcBorders>
            <w:vAlign w:val="center"/>
          </w:tcPr>
          <w:p w:rsidR="00012172" w:rsidRDefault="00012172">
            <w:pPr>
              <w:rPr>
                <w:rFonts w:ascii="Arial" w:hAnsi="Arial" w:cs="Arial"/>
                <w:sz w:val="22"/>
              </w:rPr>
            </w:pPr>
            <w:r>
              <w:rPr>
                <w:rFonts w:ascii="Arial" w:hAnsi="Arial" w:cs="Arial"/>
                <w:sz w:val="22"/>
              </w:rPr>
              <w:t xml:space="preserve"> Gornja Rijeka (D 22) – Miholec – ŽC 2176</w:t>
            </w:r>
          </w:p>
        </w:tc>
        <w:tc>
          <w:tcPr>
            <w:tcW w:w="1080" w:type="dxa"/>
            <w:tcBorders>
              <w:top w:val="single" w:sz="2" w:space="0" w:color="auto"/>
              <w:bottom w:val="single" w:sz="6" w:space="0" w:color="auto"/>
            </w:tcBorders>
            <w:vAlign w:val="center"/>
          </w:tcPr>
          <w:p w:rsidR="00012172" w:rsidRDefault="00012172">
            <w:pPr>
              <w:jc w:val="center"/>
              <w:rPr>
                <w:rFonts w:ascii="Arial" w:hAnsi="Arial" w:cs="Arial"/>
              </w:rPr>
            </w:pPr>
            <w:r>
              <w:rPr>
                <w:rFonts w:ascii="Arial" w:hAnsi="Arial" w:cs="Arial"/>
              </w:rPr>
              <w:t>2 900</w:t>
            </w:r>
          </w:p>
        </w:tc>
        <w:tc>
          <w:tcPr>
            <w:tcW w:w="1080" w:type="dxa"/>
            <w:tcBorders>
              <w:top w:val="single" w:sz="2" w:space="0" w:color="auto"/>
              <w:bottom w:val="single" w:sz="6" w:space="0" w:color="auto"/>
            </w:tcBorders>
            <w:vAlign w:val="center"/>
          </w:tcPr>
          <w:p w:rsidR="00012172" w:rsidRDefault="00012172">
            <w:pPr>
              <w:jc w:val="center"/>
              <w:rPr>
                <w:rFonts w:ascii="Arial" w:hAnsi="Arial" w:cs="Arial"/>
              </w:rPr>
            </w:pPr>
            <w:r>
              <w:rPr>
                <w:rFonts w:ascii="Arial" w:hAnsi="Arial" w:cs="Arial"/>
              </w:rPr>
              <w:t>1 527</w:t>
            </w:r>
          </w:p>
        </w:tc>
        <w:tc>
          <w:tcPr>
            <w:tcW w:w="1014" w:type="dxa"/>
            <w:tcBorders>
              <w:top w:val="single" w:sz="2" w:space="0" w:color="auto"/>
              <w:bottom w:val="single" w:sz="6" w:space="0" w:color="auto"/>
              <w:right w:val="double" w:sz="4" w:space="0" w:color="auto"/>
            </w:tcBorders>
            <w:vAlign w:val="center"/>
          </w:tcPr>
          <w:p w:rsidR="00012172" w:rsidRDefault="00012172">
            <w:pPr>
              <w:jc w:val="center"/>
              <w:rPr>
                <w:rFonts w:ascii="Arial" w:hAnsi="Arial" w:cs="Arial"/>
              </w:rPr>
            </w:pPr>
            <w:r>
              <w:rPr>
                <w:rFonts w:ascii="Arial" w:hAnsi="Arial" w:cs="Arial"/>
              </w:rPr>
              <w:t>4 427</w:t>
            </w:r>
          </w:p>
        </w:tc>
      </w:tr>
      <w:tr w:rsidR="00012172">
        <w:trPr>
          <w:tblCellSpacing w:w="0" w:type="dxa"/>
          <w:jc w:val="center"/>
        </w:trPr>
        <w:tc>
          <w:tcPr>
            <w:tcW w:w="1110" w:type="dxa"/>
            <w:tcBorders>
              <w:top w:val="single" w:sz="2" w:space="0" w:color="auto"/>
              <w:bottom w:val="single" w:sz="6" w:space="0" w:color="auto"/>
            </w:tcBorders>
            <w:vAlign w:val="center"/>
          </w:tcPr>
          <w:p w:rsidR="00012172" w:rsidRDefault="00012172">
            <w:pPr>
              <w:jc w:val="center"/>
              <w:rPr>
                <w:rFonts w:ascii="Arial" w:hAnsi="Arial" w:cs="Arial"/>
              </w:rPr>
            </w:pPr>
            <w:r>
              <w:rPr>
                <w:rFonts w:ascii="Arial" w:hAnsi="Arial" w:cs="Arial"/>
              </w:rPr>
              <w:t>LC 26044</w:t>
            </w:r>
          </w:p>
        </w:tc>
        <w:tc>
          <w:tcPr>
            <w:tcW w:w="4860" w:type="dxa"/>
            <w:tcBorders>
              <w:top w:val="single" w:sz="2" w:space="0" w:color="auto"/>
              <w:bottom w:val="single" w:sz="6" w:space="0" w:color="auto"/>
            </w:tcBorders>
            <w:vAlign w:val="center"/>
          </w:tcPr>
          <w:p w:rsidR="00012172" w:rsidRDefault="00012172">
            <w:pPr>
              <w:rPr>
                <w:rFonts w:ascii="Arial" w:hAnsi="Arial" w:cs="Arial"/>
                <w:sz w:val="22"/>
              </w:rPr>
            </w:pPr>
            <w:r>
              <w:rPr>
                <w:rFonts w:ascii="Arial" w:hAnsi="Arial" w:cs="Arial"/>
                <w:sz w:val="22"/>
              </w:rPr>
              <w:t xml:space="preserve"> D 22 – Fajerovac (LC 26043)</w:t>
            </w:r>
          </w:p>
        </w:tc>
        <w:tc>
          <w:tcPr>
            <w:tcW w:w="1080" w:type="dxa"/>
            <w:tcBorders>
              <w:top w:val="single" w:sz="2" w:space="0" w:color="auto"/>
              <w:bottom w:val="single" w:sz="6" w:space="0" w:color="auto"/>
            </w:tcBorders>
            <w:vAlign w:val="center"/>
          </w:tcPr>
          <w:p w:rsidR="00012172" w:rsidRDefault="00012172">
            <w:pPr>
              <w:jc w:val="center"/>
              <w:rPr>
                <w:rFonts w:ascii="Arial" w:hAnsi="Arial" w:cs="Arial"/>
              </w:rPr>
            </w:pPr>
            <w:r>
              <w:rPr>
                <w:rFonts w:ascii="Arial" w:hAnsi="Arial" w:cs="Arial"/>
              </w:rPr>
              <w:t>1 780</w:t>
            </w:r>
          </w:p>
        </w:tc>
        <w:tc>
          <w:tcPr>
            <w:tcW w:w="1080" w:type="dxa"/>
            <w:tcBorders>
              <w:top w:val="single" w:sz="2" w:space="0" w:color="auto"/>
              <w:bottom w:val="single" w:sz="6" w:space="0" w:color="auto"/>
            </w:tcBorders>
            <w:vAlign w:val="center"/>
          </w:tcPr>
          <w:p w:rsidR="00012172" w:rsidRDefault="00012172">
            <w:pPr>
              <w:jc w:val="center"/>
              <w:rPr>
                <w:rFonts w:ascii="Arial" w:hAnsi="Arial" w:cs="Arial"/>
              </w:rPr>
            </w:pPr>
            <w:r>
              <w:rPr>
                <w:rFonts w:ascii="Arial" w:hAnsi="Arial" w:cs="Arial"/>
              </w:rPr>
              <w:t>1 195</w:t>
            </w:r>
          </w:p>
        </w:tc>
        <w:tc>
          <w:tcPr>
            <w:tcW w:w="1014" w:type="dxa"/>
            <w:tcBorders>
              <w:top w:val="single" w:sz="2" w:space="0" w:color="auto"/>
              <w:bottom w:val="single" w:sz="6" w:space="0" w:color="auto"/>
              <w:right w:val="double" w:sz="4" w:space="0" w:color="auto"/>
            </w:tcBorders>
            <w:vAlign w:val="center"/>
          </w:tcPr>
          <w:p w:rsidR="00012172" w:rsidRDefault="00012172">
            <w:pPr>
              <w:jc w:val="center"/>
              <w:rPr>
                <w:rFonts w:ascii="Arial" w:hAnsi="Arial" w:cs="Arial"/>
              </w:rPr>
            </w:pPr>
            <w:r>
              <w:rPr>
                <w:rFonts w:ascii="Arial" w:hAnsi="Arial" w:cs="Arial"/>
              </w:rPr>
              <w:t>2 975</w:t>
            </w:r>
          </w:p>
        </w:tc>
      </w:tr>
      <w:tr w:rsidR="00012172">
        <w:trPr>
          <w:tblCellSpacing w:w="0" w:type="dxa"/>
          <w:jc w:val="center"/>
        </w:trPr>
        <w:tc>
          <w:tcPr>
            <w:tcW w:w="1110" w:type="dxa"/>
            <w:tcBorders>
              <w:top w:val="single" w:sz="2" w:space="0" w:color="auto"/>
              <w:bottom w:val="single" w:sz="6" w:space="0" w:color="auto"/>
            </w:tcBorders>
            <w:vAlign w:val="center"/>
          </w:tcPr>
          <w:p w:rsidR="00012172" w:rsidRDefault="00012172">
            <w:pPr>
              <w:jc w:val="center"/>
              <w:rPr>
                <w:rFonts w:ascii="Arial" w:hAnsi="Arial" w:cs="Arial"/>
              </w:rPr>
            </w:pPr>
            <w:r>
              <w:rPr>
                <w:rFonts w:ascii="Arial" w:hAnsi="Arial" w:cs="Arial"/>
              </w:rPr>
              <w:t>LC 26045</w:t>
            </w:r>
          </w:p>
        </w:tc>
        <w:tc>
          <w:tcPr>
            <w:tcW w:w="4860" w:type="dxa"/>
            <w:tcBorders>
              <w:top w:val="single" w:sz="2" w:space="0" w:color="auto"/>
              <w:bottom w:val="single" w:sz="6" w:space="0" w:color="auto"/>
            </w:tcBorders>
            <w:vAlign w:val="center"/>
          </w:tcPr>
          <w:p w:rsidR="00012172" w:rsidRDefault="00012172">
            <w:pPr>
              <w:rPr>
                <w:rFonts w:ascii="Arial" w:hAnsi="Arial" w:cs="Arial"/>
                <w:sz w:val="22"/>
              </w:rPr>
            </w:pPr>
            <w:r>
              <w:rPr>
                <w:rFonts w:ascii="Arial" w:hAnsi="Arial" w:cs="Arial"/>
                <w:sz w:val="22"/>
              </w:rPr>
              <w:t xml:space="preserve"> Nemčevec – LC 26044</w:t>
            </w:r>
          </w:p>
        </w:tc>
        <w:tc>
          <w:tcPr>
            <w:tcW w:w="1080" w:type="dxa"/>
            <w:tcBorders>
              <w:top w:val="single" w:sz="2" w:space="0" w:color="auto"/>
              <w:bottom w:val="single" w:sz="6" w:space="0" w:color="auto"/>
            </w:tcBorders>
            <w:vAlign w:val="center"/>
          </w:tcPr>
          <w:p w:rsidR="00012172" w:rsidRDefault="00012172">
            <w:pPr>
              <w:jc w:val="center"/>
              <w:rPr>
                <w:rFonts w:ascii="Arial" w:hAnsi="Arial" w:cs="Arial"/>
              </w:rPr>
            </w:pPr>
            <w:r>
              <w:rPr>
                <w:rFonts w:ascii="Arial" w:hAnsi="Arial" w:cs="Arial"/>
              </w:rPr>
              <w:t>0</w:t>
            </w:r>
          </w:p>
        </w:tc>
        <w:tc>
          <w:tcPr>
            <w:tcW w:w="1080" w:type="dxa"/>
            <w:tcBorders>
              <w:top w:val="single" w:sz="2" w:space="0" w:color="auto"/>
              <w:bottom w:val="single" w:sz="6" w:space="0" w:color="auto"/>
            </w:tcBorders>
            <w:vAlign w:val="center"/>
          </w:tcPr>
          <w:p w:rsidR="00012172" w:rsidRDefault="00012172">
            <w:pPr>
              <w:jc w:val="center"/>
              <w:rPr>
                <w:rFonts w:ascii="Arial" w:hAnsi="Arial" w:cs="Arial"/>
              </w:rPr>
            </w:pPr>
            <w:r>
              <w:rPr>
                <w:rFonts w:ascii="Arial" w:hAnsi="Arial" w:cs="Arial"/>
              </w:rPr>
              <w:t>689</w:t>
            </w:r>
          </w:p>
        </w:tc>
        <w:tc>
          <w:tcPr>
            <w:tcW w:w="1014" w:type="dxa"/>
            <w:tcBorders>
              <w:top w:val="single" w:sz="2" w:space="0" w:color="auto"/>
              <w:bottom w:val="single" w:sz="6" w:space="0" w:color="auto"/>
              <w:right w:val="double" w:sz="4" w:space="0" w:color="auto"/>
            </w:tcBorders>
            <w:vAlign w:val="center"/>
          </w:tcPr>
          <w:p w:rsidR="00012172" w:rsidRDefault="00012172">
            <w:pPr>
              <w:jc w:val="center"/>
              <w:rPr>
                <w:rFonts w:ascii="Arial" w:hAnsi="Arial" w:cs="Arial"/>
              </w:rPr>
            </w:pPr>
            <w:r>
              <w:rPr>
                <w:rFonts w:ascii="Arial" w:hAnsi="Arial" w:cs="Arial"/>
              </w:rPr>
              <w:t>689</w:t>
            </w:r>
          </w:p>
        </w:tc>
      </w:tr>
      <w:tr w:rsidR="00012172">
        <w:trPr>
          <w:tblCellSpacing w:w="0" w:type="dxa"/>
          <w:jc w:val="center"/>
        </w:trPr>
        <w:tc>
          <w:tcPr>
            <w:tcW w:w="1110" w:type="dxa"/>
            <w:tcBorders>
              <w:top w:val="single" w:sz="2" w:space="0" w:color="auto"/>
              <w:bottom w:val="double" w:sz="4" w:space="0" w:color="auto"/>
            </w:tcBorders>
            <w:vAlign w:val="center"/>
          </w:tcPr>
          <w:p w:rsidR="00012172" w:rsidRDefault="00012172">
            <w:pPr>
              <w:jc w:val="center"/>
              <w:rPr>
                <w:rFonts w:ascii="Arial" w:hAnsi="Arial" w:cs="Arial"/>
              </w:rPr>
            </w:pPr>
            <w:r>
              <w:rPr>
                <w:rFonts w:ascii="Arial" w:hAnsi="Arial" w:cs="Arial"/>
              </w:rPr>
              <w:t>LC 26161</w:t>
            </w:r>
          </w:p>
        </w:tc>
        <w:tc>
          <w:tcPr>
            <w:tcW w:w="4860" w:type="dxa"/>
            <w:tcBorders>
              <w:top w:val="single" w:sz="2" w:space="0" w:color="auto"/>
              <w:bottom w:val="double" w:sz="4" w:space="0" w:color="auto"/>
            </w:tcBorders>
            <w:vAlign w:val="center"/>
          </w:tcPr>
          <w:p w:rsidR="00012172" w:rsidRDefault="00012172">
            <w:pPr>
              <w:rPr>
                <w:rFonts w:ascii="Arial" w:hAnsi="Arial" w:cs="Arial"/>
                <w:sz w:val="22"/>
              </w:rPr>
            </w:pPr>
            <w:r>
              <w:rPr>
                <w:rFonts w:ascii="Arial" w:hAnsi="Arial" w:cs="Arial"/>
                <w:sz w:val="22"/>
              </w:rPr>
              <w:t xml:space="preserve"> Sudovec (D 22) – Vukšinec Riječki – Kolarec (LC 26040)</w:t>
            </w:r>
          </w:p>
        </w:tc>
        <w:tc>
          <w:tcPr>
            <w:tcW w:w="1080" w:type="dxa"/>
            <w:tcBorders>
              <w:top w:val="single" w:sz="2" w:space="0" w:color="auto"/>
              <w:bottom w:val="double" w:sz="4" w:space="0" w:color="auto"/>
            </w:tcBorders>
            <w:vAlign w:val="center"/>
          </w:tcPr>
          <w:p w:rsidR="00012172" w:rsidRDefault="00012172">
            <w:pPr>
              <w:jc w:val="center"/>
              <w:rPr>
                <w:rFonts w:ascii="Arial" w:hAnsi="Arial" w:cs="Arial"/>
              </w:rPr>
            </w:pPr>
            <w:r>
              <w:rPr>
                <w:rFonts w:ascii="Arial" w:hAnsi="Arial" w:cs="Arial"/>
              </w:rPr>
              <w:t>232</w:t>
            </w:r>
          </w:p>
        </w:tc>
        <w:tc>
          <w:tcPr>
            <w:tcW w:w="1080" w:type="dxa"/>
            <w:tcBorders>
              <w:top w:val="single" w:sz="2" w:space="0" w:color="auto"/>
              <w:bottom w:val="double" w:sz="4" w:space="0" w:color="auto"/>
            </w:tcBorders>
            <w:vAlign w:val="center"/>
          </w:tcPr>
          <w:p w:rsidR="00012172" w:rsidRDefault="00012172">
            <w:pPr>
              <w:jc w:val="center"/>
              <w:rPr>
                <w:rFonts w:ascii="Arial" w:hAnsi="Arial" w:cs="Arial"/>
              </w:rPr>
            </w:pPr>
            <w:r>
              <w:rPr>
                <w:rFonts w:ascii="Arial" w:hAnsi="Arial" w:cs="Arial"/>
              </w:rPr>
              <w:t>1 745</w:t>
            </w:r>
          </w:p>
        </w:tc>
        <w:tc>
          <w:tcPr>
            <w:tcW w:w="1014" w:type="dxa"/>
            <w:tcBorders>
              <w:top w:val="single" w:sz="2" w:space="0" w:color="auto"/>
              <w:bottom w:val="double" w:sz="4" w:space="0" w:color="auto"/>
              <w:right w:val="double" w:sz="4" w:space="0" w:color="auto"/>
            </w:tcBorders>
            <w:vAlign w:val="center"/>
          </w:tcPr>
          <w:p w:rsidR="00012172" w:rsidRDefault="00012172">
            <w:pPr>
              <w:jc w:val="center"/>
              <w:rPr>
                <w:rFonts w:ascii="Arial" w:hAnsi="Arial" w:cs="Arial"/>
              </w:rPr>
            </w:pPr>
            <w:r>
              <w:rPr>
                <w:rFonts w:ascii="Arial" w:hAnsi="Arial" w:cs="Arial"/>
              </w:rPr>
              <w:t>1 977</w:t>
            </w:r>
          </w:p>
        </w:tc>
      </w:tr>
      <w:tr w:rsidR="00012172">
        <w:trPr>
          <w:cantSplit/>
          <w:trHeight w:val="429"/>
          <w:tblCellSpacing w:w="0" w:type="dxa"/>
          <w:jc w:val="center"/>
        </w:trPr>
        <w:tc>
          <w:tcPr>
            <w:tcW w:w="5970" w:type="dxa"/>
            <w:gridSpan w:val="2"/>
            <w:tcBorders>
              <w:top w:val="single" w:sz="2" w:space="0" w:color="auto"/>
              <w:bottom w:val="double" w:sz="4" w:space="0" w:color="auto"/>
            </w:tcBorders>
            <w:vAlign w:val="center"/>
          </w:tcPr>
          <w:p w:rsidR="00012172" w:rsidRDefault="00012172">
            <w:pPr>
              <w:jc w:val="right"/>
              <w:rPr>
                <w:rFonts w:ascii="Arial" w:hAnsi="Arial" w:cs="Arial"/>
                <w:b/>
                <w:bCs/>
                <w:sz w:val="20"/>
              </w:rPr>
            </w:pPr>
            <w:r>
              <w:rPr>
                <w:rFonts w:ascii="Arial" w:hAnsi="Arial" w:cs="Arial"/>
                <w:b/>
                <w:bCs/>
                <w:sz w:val="20"/>
              </w:rPr>
              <w:t>LOKALNE CESTE UKUPNO</w:t>
            </w:r>
          </w:p>
        </w:tc>
        <w:tc>
          <w:tcPr>
            <w:tcW w:w="1080" w:type="dxa"/>
            <w:tcBorders>
              <w:top w:val="single" w:sz="2" w:space="0" w:color="auto"/>
              <w:bottom w:val="double" w:sz="4" w:space="0" w:color="auto"/>
            </w:tcBorders>
            <w:vAlign w:val="center"/>
          </w:tcPr>
          <w:p w:rsidR="00012172" w:rsidRDefault="00012172">
            <w:pPr>
              <w:jc w:val="center"/>
              <w:rPr>
                <w:rFonts w:ascii="Arial" w:hAnsi="Arial" w:cs="Arial"/>
              </w:rPr>
            </w:pPr>
            <w:r>
              <w:rPr>
                <w:rFonts w:ascii="Arial" w:hAnsi="Arial" w:cs="Arial"/>
              </w:rPr>
              <w:t>11 434</w:t>
            </w:r>
          </w:p>
        </w:tc>
        <w:tc>
          <w:tcPr>
            <w:tcW w:w="1080" w:type="dxa"/>
            <w:tcBorders>
              <w:top w:val="single" w:sz="2" w:space="0" w:color="auto"/>
              <w:bottom w:val="double" w:sz="4" w:space="0" w:color="auto"/>
            </w:tcBorders>
            <w:vAlign w:val="center"/>
          </w:tcPr>
          <w:p w:rsidR="00012172" w:rsidRDefault="00012172">
            <w:pPr>
              <w:jc w:val="center"/>
              <w:rPr>
                <w:rFonts w:ascii="Arial" w:hAnsi="Arial" w:cs="Arial"/>
              </w:rPr>
            </w:pPr>
            <w:r>
              <w:rPr>
                <w:rFonts w:ascii="Arial" w:hAnsi="Arial" w:cs="Arial"/>
              </w:rPr>
              <w:t>5 156</w:t>
            </w:r>
          </w:p>
        </w:tc>
        <w:tc>
          <w:tcPr>
            <w:tcW w:w="1014" w:type="dxa"/>
            <w:tcBorders>
              <w:top w:val="single" w:sz="2" w:space="0" w:color="auto"/>
              <w:bottom w:val="double" w:sz="4" w:space="0" w:color="auto"/>
              <w:right w:val="double" w:sz="4" w:space="0" w:color="auto"/>
            </w:tcBorders>
            <w:vAlign w:val="center"/>
          </w:tcPr>
          <w:p w:rsidR="00012172" w:rsidRDefault="00012172">
            <w:pPr>
              <w:jc w:val="center"/>
              <w:rPr>
                <w:rFonts w:ascii="Arial" w:hAnsi="Arial" w:cs="Arial"/>
              </w:rPr>
            </w:pPr>
            <w:r>
              <w:rPr>
                <w:rFonts w:ascii="Arial" w:hAnsi="Arial" w:cs="Arial"/>
              </w:rPr>
              <w:t>16 590</w:t>
            </w:r>
          </w:p>
        </w:tc>
      </w:tr>
      <w:tr w:rsidR="00012172">
        <w:trPr>
          <w:cantSplit/>
          <w:tblCellSpacing w:w="0" w:type="dxa"/>
          <w:jc w:val="center"/>
        </w:trPr>
        <w:tc>
          <w:tcPr>
            <w:tcW w:w="9144" w:type="dxa"/>
            <w:gridSpan w:val="5"/>
            <w:tcBorders>
              <w:top w:val="single" w:sz="2" w:space="0" w:color="auto"/>
              <w:bottom w:val="double" w:sz="4" w:space="0" w:color="auto"/>
              <w:right w:val="double" w:sz="4" w:space="0" w:color="auto"/>
            </w:tcBorders>
            <w:vAlign w:val="center"/>
          </w:tcPr>
          <w:p w:rsidR="00012172" w:rsidRDefault="00012172">
            <w:pPr>
              <w:jc w:val="center"/>
              <w:rPr>
                <w:rFonts w:ascii="Arial" w:hAnsi="Arial" w:cs="Arial"/>
              </w:rPr>
            </w:pPr>
          </w:p>
        </w:tc>
      </w:tr>
      <w:tr w:rsidR="00012172">
        <w:trPr>
          <w:cantSplit/>
          <w:trHeight w:val="558"/>
          <w:tblCellSpacing w:w="0" w:type="dxa"/>
          <w:jc w:val="center"/>
        </w:trPr>
        <w:tc>
          <w:tcPr>
            <w:tcW w:w="5970" w:type="dxa"/>
            <w:gridSpan w:val="2"/>
            <w:tcBorders>
              <w:top w:val="single" w:sz="2" w:space="0" w:color="auto"/>
              <w:bottom w:val="double" w:sz="4" w:space="0" w:color="auto"/>
            </w:tcBorders>
            <w:vAlign w:val="center"/>
          </w:tcPr>
          <w:p w:rsidR="00012172" w:rsidRDefault="00012172">
            <w:pPr>
              <w:jc w:val="right"/>
              <w:rPr>
                <w:rFonts w:ascii="Arial" w:hAnsi="Arial" w:cs="Arial"/>
                <w:b/>
                <w:bCs/>
                <w:sz w:val="20"/>
              </w:rPr>
            </w:pPr>
            <w:r>
              <w:rPr>
                <w:rFonts w:ascii="Arial" w:hAnsi="Arial" w:cs="Arial"/>
                <w:b/>
                <w:bCs/>
                <w:sz w:val="20"/>
              </w:rPr>
              <w:t>SVEUKUPNO ŽUPANIJSKE I LOKALNE CESTE</w:t>
            </w:r>
          </w:p>
        </w:tc>
        <w:tc>
          <w:tcPr>
            <w:tcW w:w="1080" w:type="dxa"/>
            <w:tcBorders>
              <w:top w:val="single" w:sz="2" w:space="0" w:color="auto"/>
              <w:bottom w:val="double" w:sz="4" w:space="0" w:color="auto"/>
            </w:tcBorders>
            <w:vAlign w:val="center"/>
          </w:tcPr>
          <w:p w:rsidR="00012172" w:rsidRDefault="00012172">
            <w:pPr>
              <w:jc w:val="center"/>
              <w:rPr>
                <w:rFonts w:ascii="Arial" w:hAnsi="Arial" w:cs="Arial"/>
              </w:rPr>
            </w:pPr>
            <w:r>
              <w:rPr>
                <w:rFonts w:ascii="Arial" w:hAnsi="Arial" w:cs="Arial"/>
              </w:rPr>
              <w:t>13 090</w:t>
            </w:r>
          </w:p>
        </w:tc>
        <w:tc>
          <w:tcPr>
            <w:tcW w:w="1080" w:type="dxa"/>
            <w:tcBorders>
              <w:top w:val="single" w:sz="2" w:space="0" w:color="auto"/>
              <w:bottom w:val="double" w:sz="4" w:space="0" w:color="auto"/>
            </w:tcBorders>
            <w:vAlign w:val="center"/>
          </w:tcPr>
          <w:p w:rsidR="00012172" w:rsidRDefault="00012172">
            <w:pPr>
              <w:jc w:val="center"/>
              <w:rPr>
                <w:rFonts w:ascii="Arial" w:hAnsi="Arial" w:cs="Arial"/>
              </w:rPr>
            </w:pPr>
            <w:r>
              <w:rPr>
                <w:rFonts w:ascii="Arial" w:hAnsi="Arial" w:cs="Arial"/>
              </w:rPr>
              <w:t>5 156</w:t>
            </w:r>
          </w:p>
        </w:tc>
        <w:tc>
          <w:tcPr>
            <w:tcW w:w="1014" w:type="dxa"/>
            <w:tcBorders>
              <w:top w:val="single" w:sz="2" w:space="0" w:color="auto"/>
              <w:bottom w:val="double" w:sz="4" w:space="0" w:color="auto"/>
              <w:right w:val="double" w:sz="4" w:space="0" w:color="auto"/>
            </w:tcBorders>
            <w:vAlign w:val="center"/>
          </w:tcPr>
          <w:p w:rsidR="00012172" w:rsidRDefault="00012172">
            <w:pPr>
              <w:jc w:val="center"/>
              <w:rPr>
                <w:rFonts w:ascii="Arial" w:hAnsi="Arial" w:cs="Arial"/>
              </w:rPr>
            </w:pPr>
            <w:r>
              <w:rPr>
                <w:rFonts w:ascii="Arial" w:hAnsi="Arial" w:cs="Arial"/>
              </w:rPr>
              <w:t>18 246</w:t>
            </w:r>
          </w:p>
        </w:tc>
      </w:tr>
    </w:tbl>
    <w:p w:rsidR="00012172" w:rsidRDefault="00012172">
      <w:pPr>
        <w:rPr>
          <w:rFonts w:ascii="Arial" w:hAnsi="Arial" w:cs="Arial"/>
          <w:sz w:val="20"/>
        </w:rPr>
      </w:pPr>
      <w:r>
        <w:rPr>
          <w:rFonts w:ascii="Arial" w:hAnsi="Arial" w:cs="Arial"/>
          <w:sz w:val="20"/>
        </w:rPr>
        <w:t>Izvor: Županijska uprava za ceste, rujan 2005.</w:t>
      </w:r>
    </w:p>
    <w:p w:rsidR="00012172" w:rsidRDefault="00012172">
      <w:pPr>
        <w:rPr>
          <w:rFonts w:ascii="Arial" w:hAnsi="Arial" w:cs="Arial"/>
        </w:rPr>
      </w:pPr>
    </w:p>
    <w:p w:rsidR="00012172" w:rsidRDefault="00012172">
      <w:pPr>
        <w:jc w:val="both"/>
        <w:rPr>
          <w:rFonts w:ascii="Arial" w:hAnsi="Arial" w:cs="Arial"/>
          <w:sz w:val="22"/>
        </w:rPr>
      </w:pPr>
      <w:r>
        <w:rPr>
          <w:rFonts w:ascii="Arial" w:hAnsi="Arial" w:cs="Arial"/>
          <w:sz w:val="22"/>
        </w:rPr>
        <w:t>Svi asfaltirani kolnici u općini ocijenjeni su ocjenom stanja 0, tj. kao kolnici bez oštećenja ili sa lokalnim oštećenjima na površini manjoj od 30 %.</w:t>
      </w:r>
    </w:p>
    <w:p w:rsidR="00012172" w:rsidRDefault="00012172">
      <w:pPr>
        <w:jc w:val="both"/>
        <w:rPr>
          <w:rFonts w:ascii="Arial" w:hAnsi="Arial" w:cs="Arial"/>
          <w:sz w:val="22"/>
        </w:rPr>
      </w:pPr>
    </w:p>
    <w:p w:rsidR="00012172" w:rsidRDefault="00012172">
      <w:pPr>
        <w:jc w:val="both"/>
        <w:rPr>
          <w:rFonts w:ascii="Arial" w:hAnsi="Arial" w:cs="Arial"/>
        </w:rPr>
      </w:pPr>
      <w:r>
        <w:rPr>
          <w:rFonts w:ascii="Arial" w:hAnsi="Arial" w:cs="Arial"/>
          <w:sz w:val="22"/>
        </w:rPr>
        <w:t>Državna cesta D22 pruža se prostorom općine u smjeru istok – zapad te preko općinskog središta Gornje Rijeke i Kalničkog gorja povezuje Koprivničko – križevačku sa Varaždinskom županijom, odnosno gradom Novi Marof. Državna cesta D22 ujedno je najkraća veza za priključak na autoput A3 Zagreb – granični prijelaz</w:t>
      </w:r>
      <w:r>
        <w:rPr>
          <w:rFonts w:ascii="Arial" w:hAnsi="Arial" w:cs="Arial"/>
          <w:color w:val="0000FF"/>
        </w:rPr>
        <w:t xml:space="preserve"> </w:t>
      </w:r>
      <w:r>
        <w:rPr>
          <w:rFonts w:ascii="Arial" w:hAnsi="Arial" w:cs="Arial"/>
        </w:rPr>
        <w:t>Goričan, odnosno najbrža veza općine sa Zagrebom. Unutar same općine D22 povezuje naselja Dropkovec i Gornja Rijeka.</w:t>
      </w:r>
    </w:p>
    <w:p w:rsidR="00012172" w:rsidRDefault="00012172">
      <w:pPr>
        <w:jc w:val="both"/>
        <w:rPr>
          <w:rFonts w:ascii="Arial" w:hAnsi="Arial" w:cs="Arial"/>
          <w:sz w:val="22"/>
        </w:rPr>
      </w:pPr>
      <w:r>
        <w:rPr>
          <w:rFonts w:ascii="Arial" w:hAnsi="Arial" w:cs="Arial"/>
          <w:sz w:val="22"/>
        </w:rPr>
        <w:lastRenderedPageBreak/>
        <w:t xml:space="preserve">Kao županijska cesta kategoriziran je samo jedan smjer u općini; ŽC 2244 Sudovec – Pofuki – Bisag, od koje svega </w:t>
      </w:r>
      <w:smartTag w:uri="urn:schemas-microsoft-com:office:smarttags" w:element="metricconverter">
        <w:smartTagPr>
          <w:attr w:name="ProductID" w:val="1656 metara"/>
        </w:smartTagPr>
        <w:r>
          <w:rPr>
            <w:rFonts w:ascii="Arial" w:hAnsi="Arial" w:cs="Arial"/>
            <w:sz w:val="22"/>
          </w:rPr>
          <w:t>1656 metara</w:t>
        </w:r>
      </w:smartTag>
      <w:r>
        <w:rPr>
          <w:rFonts w:ascii="Arial" w:hAnsi="Arial" w:cs="Arial"/>
          <w:sz w:val="22"/>
        </w:rPr>
        <w:t xml:space="preserve"> prolazi prostorom općine, kroz samo naselje Pofuki. Županijska cesta kroz općinu je cijelom dužinom asfaltirana.</w:t>
      </w:r>
    </w:p>
    <w:p w:rsidR="00012172" w:rsidRDefault="00012172">
      <w:pPr>
        <w:jc w:val="both"/>
        <w:rPr>
          <w:rFonts w:ascii="Arial" w:hAnsi="Arial" w:cs="Arial"/>
          <w:sz w:val="22"/>
        </w:rPr>
      </w:pPr>
      <w:r>
        <w:rPr>
          <w:rFonts w:ascii="Arial" w:hAnsi="Arial" w:cs="Arial"/>
          <w:sz w:val="22"/>
        </w:rPr>
        <w:t>Cestovna prometna komunikacija unutar same općine, osim državnom i županijskom, osigurana je sustavom lokalnih i nerazvrstanih cesta. Lokalne ceste su većim dijelom asfaltirane (otprilike dvije trećine) i u dobrom su stanju.</w:t>
      </w:r>
    </w:p>
    <w:p w:rsidR="00012172" w:rsidRDefault="00012172">
      <w:pPr>
        <w:jc w:val="both"/>
        <w:rPr>
          <w:rFonts w:ascii="Arial" w:hAnsi="Arial" w:cs="Arial"/>
        </w:rPr>
      </w:pPr>
    </w:p>
    <w:p w:rsidR="00012172" w:rsidRDefault="00012172">
      <w:pPr>
        <w:pStyle w:val="Tijeloteksta-uvlaka3"/>
        <w:ind w:left="0"/>
        <w:rPr>
          <w:rFonts w:cs="Arial"/>
          <w:sz w:val="24"/>
        </w:rPr>
      </w:pPr>
    </w:p>
    <w:p w:rsidR="00012172" w:rsidRDefault="008F6679">
      <w:pPr>
        <w:jc w:val="center"/>
      </w:pPr>
      <w:r>
        <w:rPr>
          <w:noProof/>
        </w:rPr>
        <w:drawing>
          <wp:inline distT="0" distB="0" distL="0" distR="0">
            <wp:extent cx="3009900" cy="4241800"/>
            <wp:effectExtent l="19050" t="19050" r="19050" b="25400"/>
            <wp:docPr id="4" name="Slika 4" descr="c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s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900" cy="4241800"/>
                    </a:xfrm>
                    <a:prstGeom prst="rect">
                      <a:avLst/>
                    </a:prstGeom>
                    <a:noFill/>
                    <a:ln w="19050" cmpd="dbl">
                      <a:solidFill>
                        <a:srgbClr val="000000"/>
                      </a:solidFill>
                      <a:miter lim="800000"/>
                      <a:headEnd/>
                      <a:tailEnd/>
                    </a:ln>
                    <a:effectLst/>
                  </pic:spPr>
                </pic:pic>
              </a:graphicData>
            </a:graphic>
          </wp:inline>
        </w:drawing>
      </w:r>
    </w:p>
    <w:p w:rsidR="00012172" w:rsidRDefault="00012172">
      <w:pPr>
        <w:pStyle w:val="Opisslike"/>
        <w:jc w:val="center"/>
        <w:rPr>
          <w:rFonts w:ascii="Times New Roman" w:hAnsi="Times New Roman"/>
          <w:b/>
          <w:bCs w:val="0"/>
          <w:sz w:val="22"/>
        </w:rPr>
      </w:pPr>
      <w:bookmarkStart w:id="21" w:name="_Toc135185917"/>
      <w:r>
        <w:rPr>
          <w:rFonts w:ascii="Times New Roman" w:hAnsi="Times New Roman"/>
          <w:b/>
          <w:bCs w:val="0"/>
          <w:sz w:val="22"/>
        </w:rPr>
        <w:t xml:space="preserve">Slika </w:t>
      </w:r>
      <w:r>
        <w:rPr>
          <w:rFonts w:ascii="Times New Roman" w:hAnsi="Times New Roman"/>
          <w:b/>
          <w:bCs w:val="0"/>
          <w:sz w:val="22"/>
        </w:rPr>
        <w:fldChar w:fldCharType="begin"/>
      </w:r>
      <w:r>
        <w:rPr>
          <w:rFonts w:ascii="Times New Roman" w:hAnsi="Times New Roman"/>
          <w:b/>
          <w:bCs w:val="0"/>
          <w:sz w:val="22"/>
        </w:rPr>
        <w:instrText xml:space="preserve"> SEQ Slika \* ARABIC </w:instrText>
      </w:r>
      <w:r>
        <w:rPr>
          <w:rFonts w:ascii="Times New Roman" w:hAnsi="Times New Roman"/>
          <w:b/>
          <w:bCs w:val="0"/>
          <w:sz w:val="22"/>
        </w:rPr>
        <w:fldChar w:fldCharType="separate"/>
      </w:r>
      <w:r w:rsidR="002B1815">
        <w:rPr>
          <w:rFonts w:ascii="Times New Roman" w:hAnsi="Times New Roman"/>
          <w:b/>
          <w:bCs w:val="0"/>
          <w:noProof/>
          <w:sz w:val="22"/>
        </w:rPr>
        <w:t>4</w:t>
      </w:r>
      <w:r>
        <w:rPr>
          <w:rFonts w:ascii="Times New Roman" w:hAnsi="Times New Roman"/>
          <w:b/>
          <w:bCs w:val="0"/>
          <w:sz w:val="22"/>
        </w:rPr>
        <w:fldChar w:fldCharType="end"/>
      </w:r>
      <w:r>
        <w:rPr>
          <w:rFonts w:ascii="Times New Roman" w:hAnsi="Times New Roman"/>
          <w:b/>
          <w:bCs w:val="0"/>
          <w:sz w:val="22"/>
        </w:rPr>
        <w:t>: Prometna infrastruktura</w:t>
      </w:r>
      <w:bookmarkEnd w:id="21"/>
    </w:p>
    <w:p w:rsidR="00012172" w:rsidRDefault="00012172"/>
    <w:p w:rsidR="00012172" w:rsidRDefault="00012172">
      <w:pPr>
        <w:jc w:val="both"/>
        <w:rPr>
          <w:rFonts w:ascii="Arial" w:hAnsi="Arial"/>
          <w:sz w:val="22"/>
          <w:szCs w:val="22"/>
        </w:rPr>
      </w:pPr>
    </w:p>
    <w:p w:rsidR="00012172" w:rsidRDefault="00012172">
      <w:pPr>
        <w:rPr>
          <w:rFonts w:ascii="Arial" w:hAnsi="Arial" w:cs="Arial"/>
          <w:b/>
          <w:sz w:val="22"/>
          <w:szCs w:val="22"/>
        </w:rPr>
      </w:pPr>
      <w:r>
        <w:rPr>
          <w:rFonts w:ascii="Arial" w:hAnsi="Arial" w:cs="Arial"/>
          <w:b/>
          <w:sz w:val="22"/>
          <w:szCs w:val="22"/>
        </w:rPr>
        <w:t>Poštanski promet</w:t>
      </w:r>
    </w:p>
    <w:p w:rsidR="00012172" w:rsidRDefault="00012172">
      <w:pPr>
        <w:jc w:val="both"/>
        <w:rPr>
          <w:rFonts w:ascii="Arial" w:hAnsi="Arial" w:cs="Arial"/>
          <w:sz w:val="22"/>
        </w:rPr>
      </w:pPr>
      <w:r>
        <w:rPr>
          <w:rFonts w:ascii="Arial" w:hAnsi="Arial" w:cs="Arial"/>
          <w:sz w:val="22"/>
        </w:rPr>
        <w:t>Za odvijanje poštanskog prometa na području Koprivničko – križevačke županije nadležno je Poštansko središte Koprivnica, sa svoja 34 poštanska ureda. Uz standardne poštanske usluge u poštanskim uredima se obavlja novčano poslovanje, mjenjački poslovi, prodaja tiska i časopisa, knjiga i slikovnica, te razne trgovačke robe.</w:t>
      </w:r>
    </w:p>
    <w:p w:rsidR="00012172" w:rsidRDefault="00012172">
      <w:pPr>
        <w:jc w:val="both"/>
        <w:rPr>
          <w:rFonts w:ascii="Arial" w:hAnsi="Arial" w:cs="Arial"/>
          <w:sz w:val="22"/>
        </w:rPr>
      </w:pPr>
      <w:r>
        <w:rPr>
          <w:rFonts w:ascii="Arial" w:hAnsi="Arial" w:cs="Arial"/>
          <w:sz w:val="22"/>
        </w:rPr>
        <w:t>U općini Gornja Rijeka posluje Poštanski ured 48268 Gornja Rijeka, lociran u središtu naselja Gornja Rijeka. Poštanski ured vrši dostavu poštanskih pošiljaka u slijedeća naselja: Barlabaševec, Bogačevo Riječko, Brezje Miholečko, Deklešanec, Donja Rijeka, Dropkovec, Đurinečko Selo, Fajerovec, Fodrovec Riječki, Gornja Rijeka, Kolarec, Kostanjevec Riječki, Kusijevec, Lukačevac, Mokrice Miholečke, Nemčevec, Novoseli, Pofuki, Sudovec, Štrigovec i Vukšinec.</w:t>
      </w:r>
    </w:p>
    <w:p w:rsidR="00012172" w:rsidRDefault="00012172">
      <w:pPr>
        <w:jc w:val="both"/>
        <w:rPr>
          <w:rFonts w:ascii="Arial" w:hAnsi="Arial" w:cs="Arial"/>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0"/>
        <w:gridCol w:w="1800"/>
      </w:tblGrid>
      <w:tr w:rsidR="00012172">
        <w:tblPrEx>
          <w:tblCellMar>
            <w:top w:w="0" w:type="dxa"/>
            <w:bottom w:w="0" w:type="dxa"/>
          </w:tblCellMar>
        </w:tblPrEx>
        <w:tc>
          <w:tcPr>
            <w:tcW w:w="5400" w:type="dxa"/>
            <w:vAlign w:val="center"/>
          </w:tcPr>
          <w:p w:rsidR="00012172" w:rsidRDefault="00012172">
            <w:pPr>
              <w:rPr>
                <w:rFonts w:ascii="Arial" w:hAnsi="Arial" w:cs="Arial"/>
                <w:sz w:val="18"/>
              </w:rPr>
            </w:pPr>
            <w:r>
              <w:rPr>
                <w:rFonts w:ascii="Arial" w:hAnsi="Arial" w:cs="Arial"/>
                <w:sz w:val="18"/>
              </w:rPr>
              <w:t>BROJ POŠTANSKIH UREDA NA PODRUČJU OPĆINE</w:t>
            </w:r>
          </w:p>
        </w:tc>
        <w:tc>
          <w:tcPr>
            <w:tcW w:w="1800" w:type="dxa"/>
          </w:tcPr>
          <w:p w:rsidR="00012172" w:rsidRDefault="00012172">
            <w:pPr>
              <w:pStyle w:val="xl30"/>
              <w:pBdr>
                <w:left w:val="none" w:sz="0" w:space="0" w:color="auto"/>
                <w:bottom w:val="none" w:sz="0" w:space="0" w:color="auto"/>
              </w:pBdr>
              <w:spacing w:before="0" w:beforeAutospacing="0" w:after="0" w:afterAutospacing="0"/>
              <w:rPr>
                <w:rFonts w:ascii="Arial" w:hAnsi="Arial" w:cs="Arial"/>
              </w:rPr>
            </w:pPr>
            <w:r>
              <w:rPr>
                <w:rFonts w:ascii="Arial" w:hAnsi="Arial" w:cs="Arial"/>
              </w:rPr>
              <w:t>1</w:t>
            </w:r>
          </w:p>
        </w:tc>
      </w:tr>
      <w:tr w:rsidR="00012172">
        <w:tblPrEx>
          <w:tblCellMar>
            <w:top w:w="0" w:type="dxa"/>
            <w:bottom w:w="0" w:type="dxa"/>
          </w:tblCellMar>
        </w:tblPrEx>
        <w:tc>
          <w:tcPr>
            <w:tcW w:w="5400" w:type="dxa"/>
            <w:vAlign w:val="center"/>
          </w:tcPr>
          <w:p w:rsidR="00012172" w:rsidRDefault="00012172">
            <w:pPr>
              <w:rPr>
                <w:rFonts w:ascii="Arial" w:hAnsi="Arial" w:cs="Arial"/>
                <w:sz w:val="18"/>
              </w:rPr>
            </w:pPr>
            <w:r>
              <w:rPr>
                <w:rFonts w:ascii="Arial" w:hAnsi="Arial" w:cs="Arial"/>
                <w:sz w:val="18"/>
              </w:rPr>
              <w:t>BROJ STANOVNIKA NA JEDAN POŠTANSKI URED</w:t>
            </w:r>
          </w:p>
        </w:tc>
        <w:tc>
          <w:tcPr>
            <w:tcW w:w="1800" w:type="dxa"/>
          </w:tcPr>
          <w:p w:rsidR="00012172" w:rsidRDefault="00012172">
            <w:pPr>
              <w:jc w:val="center"/>
              <w:rPr>
                <w:rFonts w:ascii="Arial" w:hAnsi="Arial" w:cs="Arial"/>
              </w:rPr>
            </w:pPr>
            <w:r>
              <w:rPr>
                <w:rFonts w:ascii="Arial" w:hAnsi="Arial" w:cs="Arial"/>
              </w:rPr>
              <w:t>2033</w:t>
            </w:r>
          </w:p>
        </w:tc>
      </w:tr>
      <w:tr w:rsidR="00012172">
        <w:tblPrEx>
          <w:tblCellMar>
            <w:top w:w="0" w:type="dxa"/>
            <w:bottom w:w="0" w:type="dxa"/>
          </w:tblCellMar>
        </w:tblPrEx>
        <w:tc>
          <w:tcPr>
            <w:tcW w:w="5400" w:type="dxa"/>
            <w:vAlign w:val="center"/>
          </w:tcPr>
          <w:p w:rsidR="00012172" w:rsidRDefault="00012172">
            <w:pPr>
              <w:rPr>
                <w:rFonts w:ascii="Arial" w:hAnsi="Arial" w:cs="Arial"/>
                <w:sz w:val="18"/>
              </w:rPr>
            </w:pPr>
            <w:r>
              <w:rPr>
                <w:rFonts w:ascii="Arial" w:hAnsi="Arial" w:cs="Arial"/>
                <w:sz w:val="18"/>
              </w:rPr>
              <w:t>BROJ POŠTANSKIH ŠALTERA</w:t>
            </w:r>
          </w:p>
        </w:tc>
        <w:tc>
          <w:tcPr>
            <w:tcW w:w="1800" w:type="dxa"/>
          </w:tcPr>
          <w:p w:rsidR="00012172" w:rsidRDefault="00012172">
            <w:pPr>
              <w:jc w:val="center"/>
              <w:rPr>
                <w:rFonts w:ascii="Arial" w:hAnsi="Arial" w:cs="Arial"/>
              </w:rPr>
            </w:pPr>
            <w:r>
              <w:rPr>
                <w:rFonts w:ascii="Arial" w:hAnsi="Arial" w:cs="Arial"/>
              </w:rPr>
              <w:t>1</w:t>
            </w:r>
          </w:p>
        </w:tc>
      </w:tr>
      <w:tr w:rsidR="00012172">
        <w:tblPrEx>
          <w:tblCellMar>
            <w:top w:w="0" w:type="dxa"/>
            <w:bottom w:w="0" w:type="dxa"/>
          </w:tblCellMar>
        </w:tblPrEx>
        <w:tc>
          <w:tcPr>
            <w:tcW w:w="5400" w:type="dxa"/>
            <w:vAlign w:val="center"/>
          </w:tcPr>
          <w:p w:rsidR="00012172" w:rsidRDefault="00012172">
            <w:pPr>
              <w:rPr>
                <w:rFonts w:ascii="Arial" w:hAnsi="Arial" w:cs="Arial"/>
                <w:sz w:val="18"/>
              </w:rPr>
            </w:pPr>
            <w:r>
              <w:rPr>
                <w:rFonts w:ascii="Arial" w:hAnsi="Arial" w:cs="Arial"/>
                <w:sz w:val="18"/>
              </w:rPr>
              <w:t>BROJ STANOVNIKA NA JEDAN POŠTANSKI ŠALTER</w:t>
            </w:r>
          </w:p>
        </w:tc>
        <w:tc>
          <w:tcPr>
            <w:tcW w:w="1800" w:type="dxa"/>
          </w:tcPr>
          <w:p w:rsidR="00012172" w:rsidRDefault="00012172">
            <w:pPr>
              <w:jc w:val="center"/>
              <w:rPr>
                <w:rFonts w:ascii="Arial" w:hAnsi="Arial" w:cs="Arial"/>
              </w:rPr>
            </w:pPr>
            <w:r>
              <w:rPr>
                <w:rFonts w:ascii="Arial" w:hAnsi="Arial" w:cs="Arial"/>
              </w:rPr>
              <w:t>2033</w:t>
            </w:r>
          </w:p>
        </w:tc>
      </w:tr>
      <w:tr w:rsidR="00012172">
        <w:tblPrEx>
          <w:tblCellMar>
            <w:top w:w="0" w:type="dxa"/>
            <w:bottom w:w="0" w:type="dxa"/>
          </w:tblCellMar>
        </w:tblPrEx>
        <w:trPr>
          <w:cantSplit/>
          <w:trHeight w:val="135"/>
        </w:trPr>
        <w:tc>
          <w:tcPr>
            <w:tcW w:w="5400" w:type="dxa"/>
            <w:vAlign w:val="center"/>
          </w:tcPr>
          <w:p w:rsidR="00012172" w:rsidRDefault="00012172">
            <w:pPr>
              <w:rPr>
                <w:rFonts w:ascii="Arial" w:hAnsi="Arial" w:cs="Arial"/>
                <w:sz w:val="18"/>
              </w:rPr>
            </w:pPr>
            <w:r>
              <w:rPr>
                <w:rFonts w:ascii="Arial" w:hAnsi="Arial" w:cs="Arial"/>
                <w:sz w:val="18"/>
              </w:rPr>
              <w:lastRenderedPageBreak/>
              <w:t>BROJ POŠTANSKIH KOVČEŽIĆA</w:t>
            </w:r>
          </w:p>
        </w:tc>
        <w:tc>
          <w:tcPr>
            <w:tcW w:w="1800" w:type="dxa"/>
          </w:tcPr>
          <w:p w:rsidR="00012172" w:rsidRDefault="00012172">
            <w:pPr>
              <w:jc w:val="center"/>
              <w:rPr>
                <w:rFonts w:ascii="Arial" w:hAnsi="Arial" w:cs="Arial"/>
              </w:rPr>
            </w:pPr>
            <w:r>
              <w:rPr>
                <w:rFonts w:ascii="Arial" w:hAnsi="Arial" w:cs="Arial"/>
              </w:rPr>
              <w:t>2</w:t>
            </w:r>
          </w:p>
        </w:tc>
      </w:tr>
      <w:tr w:rsidR="00012172">
        <w:tblPrEx>
          <w:tblCellMar>
            <w:top w:w="0" w:type="dxa"/>
            <w:bottom w:w="0" w:type="dxa"/>
          </w:tblCellMar>
        </w:tblPrEx>
        <w:trPr>
          <w:cantSplit/>
          <w:trHeight w:val="135"/>
        </w:trPr>
        <w:tc>
          <w:tcPr>
            <w:tcW w:w="5400" w:type="dxa"/>
            <w:vAlign w:val="center"/>
          </w:tcPr>
          <w:p w:rsidR="00012172" w:rsidRDefault="00012172">
            <w:pPr>
              <w:rPr>
                <w:rFonts w:ascii="Arial" w:hAnsi="Arial" w:cs="Arial"/>
                <w:sz w:val="18"/>
              </w:rPr>
            </w:pPr>
            <w:r>
              <w:rPr>
                <w:rFonts w:ascii="Arial" w:hAnsi="Arial" w:cs="Arial"/>
                <w:sz w:val="18"/>
              </w:rPr>
              <w:t>BROJ STANOVNIKA NA JEDAN POŠTANSKI KOVČEŽIĆ</w:t>
            </w:r>
          </w:p>
        </w:tc>
        <w:tc>
          <w:tcPr>
            <w:tcW w:w="1800" w:type="dxa"/>
          </w:tcPr>
          <w:p w:rsidR="00012172" w:rsidRDefault="00012172">
            <w:pPr>
              <w:jc w:val="center"/>
              <w:rPr>
                <w:rFonts w:ascii="Arial" w:hAnsi="Arial" w:cs="Arial"/>
              </w:rPr>
            </w:pPr>
            <w:r>
              <w:rPr>
                <w:rFonts w:ascii="Arial" w:hAnsi="Arial" w:cs="Arial"/>
              </w:rPr>
              <w:t>1017</w:t>
            </w:r>
          </w:p>
        </w:tc>
      </w:tr>
      <w:tr w:rsidR="00012172">
        <w:tblPrEx>
          <w:tblCellMar>
            <w:top w:w="0" w:type="dxa"/>
            <w:bottom w:w="0" w:type="dxa"/>
          </w:tblCellMar>
        </w:tblPrEx>
        <w:tc>
          <w:tcPr>
            <w:tcW w:w="5400" w:type="dxa"/>
            <w:vAlign w:val="center"/>
          </w:tcPr>
          <w:p w:rsidR="00012172" w:rsidRDefault="00012172">
            <w:pPr>
              <w:rPr>
                <w:rFonts w:ascii="Arial" w:hAnsi="Arial" w:cs="Arial"/>
                <w:sz w:val="18"/>
              </w:rPr>
            </w:pPr>
            <w:r>
              <w:rPr>
                <w:rFonts w:ascii="Arial" w:hAnsi="Arial" w:cs="Arial"/>
                <w:sz w:val="18"/>
              </w:rPr>
              <w:t>BROJ km</w:t>
            </w:r>
            <w:r>
              <w:rPr>
                <w:rFonts w:ascii="Helvetica" w:hAnsi="Helvetica" w:cs="Arial"/>
                <w:sz w:val="18"/>
                <w:vertAlign w:val="superscript"/>
              </w:rPr>
              <w:t>2</w:t>
            </w:r>
            <w:r>
              <w:rPr>
                <w:rFonts w:ascii="Arial" w:hAnsi="Arial" w:cs="Arial"/>
                <w:sz w:val="18"/>
              </w:rPr>
              <w:t xml:space="preserve"> NA JEDAN POŠTANSKI URED</w:t>
            </w:r>
          </w:p>
        </w:tc>
        <w:tc>
          <w:tcPr>
            <w:tcW w:w="1800" w:type="dxa"/>
          </w:tcPr>
          <w:p w:rsidR="00012172" w:rsidRDefault="00012172">
            <w:pPr>
              <w:jc w:val="center"/>
              <w:rPr>
                <w:rFonts w:ascii="Arial" w:hAnsi="Arial" w:cs="Arial"/>
              </w:rPr>
            </w:pPr>
            <w:r>
              <w:rPr>
                <w:rFonts w:ascii="Arial" w:hAnsi="Arial" w:cs="Arial"/>
              </w:rPr>
              <w:t>94,5</w:t>
            </w:r>
          </w:p>
        </w:tc>
      </w:tr>
      <w:tr w:rsidR="00012172">
        <w:tblPrEx>
          <w:tblCellMar>
            <w:top w:w="0" w:type="dxa"/>
            <w:bottom w:w="0" w:type="dxa"/>
          </w:tblCellMar>
        </w:tblPrEx>
        <w:tc>
          <w:tcPr>
            <w:tcW w:w="5400" w:type="dxa"/>
            <w:vAlign w:val="center"/>
          </w:tcPr>
          <w:p w:rsidR="00012172" w:rsidRDefault="00012172">
            <w:pPr>
              <w:rPr>
                <w:rFonts w:ascii="Arial" w:hAnsi="Arial" w:cs="Arial"/>
                <w:sz w:val="18"/>
              </w:rPr>
            </w:pPr>
            <w:r>
              <w:rPr>
                <w:rFonts w:ascii="Arial" w:hAnsi="Arial" w:cs="Arial"/>
                <w:sz w:val="18"/>
              </w:rPr>
              <w:t>BROJ km</w:t>
            </w:r>
            <w:r>
              <w:rPr>
                <w:rFonts w:ascii="Helvetica" w:hAnsi="Helvetica" w:cs="Arial"/>
                <w:sz w:val="18"/>
                <w:vertAlign w:val="superscript"/>
              </w:rPr>
              <w:t>2</w:t>
            </w:r>
            <w:r>
              <w:rPr>
                <w:rFonts w:ascii="Arial" w:hAnsi="Arial" w:cs="Arial"/>
                <w:sz w:val="18"/>
              </w:rPr>
              <w:t xml:space="preserve"> NA JEDAN POŠTANSKI KOVČEŽIĆ</w:t>
            </w:r>
          </w:p>
        </w:tc>
        <w:tc>
          <w:tcPr>
            <w:tcW w:w="1800" w:type="dxa"/>
          </w:tcPr>
          <w:p w:rsidR="00012172" w:rsidRDefault="00012172">
            <w:pPr>
              <w:jc w:val="center"/>
              <w:rPr>
                <w:rFonts w:ascii="Arial" w:hAnsi="Arial" w:cs="Arial"/>
              </w:rPr>
            </w:pPr>
            <w:r>
              <w:rPr>
                <w:rFonts w:ascii="Arial" w:hAnsi="Arial" w:cs="Arial"/>
              </w:rPr>
              <w:t>47,25</w:t>
            </w:r>
          </w:p>
        </w:tc>
      </w:tr>
    </w:tbl>
    <w:p w:rsidR="00012172" w:rsidRDefault="00012172">
      <w:pPr>
        <w:ind w:left="708" w:firstLine="708"/>
        <w:jc w:val="both"/>
        <w:rPr>
          <w:rFonts w:ascii="Arial" w:hAnsi="Arial" w:cs="Arial"/>
          <w:sz w:val="16"/>
        </w:rPr>
      </w:pPr>
      <w:r>
        <w:rPr>
          <w:rFonts w:ascii="Arial" w:hAnsi="Arial" w:cs="Arial"/>
          <w:sz w:val="16"/>
        </w:rPr>
        <w:t>Izvor: HP-Hrvatska pošta d.d., kolovoz 2005.</w:t>
      </w:r>
    </w:p>
    <w:p w:rsidR="00012172" w:rsidRDefault="00012172"/>
    <w:p w:rsidR="00012172" w:rsidRDefault="00012172">
      <w:pPr>
        <w:pStyle w:val="Opisslike"/>
        <w:rPr>
          <w:rFonts w:ascii="Times New Roman" w:hAnsi="Times New Roman"/>
          <w:b/>
          <w:bCs w:val="0"/>
          <w:sz w:val="22"/>
          <w:szCs w:val="22"/>
        </w:rPr>
      </w:pPr>
    </w:p>
    <w:p w:rsidR="00012172" w:rsidRDefault="00012172">
      <w:pPr>
        <w:jc w:val="both"/>
        <w:rPr>
          <w:rFonts w:ascii="Arial" w:hAnsi="Arial"/>
          <w:b/>
          <w:sz w:val="22"/>
          <w:szCs w:val="22"/>
        </w:rPr>
      </w:pPr>
    </w:p>
    <w:p w:rsidR="00012172" w:rsidRDefault="00012172">
      <w:pPr>
        <w:jc w:val="both"/>
        <w:rPr>
          <w:rFonts w:ascii="Arial" w:hAnsi="Arial"/>
          <w:b/>
          <w:sz w:val="22"/>
          <w:szCs w:val="22"/>
        </w:rPr>
      </w:pPr>
    </w:p>
    <w:p w:rsidR="00012172" w:rsidRDefault="00012172">
      <w:pPr>
        <w:jc w:val="both"/>
        <w:rPr>
          <w:rFonts w:ascii="Arial" w:hAnsi="Arial"/>
          <w:b/>
          <w:sz w:val="22"/>
          <w:szCs w:val="22"/>
        </w:rPr>
      </w:pPr>
    </w:p>
    <w:p w:rsidR="00012172" w:rsidRDefault="00012172">
      <w:pPr>
        <w:jc w:val="both"/>
        <w:rPr>
          <w:rFonts w:ascii="Arial" w:hAnsi="Arial" w:cs="Arial"/>
          <w:b/>
          <w:szCs w:val="22"/>
        </w:rPr>
      </w:pPr>
      <w:r>
        <w:rPr>
          <w:rFonts w:ascii="Arial" w:hAnsi="Arial" w:cs="Arial"/>
          <w:b/>
          <w:szCs w:val="22"/>
        </w:rPr>
        <w:t>Telekomunikacije</w:t>
      </w:r>
    </w:p>
    <w:p w:rsidR="00012172" w:rsidRDefault="00012172">
      <w:pPr>
        <w:pStyle w:val="StandardWeb"/>
        <w:spacing w:before="0" w:beforeAutospacing="0" w:after="0" w:afterAutospacing="0"/>
        <w:rPr>
          <w:rFonts w:ascii="Arial" w:hAnsi="Arial" w:cs="Arial"/>
        </w:rPr>
      </w:pPr>
      <w:r>
        <w:rPr>
          <w:rFonts w:ascii="Arial" w:hAnsi="Arial" w:cs="Arial"/>
        </w:rPr>
        <w:t>Fiksna mreža</w:t>
      </w:r>
    </w:p>
    <w:p w:rsidR="00012172" w:rsidRDefault="00012172">
      <w:pPr>
        <w:pStyle w:val="Tijeloteksta-uvlaka3"/>
        <w:ind w:left="0"/>
        <w:rPr>
          <w:rFonts w:cs="Arial"/>
        </w:rPr>
      </w:pPr>
      <w:r>
        <w:rPr>
          <w:rFonts w:cs="Arial"/>
        </w:rPr>
        <w:t>Koncesiju za obavljanje usluga u nepokretnoj mreži na području općine Gornja Rijeka, kao i Koprivničko – križevačke županije te Republike Hrvatske imaju Hrvatske telekomunikacije d.d. (T-HT), javno poduzeće u vlasništvu Deutche Telekoma (DT) i djelomičnom državnom vlasništvu. Hrvatske telekomunikacije su organizirane po</w:t>
      </w:r>
      <w:r>
        <w:rPr>
          <w:rFonts w:cs="Arial"/>
          <w:color w:val="0000FF"/>
        </w:rPr>
        <w:t xml:space="preserve"> </w:t>
      </w:r>
      <w:r>
        <w:rPr>
          <w:rFonts w:cs="Arial"/>
        </w:rPr>
        <w:t>principu teritorijalnog ustroja, pa na području općine Gornja Rijeka usluge na nepokretnoj mreži pruža HT-d.d., Regija 1 sjever, GP Bjelovar-Koprivnica, Bjelovar.</w:t>
      </w:r>
    </w:p>
    <w:p w:rsidR="00012172" w:rsidRDefault="00012172">
      <w:pPr>
        <w:rPr>
          <w:rFonts w:ascii="Arial" w:hAnsi="Arial" w:cs="Arial"/>
          <w:sz w:val="22"/>
        </w:rPr>
      </w:pPr>
    </w:p>
    <w:p w:rsidR="00012172" w:rsidRDefault="00012172">
      <w:pPr>
        <w:jc w:val="both"/>
        <w:rPr>
          <w:rFonts w:ascii="Arial" w:hAnsi="Arial" w:cs="Arial"/>
          <w:sz w:val="22"/>
        </w:rPr>
      </w:pPr>
      <w:r>
        <w:rPr>
          <w:rFonts w:ascii="Arial" w:hAnsi="Arial" w:cs="Arial"/>
          <w:sz w:val="22"/>
        </w:rPr>
        <w:t>Podrčje općine Gornja Rijeka pokriveno je pristupnom mrežom i pripadajućom telefonskom centralom, koja zadovoljava sadašnje i buduće potrebe korisnika. Na području općine implementirana je usluga ISDN, dok ADSL usluga za sada nije u funkciji. Instaliranje potrebne opreme planirano je u 2008. godini, sukladno interesu potencijalnih korisnika.</w:t>
      </w:r>
    </w:p>
    <w:p w:rsidR="00012172" w:rsidRDefault="0001217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0"/>
        <w:gridCol w:w="2160"/>
      </w:tblGrid>
      <w:tr w:rsidR="00012172">
        <w:tblPrEx>
          <w:tblCellMar>
            <w:top w:w="0" w:type="dxa"/>
            <w:bottom w:w="0" w:type="dxa"/>
          </w:tblCellMar>
        </w:tblPrEx>
        <w:tc>
          <w:tcPr>
            <w:tcW w:w="7020" w:type="dxa"/>
            <w:vAlign w:val="center"/>
          </w:tcPr>
          <w:p w:rsidR="00012172" w:rsidRDefault="00012172">
            <w:pPr>
              <w:rPr>
                <w:rFonts w:ascii="Arial" w:hAnsi="Arial" w:cs="Arial"/>
                <w:sz w:val="20"/>
              </w:rPr>
            </w:pPr>
            <w:r>
              <w:rPr>
                <w:rFonts w:ascii="Arial" w:hAnsi="Arial" w:cs="Arial"/>
                <w:sz w:val="20"/>
              </w:rPr>
              <w:t>UKUPNO INSTALIRANO TELEFONSKIH PRIKLJUČAKA</w:t>
            </w:r>
          </w:p>
        </w:tc>
        <w:tc>
          <w:tcPr>
            <w:tcW w:w="2160" w:type="dxa"/>
            <w:vAlign w:val="center"/>
          </w:tcPr>
          <w:p w:rsidR="00012172" w:rsidRDefault="00012172">
            <w:pPr>
              <w:rPr>
                <w:rFonts w:ascii="Arial" w:hAnsi="Arial" w:cs="Arial"/>
              </w:rPr>
            </w:pPr>
            <w:r>
              <w:rPr>
                <w:rFonts w:ascii="Arial" w:hAnsi="Arial" w:cs="Arial"/>
              </w:rPr>
              <w:t>656</w:t>
            </w:r>
          </w:p>
        </w:tc>
      </w:tr>
      <w:tr w:rsidR="00012172">
        <w:tblPrEx>
          <w:tblCellMar>
            <w:top w:w="0" w:type="dxa"/>
            <w:bottom w:w="0" w:type="dxa"/>
          </w:tblCellMar>
        </w:tblPrEx>
        <w:tc>
          <w:tcPr>
            <w:tcW w:w="7020" w:type="dxa"/>
            <w:vAlign w:val="center"/>
          </w:tcPr>
          <w:p w:rsidR="00012172" w:rsidRDefault="00012172">
            <w:pPr>
              <w:rPr>
                <w:rFonts w:ascii="Arial" w:hAnsi="Arial" w:cs="Arial"/>
                <w:sz w:val="20"/>
              </w:rPr>
            </w:pPr>
            <w:r>
              <w:rPr>
                <w:rFonts w:ascii="Arial" w:hAnsi="Arial" w:cs="Arial"/>
                <w:sz w:val="20"/>
              </w:rPr>
              <w:t>BROJ PRIKLJUČAKA NA 100 STANOVNIKA</w:t>
            </w:r>
          </w:p>
        </w:tc>
        <w:tc>
          <w:tcPr>
            <w:tcW w:w="2160" w:type="dxa"/>
            <w:vAlign w:val="center"/>
          </w:tcPr>
          <w:p w:rsidR="00012172" w:rsidRDefault="00012172">
            <w:pPr>
              <w:rPr>
                <w:rFonts w:ascii="Arial" w:hAnsi="Arial" w:cs="Arial"/>
              </w:rPr>
            </w:pPr>
            <w:r>
              <w:rPr>
                <w:rFonts w:ascii="Arial" w:hAnsi="Arial" w:cs="Arial"/>
              </w:rPr>
              <w:t>32</w:t>
            </w:r>
          </w:p>
        </w:tc>
      </w:tr>
      <w:tr w:rsidR="00012172">
        <w:tblPrEx>
          <w:tblCellMar>
            <w:top w:w="0" w:type="dxa"/>
            <w:bottom w:w="0" w:type="dxa"/>
          </w:tblCellMar>
        </w:tblPrEx>
        <w:tc>
          <w:tcPr>
            <w:tcW w:w="7020" w:type="dxa"/>
            <w:vAlign w:val="center"/>
          </w:tcPr>
          <w:p w:rsidR="00012172" w:rsidRDefault="00012172">
            <w:pPr>
              <w:rPr>
                <w:rFonts w:ascii="Helvetica" w:hAnsi="Helvetica" w:cs="Arial"/>
                <w:sz w:val="20"/>
                <w:vertAlign w:val="superscript"/>
              </w:rPr>
            </w:pPr>
            <w:r>
              <w:rPr>
                <w:rFonts w:ascii="Arial" w:hAnsi="Arial" w:cs="Arial"/>
                <w:sz w:val="20"/>
              </w:rPr>
              <w:t>GUSTOĆA PRIKLJUČAKA PO km</w:t>
            </w:r>
            <w:r>
              <w:rPr>
                <w:rFonts w:ascii="Helvetica" w:hAnsi="Helvetica" w:cs="Arial"/>
                <w:sz w:val="20"/>
                <w:vertAlign w:val="superscript"/>
              </w:rPr>
              <w:t>2</w:t>
            </w:r>
          </w:p>
        </w:tc>
        <w:tc>
          <w:tcPr>
            <w:tcW w:w="2160" w:type="dxa"/>
            <w:vAlign w:val="center"/>
          </w:tcPr>
          <w:p w:rsidR="00012172" w:rsidRDefault="00012172">
            <w:pPr>
              <w:rPr>
                <w:rFonts w:ascii="Arial" w:hAnsi="Arial" w:cs="Arial"/>
              </w:rPr>
            </w:pPr>
            <w:r>
              <w:rPr>
                <w:rFonts w:ascii="Arial" w:hAnsi="Arial" w:cs="Arial"/>
              </w:rPr>
              <w:t>20</w:t>
            </w:r>
          </w:p>
        </w:tc>
      </w:tr>
    </w:tbl>
    <w:p w:rsidR="00012172" w:rsidRDefault="00012172">
      <w:pPr>
        <w:pStyle w:val="StandardWeb"/>
        <w:spacing w:before="0" w:beforeAutospacing="0" w:after="0" w:afterAutospacing="0"/>
        <w:rPr>
          <w:rFonts w:ascii="Helvetica" w:hAnsi="Helvetica" w:cs="Arial"/>
          <w:sz w:val="16"/>
          <w:vertAlign w:val="superscript"/>
        </w:rPr>
      </w:pPr>
      <w:r>
        <w:rPr>
          <w:rFonts w:ascii="Arial" w:hAnsi="Arial" w:cs="Arial"/>
          <w:sz w:val="16"/>
        </w:rPr>
        <w:t>Izvor: HT d.d., studeni 2005., korišteni službeni podaci: broj stanovnika općine 2035, površina općine 32,72 km</w:t>
      </w:r>
      <w:r>
        <w:rPr>
          <w:rFonts w:ascii="Helvetica" w:hAnsi="Helvetica" w:cs="Arial"/>
          <w:sz w:val="16"/>
          <w:vertAlign w:val="superscript"/>
        </w:rPr>
        <w:t>2</w:t>
      </w:r>
    </w:p>
    <w:p w:rsidR="00012172" w:rsidRDefault="00012172">
      <w:pPr>
        <w:pStyle w:val="StandardWeb"/>
        <w:spacing w:before="0" w:beforeAutospacing="0" w:after="0" w:afterAutospacing="0"/>
        <w:rPr>
          <w:rFonts w:ascii="Arial" w:hAnsi="Arial" w:cs="Arial"/>
        </w:rPr>
      </w:pPr>
    </w:p>
    <w:p w:rsidR="00012172" w:rsidRDefault="00012172">
      <w:pPr>
        <w:pStyle w:val="StandardWeb"/>
        <w:spacing w:before="0" w:beforeAutospacing="0" w:after="0" w:afterAutospacing="0"/>
        <w:rPr>
          <w:rFonts w:ascii="Arial" w:hAnsi="Arial" w:cs="Arial"/>
        </w:rPr>
      </w:pPr>
    </w:p>
    <w:p w:rsidR="00012172" w:rsidRDefault="00012172">
      <w:pPr>
        <w:pStyle w:val="StandardWeb"/>
        <w:spacing w:before="0" w:beforeAutospacing="0" w:after="0" w:afterAutospacing="0"/>
        <w:rPr>
          <w:rFonts w:ascii="Arial" w:hAnsi="Arial" w:cs="Arial"/>
        </w:rPr>
      </w:pPr>
      <w:r>
        <w:rPr>
          <w:rFonts w:ascii="Arial" w:hAnsi="Arial" w:cs="Arial"/>
        </w:rPr>
        <w:t>Komutacijski kapaciteti</w:t>
      </w:r>
    </w:p>
    <w:p w:rsidR="00012172" w:rsidRDefault="0001217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2202"/>
        <w:gridCol w:w="2478"/>
        <w:gridCol w:w="2172"/>
      </w:tblGrid>
      <w:tr w:rsidR="00012172">
        <w:tblPrEx>
          <w:tblCellMar>
            <w:top w:w="0" w:type="dxa"/>
            <w:bottom w:w="0" w:type="dxa"/>
          </w:tblCellMar>
        </w:tblPrEx>
        <w:trPr>
          <w:trHeight w:val="420"/>
        </w:trPr>
        <w:tc>
          <w:tcPr>
            <w:tcW w:w="2340" w:type="dxa"/>
            <w:shd w:val="clear" w:color="auto" w:fill="E6E6E6"/>
            <w:vAlign w:val="center"/>
          </w:tcPr>
          <w:p w:rsidR="00012172" w:rsidRDefault="00012172">
            <w:pPr>
              <w:jc w:val="center"/>
              <w:rPr>
                <w:rFonts w:ascii="Arial" w:hAnsi="Arial" w:cs="Arial"/>
                <w:sz w:val="18"/>
              </w:rPr>
            </w:pPr>
            <w:r>
              <w:rPr>
                <w:rFonts w:ascii="Arial" w:hAnsi="Arial" w:cs="Arial"/>
                <w:sz w:val="18"/>
              </w:rPr>
              <w:t>TIP CENTRALE</w:t>
            </w:r>
          </w:p>
        </w:tc>
        <w:tc>
          <w:tcPr>
            <w:tcW w:w="2202" w:type="dxa"/>
            <w:shd w:val="clear" w:color="auto" w:fill="E6E6E6"/>
            <w:vAlign w:val="center"/>
          </w:tcPr>
          <w:p w:rsidR="00012172" w:rsidRDefault="00012172">
            <w:pPr>
              <w:jc w:val="center"/>
              <w:rPr>
                <w:rFonts w:ascii="Arial" w:hAnsi="Arial" w:cs="Arial"/>
                <w:sz w:val="18"/>
              </w:rPr>
            </w:pPr>
            <w:r>
              <w:rPr>
                <w:rFonts w:ascii="Arial" w:hAnsi="Arial" w:cs="Arial"/>
                <w:sz w:val="18"/>
              </w:rPr>
              <w:t>NAZIV CENTRALE</w:t>
            </w:r>
          </w:p>
        </w:tc>
        <w:tc>
          <w:tcPr>
            <w:tcW w:w="2478" w:type="dxa"/>
            <w:shd w:val="clear" w:color="auto" w:fill="E6E6E6"/>
            <w:vAlign w:val="center"/>
          </w:tcPr>
          <w:p w:rsidR="00012172" w:rsidRDefault="00012172">
            <w:pPr>
              <w:jc w:val="center"/>
              <w:rPr>
                <w:rFonts w:ascii="Arial" w:hAnsi="Arial" w:cs="Arial"/>
                <w:sz w:val="18"/>
              </w:rPr>
            </w:pPr>
            <w:r>
              <w:rPr>
                <w:rFonts w:ascii="Arial" w:hAnsi="Arial" w:cs="Arial"/>
                <w:sz w:val="18"/>
              </w:rPr>
              <w:t>INSTALIRANI KAPACITET</w:t>
            </w:r>
          </w:p>
        </w:tc>
        <w:tc>
          <w:tcPr>
            <w:tcW w:w="2172" w:type="dxa"/>
            <w:shd w:val="clear" w:color="auto" w:fill="E6E6E6"/>
            <w:vAlign w:val="center"/>
          </w:tcPr>
          <w:p w:rsidR="00012172" w:rsidRDefault="00012172">
            <w:pPr>
              <w:jc w:val="center"/>
              <w:rPr>
                <w:rFonts w:ascii="Arial" w:hAnsi="Arial" w:cs="Arial"/>
                <w:sz w:val="18"/>
              </w:rPr>
            </w:pPr>
            <w:r>
              <w:rPr>
                <w:rFonts w:ascii="Arial" w:hAnsi="Arial" w:cs="Arial"/>
                <w:sz w:val="18"/>
              </w:rPr>
              <w:t>G. PUŠTANJA U RAD</w:t>
            </w:r>
          </w:p>
        </w:tc>
      </w:tr>
      <w:tr w:rsidR="00012172">
        <w:tblPrEx>
          <w:tblCellMar>
            <w:top w:w="0" w:type="dxa"/>
            <w:bottom w:w="0" w:type="dxa"/>
          </w:tblCellMar>
        </w:tblPrEx>
        <w:tc>
          <w:tcPr>
            <w:tcW w:w="2340" w:type="dxa"/>
            <w:vAlign w:val="center"/>
          </w:tcPr>
          <w:p w:rsidR="00012172" w:rsidRDefault="00012172">
            <w:pPr>
              <w:pStyle w:val="StandardWeb"/>
              <w:spacing w:before="0" w:beforeAutospacing="0" w:after="0" w:afterAutospacing="0"/>
              <w:jc w:val="center"/>
              <w:rPr>
                <w:rFonts w:ascii="Arial" w:hAnsi="Arial" w:cs="Arial"/>
              </w:rPr>
            </w:pPr>
            <w:r>
              <w:rPr>
                <w:rFonts w:ascii="Arial" w:hAnsi="Arial" w:cs="Arial"/>
              </w:rPr>
              <w:t>UPS</w:t>
            </w:r>
          </w:p>
          <w:p w:rsidR="00012172" w:rsidRDefault="00012172">
            <w:pPr>
              <w:jc w:val="center"/>
              <w:rPr>
                <w:rFonts w:ascii="Arial" w:hAnsi="Arial" w:cs="Arial"/>
              </w:rPr>
            </w:pPr>
            <w:r>
              <w:rPr>
                <w:rFonts w:ascii="Arial" w:hAnsi="Arial" w:cs="Arial"/>
                <w:sz w:val="16"/>
              </w:rPr>
              <w:t>(udaljeni pretplatnički stupanj)</w:t>
            </w:r>
          </w:p>
        </w:tc>
        <w:tc>
          <w:tcPr>
            <w:tcW w:w="2202" w:type="dxa"/>
            <w:vAlign w:val="center"/>
          </w:tcPr>
          <w:p w:rsidR="00012172" w:rsidRDefault="00012172">
            <w:pPr>
              <w:jc w:val="center"/>
              <w:rPr>
                <w:rFonts w:ascii="Arial" w:hAnsi="Arial" w:cs="Arial"/>
              </w:rPr>
            </w:pPr>
            <w:r>
              <w:rPr>
                <w:rFonts w:ascii="Arial" w:hAnsi="Arial" w:cs="Arial"/>
              </w:rPr>
              <w:t>GORNJA RIJEKA</w:t>
            </w:r>
          </w:p>
        </w:tc>
        <w:tc>
          <w:tcPr>
            <w:tcW w:w="2478" w:type="dxa"/>
            <w:vAlign w:val="center"/>
          </w:tcPr>
          <w:p w:rsidR="00012172" w:rsidRDefault="00012172">
            <w:pPr>
              <w:jc w:val="center"/>
              <w:rPr>
                <w:rFonts w:ascii="Arial" w:hAnsi="Arial" w:cs="Arial"/>
              </w:rPr>
            </w:pPr>
            <w:r>
              <w:rPr>
                <w:rFonts w:ascii="Arial" w:hAnsi="Arial" w:cs="Arial"/>
              </w:rPr>
              <w:t>640 POTS</w:t>
            </w:r>
          </w:p>
          <w:p w:rsidR="00012172" w:rsidRDefault="00012172">
            <w:pPr>
              <w:jc w:val="center"/>
              <w:rPr>
                <w:rFonts w:ascii="Arial" w:hAnsi="Arial" w:cs="Arial"/>
              </w:rPr>
            </w:pPr>
            <w:r>
              <w:rPr>
                <w:rFonts w:ascii="Arial" w:hAnsi="Arial" w:cs="Arial"/>
              </w:rPr>
              <w:t>16 ISDN</w:t>
            </w:r>
          </w:p>
        </w:tc>
        <w:tc>
          <w:tcPr>
            <w:tcW w:w="2172" w:type="dxa"/>
            <w:vAlign w:val="center"/>
          </w:tcPr>
          <w:p w:rsidR="00012172" w:rsidRDefault="00012172">
            <w:pPr>
              <w:jc w:val="center"/>
              <w:rPr>
                <w:rFonts w:ascii="Arial" w:hAnsi="Arial" w:cs="Arial"/>
              </w:rPr>
            </w:pPr>
            <w:r>
              <w:rPr>
                <w:rFonts w:ascii="Arial" w:hAnsi="Arial" w:cs="Arial"/>
              </w:rPr>
              <w:t>1996</w:t>
            </w:r>
          </w:p>
        </w:tc>
      </w:tr>
    </w:tbl>
    <w:p w:rsidR="00012172" w:rsidRDefault="00012172">
      <w:pPr>
        <w:pStyle w:val="StandardWeb"/>
        <w:spacing w:before="0" w:beforeAutospacing="0" w:after="0" w:afterAutospacing="0"/>
        <w:rPr>
          <w:rFonts w:ascii="Arial" w:hAnsi="Arial" w:cs="Arial"/>
          <w:sz w:val="16"/>
        </w:rPr>
      </w:pPr>
      <w:r>
        <w:rPr>
          <w:rFonts w:ascii="Arial" w:hAnsi="Arial" w:cs="Arial"/>
          <w:sz w:val="16"/>
        </w:rPr>
        <w:t>Izvor: HT d.d., studeni 2005.</w:t>
      </w:r>
    </w:p>
    <w:p w:rsidR="00012172" w:rsidRDefault="00012172">
      <w:pPr>
        <w:rPr>
          <w:rFonts w:ascii="Arial" w:hAnsi="Arial" w:cs="Arial"/>
        </w:rPr>
      </w:pPr>
    </w:p>
    <w:p w:rsidR="00012172" w:rsidRDefault="00012172">
      <w:pPr>
        <w:jc w:val="both"/>
        <w:rPr>
          <w:rFonts w:ascii="Arial" w:hAnsi="Arial" w:cs="Arial"/>
          <w:sz w:val="22"/>
        </w:rPr>
      </w:pPr>
      <w:r>
        <w:rPr>
          <w:rFonts w:ascii="Arial" w:hAnsi="Arial" w:cs="Arial"/>
          <w:sz w:val="22"/>
        </w:rPr>
        <w:t>Koprivničko – križevačka županija ustrojena je kao jedna mrežna skupina s TC/PC centralama (tranzitno – pristupne centrale) u Koprivnici i Križevcima. Mjesna telefonska centrala UPS (udaljeni pretplatnički stupanj) na području općine nalazi se u naselju Gornja Rijeka. Sva naselja općine opremljena su sustavom fiksne telefonije.</w:t>
      </w:r>
    </w:p>
    <w:p w:rsidR="00012172" w:rsidRDefault="00012172">
      <w:pPr>
        <w:pStyle w:val="StandardWeb"/>
        <w:spacing w:before="0" w:beforeAutospacing="0" w:after="0" w:afterAutospacing="0"/>
        <w:rPr>
          <w:rFonts w:ascii="Arial" w:hAnsi="Arial" w:cs="Arial"/>
        </w:rPr>
      </w:pPr>
    </w:p>
    <w:p w:rsidR="00012172" w:rsidRDefault="00012172">
      <w:pPr>
        <w:pStyle w:val="StandardWeb"/>
        <w:spacing w:before="0" w:beforeAutospacing="0" w:after="0" w:afterAutospacing="0"/>
        <w:rPr>
          <w:rFonts w:ascii="Arial" w:hAnsi="Arial" w:cs="Arial"/>
        </w:rPr>
      </w:pPr>
    </w:p>
    <w:p w:rsidR="00012172" w:rsidRDefault="00012172">
      <w:pPr>
        <w:rPr>
          <w:rFonts w:ascii="Arial" w:hAnsi="Arial" w:cs="Arial"/>
        </w:rPr>
      </w:pPr>
      <w:r>
        <w:rPr>
          <w:rFonts w:ascii="Arial" w:hAnsi="Arial" w:cs="Arial"/>
        </w:rPr>
        <w:t>Prijenosni kapaciteti</w:t>
      </w:r>
    </w:p>
    <w:p w:rsidR="00012172" w:rsidRDefault="0001217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4680"/>
        <w:gridCol w:w="2340"/>
      </w:tblGrid>
      <w:tr w:rsidR="00012172">
        <w:tblPrEx>
          <w:tblCellMar>
            <w:top w:w="0" w:type="dxa"/>
            <w:bottom w:w="0" w:type="dxa"/>
          </w:tblCellMar>
        </w:tblPrEx>
        <w:trPr>
          <w:trHeight w:val="444"/>
        </w:trPr>
        <w:tc>
          <w:tcPr>
            <w:tcW w:w="2160" w:type="dxa"/>
            <w:shd w:val="clear" w:color="auto" w:fill="E6E6E6"/>
            <w:vAlign w:val="center"/>
          </w:tcPr>
          <w:p w:rsidR="00012172" w:rsidRDefault="00012172">
            <w:pPr>
              <w:jc w:val="center"/>
              <w:rPr>
                <w:rFonts w:ascii="Arial" w:hAnsi="Arial" w:cs="Arial"/>
                <w:sz w:val="18"/>
              </w:rPr>
            </w:pPr>
            <w:r>
              <w:rPr>
                <w:rFonts w:ascii="Arial" w:hAnsi="Arial" w:cs="Arial"/>
                <w:sz w:val="18"/>
              </w:rPr>
              <w:t>NAZIV CENTRALE</w:t>
            </w:r>
          </w:p>
        </w:tc>
        <w:tc>
          <w:tcPr>
            <w:tcW w:w="4680" w:type="dxa"/>
            <w:shd w:val="clear" w:color="auto" w:fill="E6E6E6"/>
            <w:vAlign w:val="center"/>
          </w:tcPr>
          <w:p w:rsidR="00012172" w:rsidRDefault="00012172">
            <w:pPr>
              <w:jc w:val="center"/>
              <w:rPr>
                <w:rFonts w:ascii="Arial" w:hAnsi="Arial" w:cs="Arial"/>
                <w:sz w:val="18"/>
              </w:rPr>
            </w:pPr>
            <w:r>
              <w:rPr>
                <w:rFonts w:ascii="Arial" w:hAnsi="Arial" w:cs="Arial"/>
                <w:sz w:val="18"/>
              </w:rPr>
              <w:t>INSTALIRANI KAPACITET</w:t>
            </w:r>
          </w:p>
        </w:tc>
        <w:tc>
          <w:tcPr>
            <w:tcW w:w="2340" w:type="dxa"/>
            <w:shd w:val="clear" w:color="auto" w:fill="E6E6E6"/>
            <w:vAlign w:val="center"/>
          </w:tcPr>
          <w:p w:rsidR="00012172" w:rsidRDefault="00012172">
            <w:pPr>
              <w:jc w:val="center"/>
              <w:rPr>
                <w:rFonts w:ascii="Arial" w:hAnsi="Arial" w:cs="Arial"/>
                <w:sz w:val="18"/>
              </w:rPr>
            </w:pPr>
            <w:r>
              <w:rPr>
                <w:rFonts w:ascii="Arial" w:hAnsi="Arial" w:cs="Arial"/>
                <w:sz w:val="18"/>
              </w:rPr>
              <w:t>GOD PUŠTANJA U RAD</w:t>
            </w:r>
          </w:p>
        </w:tc>
      </w:tr>
      <w:tr w:rsidR="00012172">
        <w:tblPrEx>
          <w:tblCellMar>
            <w:top w:w="0" w:type="dxa"/>
            <w:bottom w:w="0" w:type="dxa"/>
          </w:tblCellMar>
        </w:tblPrEx>
        <w:trPr>
          <w:trHeight w:val="708"/>
        </w:trPr>
        <w:tc>
          <w:tcPr>
            <w:tcW w:w="2160" w:type="dxa"/>
            <w:vAlign w:val="center"/>
          </w:tcPr>
          <w:p w:rsidR="00012172" w:rsidRDefault="00012172">
            <w:pPr>
              <w:jc w:val="center"/>
              <w:rPr>
                <w:rFonts w:ascii="Arial" w:hAnsi="Arial" w:cs="Arial"/>
              </w:rPr>
            </w:pPr>
            <w:r>
              <w:rPr>
                <w:rFonts w:ascii="Arial" w:hAnsi="Arial" w:cs="Arial"/>
              </w:rPr>
              <w:t>GORNJA RIJEKA</w:t>
            </w:r>
          </w:p>
        </w:tc>
        <w:tc>
          <w:tcPr>
            <w:tcW w:w="4680" w:type="dxa"/>
            <w:vAlign w:val="center"/>
          </w:tcPr>
          <w:p w:rsidR="00012172" w:rsidRDefault="00012172">
            <w:pPr>
              <w:rPr>
                <w:rFonts w:ascii="Arial" w:hAnsi="Arial" w:cs="Arial"/>
              </w:rPr>
            </w:pPr>
            <w:r>
              <w:rPr>
                <w:rFonts w:ascii="Arial" w:hAnsi="Arial" w:cs="Arial"/>
              </w:rPr>
              <w:t>brzina prijenosa: 155 Mbit/s</w:t>
            </w:r>
          </w:p>
          <w:p w:rsidR="00012172" w:rsidRDefault="00012172">
            <w:pPr>
              <w:rPr>
                <w:rFonts w:ascii="Arial" w:hAnsi="Arial" w:cs="Arial"/>
              </w:rPr>
            </w:pPr>
            <w:r>
              <w:rPr>
                <w:rFonts w:ascii="Arial" w:hAnsi="Arial" w:cs="Arial"/>
              </w:rPr>
              <w:t>vrsta prijenosa: SVJETLOVODNI KABEL</w:t>
            </w:r>
          </w:p>
        </w:tc>
        <w:tc>
          <w:tcPr>
            <w:tcW w:w="2340" w:type="dxa"/>
            <w:vAlign w:val="center"/>
          </w:tcPr>
          <w:p w:rsidR="00012172" w:rsidRDefault="00012172">
            <w:pPr>
              <w:jc w:val="center"/>
              <w:rPr>
                <w:rFonts w:ascii="Arial" w:hAnsi="Arial" w:cs="Arial"/>
              </w:rPr>
            </w:pPr>
            <w:r>
              <w:rPr>
                <w:rFonts w:ascii="Arial" w:hAnsi="Arial" w:cs="Arial"/>
              </w:rPr>
              <w:t>2005.</w:t>
            </w:r>
          </w:p>
        </w:tc>
      </w:tr>
    </w:tbl>
    <w:p w:rsidR="00012172" w:rsidRDefault="00012172">
      <w:pPr>
        <w:pStyle w:val="StandardWeb"/>
        <w:spacing w:before="0" w:beforeAutospacing="0" w:after="0" w:afterAutospacing="0"/>
        <w:rPr>
          <w:rFonts w:ascii="Arial" w:hAnsi="Arial" w:cs="Arial"/>
          <w:sz w:val="16"/>
        </w:rPr>
      </w:pPr>
      <w:r>
        <w:rPr>
          <w:rFonts w:ascii="Arial" w:hAnsi="Arial" w:cs="Arial"/>
          <w:sz w:val="16"/>
        </w:rPr>
        <w:t>Izvor: HT d.d., studeni 2005.</w:t>
      </w:r>
    </w:p>
    <w:p w:rsidR="00012172" w:rsidRDefault="00012172">
      <w:pPr>
        <w:rPr>
          <w:rFonts w:ascii="Arial" w:hAnsi="Arial" w:cs="Arial"/>
        </w:rPr>
      </w:pPr>
    </w:p>
    <w:p w:rsidR="00012172" w:rsidRDefault="00012172">
      <w:pPr>
        <w:jc w:val="both"/>
        <w:rPr>
          <w:rFonts w:ascii="Arial" w:hAnsi="Arial" w:cs="Arial"/>
          <w:sz w:val="22"/>
        </w:rPr>
      </w:pPr>
      <w:r>
        <w:rPr>
          <w:rFonts w:ascii="Arial" w:hAnsi="Arial" w:cs="Arial"/>
          <w:sz w:val="22"/>
        </w:rPr>
        <w:lastRenderedPageBreak/>
        <w:t>Sustav podzemnih svjetlovodnih kabela koristi se kao osnovni i jedini prijenosni medij kojim je UPS povezan prema svojoj TC/PC (tranzitno-pristupnoj) centrali.</w:t>
      </w:r>
    </w:p>
    <w:p w:rsidR="00012172" w:rsidRDefault="00012172">
      <w:pPr>
        <w:jc w:val="both"/>
        <w:rPr>
          <w:rFonts w:ascii="Arial" w:hAnsi="Arial" w:cs="Arial"/>
          <w:sz w:val="22"/>
        </w:rPr>
      </w:pPr>
      <w:r>
        <w:rPr>
          <w:rFonts w:ascii="Arial" w:hAnsi="Arial" w:cs="Arial"/>
          <w:sz w:val="22"/>
        </w:rPr>
        <w:t>Svi sustavi prijenosa koji rade po svjetlovodnim kabelima su digitalni i dovoljnog kapaciteta koji se može mijenjati u skladu sa potrebama.</w:t>
      </w:r>
    </w:p>
    <w:p w:rsidR="00012172" w:rsidRDefault="00012172">
      <w:pPr>
        <w:pStyle w:val="StandardWeb"/>
        <w:spacing w:before="0" w:beforeAutospacing="0" w:after="0" w:afterAutospacing="0"/>
      </w:pPr>
    </w:p>
    <w:p w:rsidR="00012172" w:rsidRDefault="00012172">
      <w:pPr>
        <w:pStyle w:val="StandardWeb"/>
        <w:spacing w:before="0" w:beforeAutospacing="0" w:after="0" w:afterAutospacing="0"/>
      </w:pPr>
    </w:p>
    <w:p w:rsidR="00012172" w:rsidRDefault="00012172">
      <w:pPr>
        <w:rPr>
          <w:rFonts w:ascii="Arial" w:hAnsi="Arial" w:cs="Arial"/>
        </w:rPr>
      </w:pPr>
      <w:r>
        <w:rPr>
          <w:rFonts w:ascii="Arial" w:hAnsi="Arial" w:cs="Arial"/>
        </w:rPr>
        <w:t>Pretplatnička mreža</w:t>
      </w:r>
    </w:p>
    <w:p w:rsidR="00012172" w:rsidRDefault="0001217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2"/>
        <w:gridCol w:w="3100"/>
        <w:gridCol w:w="3088"/>
      </w:tblGrid>
      <w:tr w:rsidR="00012172">
        <w:tblPrEx>
          <w:tblCellMar>
            <w:top w:w="0" w:type="dxa"/>
            <w:bottom w:w="0" w:type="dxa"/>
          </w:tblCellMar>
        </w:tblPrEx>
        <w:trPr>
          <w:trHeight w:val="443"/>
        </w:trPr>
        <w:tc>
          <w:tcPr>
            <w:tcW w:w="2992" w:type="dxa"/>
            <w:shd w:val="clear" w:color="auto" w:fill="E6E6E6"/>
            <w:vAlign w:val="center"/>
          </w:tcPr>
          <w:p w:rsidR="00012172" w:rsidRDefault="00012172">
            <w:pPr>
              <w:jc w:val="center"/>
              <w:rPr>
                <w:rFonts w:ascii="Arial" w:hAnsi="Arial" w:cs="Arial"/>
                <w:sz w:val="18"/>
              </w:rPr>
            </w:pPr>
            <w:r>
              <w:rPr>
                <w:rFonts w:ascii="Arial" w:hAnsi="Arial" w:cs="Arial"/>
                <w:sz w:val="18"/>
              </w:rPr>
              <w:t>NAZIV MREŽE</w:t>
            </w:r>
          </w:p>
        </w:tc>
        <w:tc>
          <w:tcPr>
            <w:tcW w:w="3100" w:type="dxa"/>
            <w:shd w:val="clear" w:color="auto" w:fill="E6E6E6"/>
            <w:vAlign w:val="center"/>
          </w:tcPr>
          <w:p w:rsidR="00012172" w:rsidRDefault="00012172">
            <w:pPr>
              <w:jc w:val="center"/>
              <w:rPr>
                <w:rFonts w:ascii="Arial" w:hAnsi="Arial" w:cs="Arial"/>
                <w:sz w:val="18"/>
              </w:rPr>
            </w:pPr>
            <w:r>
              <w:rPr>
                <w:rFonts w:ascii="Arial" w:hAnsi="Arial" w:cs="Arial"/>
                <w:sz w:val="18"/>
              </w:rPr>
              <w:t>INSTALIRANI KAPACITETI</w:t>
            </w:r>
          </w:p>
        </w:tc>
        <w:tc>
          <w:tcPr>
            <w:tcW w:w="3088" w:type="dxa"/>
            <w:shd w:val="clear" w:color="auto" w:fill="E6E6E6"/>
            <w:vAlign w:val="center"/>
          </w:tcPr>
          <w:p w:rsidR="00012172" w:rsidRDefault="00012172">
            <w:pPr>
              <w:jc w:val="center"/>
              <w:rPr>
                <w:rFonts w:ascii="Arial" w:hAnsi="Arial" w:cs="Arial"/>
                <w:sz w:val="18"/>
              </w:rPr>
            </w:pPr>
            <w:r>
              <w:rPr>
                <w:rFonts w:ascii="Arial" w:hAnsi="Arial" w:cs="Arial"/>
                <w:sz w:val="18"/>
              </w:rPr>
              <w:t>DULJINA MREŽE</w:t>
            </w:r>
          </w:p>
        </w:tc>
      </w:tr>
      <w:tr w:rsidR="00012172">
        <w:tblPrEx>
          <w:tblCellMar>
            <w:top w:w="0" w:type="dxa"/>
            <w:bottom w:w="0" w:type="dxa"/>
          </w:tblCellMar>
        </w:tblPrEx>
        <w:trPr>
          <w:trHeight w:val="727"/>
        </w:trPr>
        <w:tc>
          <w:tcPr>
            <w:tcW w:w="2992" w:type="dxa"/>
            <w:vAlign w:val="center"/>
          </w:tcPr>
          <w:p w:rsidR="00012172" w:rsidRDefault="00012172">
            <w:pPr>
              <w:jc w:val="center"/>
              <w:rPr>
                <w:rFonts w:ascii="Arial" w:hAnsi="Arial" w:cs="Arial"/>
              </w:rPr>
            </w:pPr>
            <w:r>
              <w:rPr>
                <w:rFonts w:ascii="Arial" w:hAnsi="Arial" w:cs="Arial"/>
              </w:rPr>
              <w:t>GORNJA RIJEKA</w:t>
            </w:r>
          </w:p>
        </w:tc>
        <w:tc>
          <w:tcPr>
            <w:tcW w:w="3100" w:type="dxa"/>
            <w:vAlign w:val="center"/>
          </w:tcPr>
          <w:p w:rsidR="00012172" w:rsidRDefault="00012172">
            <w:pPr>
              <w:rPr>
                <w:rFonts w:ascii="Arial" w:hAnsi="Arial" w:cs="Arial"/>
              </w:rPr>
            </w:pPr>
            <w:r>
              <w:rPr>
                <w:rFonts w:ascii="Arial" w:hAnsi="Arial" w:cs="Arial"/>
              </w:rPr>
              <w:t xml:space="preserve">   ukupni broj parica: 950</w:t>
            </w:r>
          </w:p>
          <w:p w:rsidR="00012172" w:rsidRDefault="00012172">
            <w:pPr>
              <w:rPr>
                <w:rFonts w:ascii="Arial" w:hAnsi="Arial" w:cs="Arial"/>
              </w:rPr>
            </w:pPr>
            <w:r>
              <w:rPr>
                <w:rFonts w:ascii="Arial" w:hAnsi="Arial" w:cs="Arial"/>
              </w:rPr>
              <w:t xml:space="preserve">   broj pružnih kabela: 4</w:t>
            </w:r>
          </w:p>
        </w:tc>
        <w:tc>
          <w:tcPr>
            <w:tcW w:w="3088" w:type="dxa"/>
            <w:vAlign w:val="center"/>
          </w:tcPr>
          <w:p w:rsidR="00012172" w:rsidRDefault="00012172">
            <w:pPr>
              <w:jc w:val="center"/>
              <w:rPr>
                <w:rFonts w:ascii="Arial" w:hAnsi="Arial" w:cs="Arial"/>
              </w:rPr>
            </w:pPr>
            <w:smartTag w:uri="urn:schemas-microsoft-com:office:smarttags" w:element="metricconverter">
              <w:smartTagPr>
                <w:attr w:name="ProductID" w:val="30 056,00 m"/>
              </w:smartTagPr>
              <w:r>
                <w:rPr>
                  <w:rFonts w:ascii="Arial" w:hAnsi="Arial" w:cs="Arial"/>
                </w:rPr>
                <w:t>30 056,00 m</w:t>
              </w:r>
            </w:smartTag>
          </w:p>
        </w:tc>
      </w:tr>
    </w:tbl>
    <w:p w:rsidR="00012172" w:rsidRDefault="00012172">
      <w:pPr>
        <w:pStyle w:val="StandardWeb"/>
        <w:spacing w:before="0" w:beforeAutospacing="0" w:after="0" w:afterAutospacing="0"/>
        <w:rPr>
          <w:rFonts w:ascii="Arial" w:hAnsi="Arial" w:cs="Arial"/>
          <w:sz w:val="16"/>
        </w:rPr>
      </w:pPr>
      <w:r>
        <w:rPr>
          <w:rFonts w:ascii="Arial" w:hAnsi="Arial" w:cs="Arial"/>
          <w:sz w:val="16"/>
        </w:rPr>
        <w:t>Izvor: HT d.d., studeni 2005.</w:t>
      </w:r>
    </w:p>
    <w:p w:rsidR="00012172" w:rsidRDefault="00012172">
      <w:pPr>
        <w:rPr>
          <w:rFonts w:ascii="Arial" w:hAnsi="Arial" w:cs="Arial"/>
          <w:color w:val="0000FF"/>
        </w:rPr>
      </w:pPr>
    </w:p>
    <w:p w:rsidR="00012172" w:rsidRDefault="00012172">
      <w:pPr>
        <w:jc w:val="both"/>
        <w:rPr>
          <w:rFonts w:ascii="Arial" w:hAnsi="Arial" w:cs="Arial"/>
          <w:sz w:val="22"/>
        </w:rPr>
      </w:pPr>
      <w:r>
        <w:rPr>
          <w:rFonts w:ascii="Arial" w:hAnsi="Arial" w:cs="Arial"/>
          <w:sz w:val="22"/>
        </w:rPr>
        <w:t>Kvaliteta kabela od kojih je mreža izgrađena zadovoljava sve tehničke zahtjeve koji su uvjetovani implementacijom postojećih i planiranih usluga iz područja telekomunikacija. Za sada nije planirano proiširenje pristupne mreže Gornja Rijeka.</w:t>
      </w:r>
    </w:p>
    <w:p w:rsidR="00012172" w:rsidRDefault="00012172">
      <w:pPr>
        <w:rPr>
          <w:rFonts w:ascii="Arial" w:hAnsi="Arial" w:cs="Arial"/>
          <w:sz w:val="22"/>
        </w:rPr>
      </w:pPr>
    </w:p>
    <w:p w:rsidR="00012172" w:rsidRDefault="00012172">
      <w:pPr>
        <w:rPr>
          <w:rFonts w:ascii="Arial" w:hAnsi="Arial" w:cs="Arial"/>
          <w:sz w:val="22"/>
        </w:rPr>
      </w:pPr>
      <w:r>
        <w:rPr>
          <w:rFonts w:ascii="Arial" w:hAnsi="Arial" w:cs="Arial"/>
          <w:sz w:val="22"/>
        </w:rPr>
        <w:t>Mobilna mreža – pokretne komunikacije</w:t>
      </w:r>
    </w:p>
    <w:p w:rsidR="00012172" w:rsidRDefault="00012172">
      <w:pPr>
        <w:jc w:val="both"/>
        <w:rPr>
          <w:rFonts w:ascii="Arial" w:hAnsi="Arial" w:cs="Arial"/>
          <w:sz w:val="22"/>
        </w:rPr>
      </w:pPr>
    </w:p>
    <w:p w:rsidR="00012172" w:rsidRDefault="00012172">
      <w:pPr>
        <w:jc w:val="both"/>
        <w:rPr>
          <w:rFonts w:ascii="Arial" w:hAnsi="Arial" w:cs="Arial"/>
          <w:sz w:val="22"/>
        </w:rPr>
      </w:pPr>
      <w:r>
        <w:rPr>
          <w:rFonts w:ascii="Arial" w:hAnsi="Arial" w:cs="Arial"/>
          <w:sz w:val="22"/>
        </w:rPr>
        <w:t xml:space="preserve">Na području općine dostupne su mreže dvaju mobilnih operatera: T-Mobile i VIPnet d.o.o. </w:t>
      </w:r>
    </w:p>
    <w:p w:rsidR="00012172" w:rsidRDefault="00012172">
      <w:pPr>
        <w:jc w:val="both"/>
        <w:rPr>
          <w:rFonts w:ascii="Arial" w:hAnsi="Arial" w:cs="Arial"/>
          <w:sz w:val="22"/>
        </w:rPr>
      </w:pPr>
      <w:r>
        <w:rPr>
          <w:rFonts w:ascii="Arial" w:hAnsi="Arial" w:cs="Arial"/>
          <w:sz w:val="22"/>
        </w:rPr>
        <w:t>Trenutačno na području općine Gornja Rijeka T – Mobile Hrvatska d.o.o. nema izgrađenih osnovnih postaja, kao ni VIPnet d.o.o.</w:t>
      </w:r>
    </w:p>
    <w:p w:rsidR="00012172" w:rsidRDefault="00012172">
      <w:pPr>
        <w:jc w:val="both"/>
        <w:rPr>
          <w:rFonts w:ascii="Arial" w:hAnsi="Arial" w:cs="Arial"/>
          <w:sz w:val="22"/>
        </w:rPr>
      </w:pPr>
    </w:p>
    <w:p w:rsidR="00012172" w:rsidRDefault="00012172">
      <w:pPr>
        <w:jc w:val="both"/>
        <w:rPr>
          <w:rFonts w:ascii="Arial" w:hAnsi="Arial" w:cs="Arial"/>
          <w:sz w:val="22"/>
        </w:rPr>
      </w:pPr>
    </w:p>
    <w:p w:rsidR="00012172" w:rsidRDefault="00012172">
      <w:pPr>
        <w:jc w:val="both"/>
        <w:rPr>
          <w:rFonts w:ascii="Arial" w:hAnsi="Arial" w:cs="Arial"/>
          <w:sz w:val="22"/>
        </w:rPr>
      </w:pPr>
    </w:p>
    <w:p w:rsidR="00012172" w:rsidRDefault="00012172">
      <w:pPr>
        <w:numPr>
          <w:ilvl w:val="0"/>
          <w:numId w:val="3"/>
        </w:numPr>
        <w:jc w:val="both"/>
        <w:rPr>
          <w:rFonts w:ascii="Arial" w:hAnsi="Arial"/>
          <w:b/>
          <w:sz w:val="22"/>
          <w:szCs w:val="22"/>
        </w:rPr>
      </w:pPr>
      <w:r>
        <w:rPr>
          <w:rFonts w:ascii="Arial" w:hAnsi="Arial"/>
          <w:b/>
          <w:sz w:val="22"/>
          <w:szCs w:val="22"/>
        </w:rPr>
        <w:t>Vodoopskrba i odvodnja</w:t>
      </w:r>
    </w:p>
    <w:p w:rsidR="00012172" w:rsidRDefault="00012172">
      <w:pPr>
        <w:jc w:val="both"/>
        <w:rPr>
          <w:rFonts w:ascii="Arial" w:hAnsi="Arial"/>
          <w:b/>
          <w:sz w:val="22"/>
          <w:szCs w:val="22"/>
        </w:rPr>
      </w:pPr>
      <w:r>
        <w:rPr>
          <w:rFonts w:ascii="Arial" w:hAnsi="Arial"/>
          <w:b/>
          <w:sz w:val="22"/>
          <w:szCs w:val="22"/>
        </w:rPr>
        <w:t>Vodoopskrba</w:t>
      </w:r>
    </w:p>
    <w:p w:rsidR="00012172" w:rsidRDefault="00012172">
      <w:pPr>
        <w:pStyle w:val="Opisslike"/>
        <w:rPr>
          <w:rFonts w:ascii="Times New Roman" w:hAnsi="Times New Roman"/>
          <w:b/>
          <w:bCs w:val="0"/>
          <w:sz w:val="22"/>
        </w:rPr>
      </w:pPr>
    </w:p>
    <w:p w:rsidR="00012172" w:rsidRDefault="00012172">
      <w:pPr>
        <w:pStyle w:val="Tijeloteksta-uvlaka2"/>
        <w:spacing w:line="240" w:lineRule="auto"/>
        <w:ind w:left="0"/>
        <w:jc w:val="both"/>
        <w:rPr>
          <w:rFonts w:ascii="Arial" w:hAnsi="Arial" w:cs="Arial"/>
          <w:sz w:val="22"/>
        </w:rPr>
      </w:pPr>
      <w:r>
        <w:rPr>
          <w:rFonts w:ascii="Arial" w:hAnsi="Arial" w:cs="Arial"/>
          <w:sz w:val="22"/>
        </w:rPr>
        <w:t>Sustav javne vodoopskrbe na području općine uspostavlja se na način da se koriste neki već postojeći cjevovodi, a usporedo se grade novi magistralni i opskrbni vodovi kojima će se zaključno uspostaviti sustav javne vodoopskrbe na području čitave općine.</w:t>
      </w:r>
    </w:p>
    <w:p w:rsidR="00012172" w:rsidRDefault="00012172">
      <w:pPr>
        <w:pStyle w:val="Tijeloteksta-uvlaka2"/>
        <w:spacing w:line="240" w:lineRule="auto"/>
        <w:ind w:left="0"/>
        <w:jc w:val="both"/>
        <w:rPr>
          <w:rFonts w:ascii="Arial" w:hAnsi="Arial" w:cs="Arial"/>
          <w:sz w:val="22"/>
        </w:rPr>
      </w:pPr>
      <w:r>
        <w:rPr>
          <w:rFonts w:ascii="Arial" w:hAnsi="Arial" w:cs="Arial"/>
          <w:sz w:val="22"/>
        </w:rPr>
        <w:t xml:space="preserve">Postojeći javni vodoopskrbni sustav "Kalnik zapad" opskrbljuje pet naselja na području općine Gornja Rijeka: Deklešanec, Gornja Rijeka i Kostanjevec Riječki vezani su na jedan krak cjevovoda koji se spaja na "Vod Kalnik" u mjestu Vojnovec, a Dropkovec i Štrigovec spojeni su na drugi krak u mjestu Vukovec. </w:t>
      </w:r>
    </w:p>
    <w:p w:rsidR="00012172" w:rsidRDefault="00012172">
      <w:pPr>
        <w:ind w:firstLine="284"/>
        <w:jc w:val="both"/>
        <w:rPr>
          <w:rFonts w:ascii="Arial" w:hAnsi="Arial" w:cs="Arial"/>
          <w:sz w:val="22"/>
        </w:rPr>
      </w:pPr>
      <w:r>
        <w:rPr>
          <w:rFonts w:ascii="Arial" w:hAnsi="Arial" w:cs="Arial"/>
          <w:sz w:val="22"/>
        </w:rPr>
        <w:t>Kod opskrbe vodom naselja  Gornja Rijeka i Kostanjevec Riječki radi se o nadopunjavanju vodom postojećeg lokalnog vodovoda koji je opskrbljivao ta dva naselja. Postupno će se morati izmjeniti dio cjevovoda kako bi se povećao protok vode, te omogućiti da se i lokalni vodovod koji opskrbljuje naselja Kolarec, Pofuke, Vukšinec Riječki te Fodrovec Riječki također priključi na na vodoopskrbni sustav Gornja Rijeka i Kostanjevec Riječki.</w:t>
      </w:r>
    </w:p>
    <w:p w:rsidR="00012172" w:rsidRDefault="00012172">
      <w:pPr>
        <w:jc w:val="both"/>
        <w:rPr>
          <w:rFonts w:ascii="Arial" w:hAnsi="Arial" w:cs="Arial"/>
          <w:sz w:val="22"/>
        </w:rPr>
      </w:pPr>
      <w:r>
        <w:rPr>
          <w:rFonts w:ascii="Arial" w:hAnsi="Arial" w:cs="Arial"/>
          <w:sz w:val="22"/>
        </w:rPr>
        <w:t>Naselja Pofuki, Kolarec i Vukšinec Riječki spojeni su na lokalni vodoopskrbni sustav susjedne Varaždinske županije preko naselja Čanjevo, odnosno Sudovec. Ta dva cjevovoda spajaju se u naselju Kolarec.</w:t>
      </w:r>
    </w:p>
    <w:p w:rsidR="00012172" w:rsidRDefault="00012172">
      <w:pPr>
        <w:jc w:val="both"/>
        <w:rPr>
          <w:rFonts w:ascii="Arial" w:hAnsi="Arial" w:cs="Arial"/>
          <w:sz w:val="22"/>
        </w:rPr>
      </w:pPr>
      <w:r>
        <w:rPr>
          <w:rFonts w:ascii="Arial" w:hAnsi="Arial" w:cs="Arial"/>
          <w:sz w:val="22"/>
        </w:rPr>
        <w:t>U naselju Gornja Rijeka (od dvorca Gornja Rijeka) povučen je novi magistralni cjevovod, koji se nastavlja prema Donjoj Rijeci, prolazi kroz naselja Barlabaševac i Lukačevec te dalje nastavlja prema susjednoj općini Sveti Petar Orehovec.</w:t>
      </w:r>
    </w:p>
    <w:p w:rsidR="00012172" w:rsidRDefault="00012172">
      <w:pPr>
        <w:jc w:val="both"/>
        <w:rPr>
          <w:rFonts w:ascii="Arial" w:hAnsi="Arial" w:cs="Arial"/>
          <w:sz w:val="22"/>
        </w:rPr>
      </w:pPr>
      <w:r>
        <w:rPr>
          <w:rFonts w:ascii="Arial" w:hAnsi="Arial" w:cs="Arial"/>
          <w:sz w:val="22"/>
        </w:rPr>
        <w:t>U naseljima Fajerovec, Nemčevec i Fodrovec Riječki sustav javne vodoopskrbe još nije uspostavljen.</w:t>
      </w:r>
    </w:p>
    <w:p w:rsidR="00012172" w:rsidRDefault="00012172">
      <w:pPr>
        <w:jc w:val="both"/>
        <w:rPr>
          <w:rFonts w:ascii="Arial" w:hAnsi="Arial" w:cs="Arial"/>
        </w:rPr>
      </w:pPr>
    </w:p>
    <w:p w:rsidR="00012172" w:rsidRDefault="00012172">
      <w:pPr>
        <w:jc w:val="both"/>
        <w:rPr>
          <w:rFonts w:ascii="Arial" w:hAnsi="Arial" w:cs="Arial"/>
          <w:sz w:val="22"/>
        </w:rPr>
      </w:pPr>
      <w:r>
        <w:rPr>
          <w:rFonts w:ascii="Arial" w:hAnsi="Arial" w:cs="Arial"/>
          <w:sz w:val="22"/>
        </w:rPr>
        <w:t>Za potrebe vodoopskrbe općine voda se crpi iz izvorišta Vratno.</w:t>
      </w:r>
    </w:p>
    <w:p w:rsidR="00012172" w:rsidRDefault="00012172">
      <w:pPr>
        <w:autoSpaceDE w:val="0"/>
        <w:autoSpaceDN w:val="0"/>
        <w:adjustRightInd w:val="0"/>
        <w:jc w:val="both"/>
        <w:rPr>
          <w:rFonts w:ascii="Arial" w:hAnsi="Arial" w:cs="Arial"/>
          <w:sz w:val="22"/>
        </w:rPr>
      </w:pPr>
      <w:r>
        <w:rPr>
          <w:rFonts w:ascii="Arial" w:hAnsi="Arial" w:cs="Arial"/>
          <w:sz w:val="22"/>
        </w:rPr>
        <w:lastRenderedPageBreak/>
        <w:t>Na lokaciji Vratna nalaze se dva zdenca, bušeni zdenac nazvan “BV-</w:t>
      </w:r>
      <w:smartTag w:uri="urn:schemas-microsoft-com:office:smarttags" w:element="metricconverter">
        <w:smartTagPr>
          <w:attr w:name="ProductID" w:val="1”"/>
        </w:smartTagPr>
        <w:r>
          <w:rPr>
            <w:rFonts w:ascii="Arial" w:hAnsi="Arial" w:cs="Arial"/>
            <w:sz w:val="22"/>
          </w:rPr>
          <w:t>1”</w:t>
        </w:r>
      </w:smartTag>
      <w:r>
        <w:rPr>
          <w:rFonts w:ascii="Arial" w:hAnsi="Arial" w:cs="Arial"/>
          <w:sz w:val="22"/>
        </w:rPr>
        <w:t xml:space="preserve"> (izveden 1984.g.) i kopani zdenac nazvan “KBV-</w:t>
      </w:r>
      <w:smartTag w:uri="urn:schemas-microsoft-com:office:smarttags" w:element="metricconverter">
        <w:smartTagPr>
          <w:attr w:name="ProductID" w:val="1”"/>
        </w:smartTagPr>
        <w:r>
          <w:rPr>
            <w:rFonts w:ascii="Arial" w:hAnsi="Arial" w:cs="Arial"/>
            <w:sz w:val="22"/>
          </w:rPr>
          <w:t>1”</w:t>
        </w:r>
      </w:smartTag>
      <w:r>
        <w:rPr>
          <w:rFonts w:ascii="Arial" w:hAnsi="Arial" w:cs="Arial"/>
          <w:sz w:val="22"/>
        </w:rPr>
        <w:t xml:space="preserve"> (izveden 1989.g.) kojim se zahvaćaju gornji horizonti podzemnih voda.</w:t>
      </w:r>
    </w:p>
    <w:p w:rsidR="00012172" w:rsidRDefault="00012172">
      <w:pPr>
        <w:autoSpaceDE w:val="0"/>
        <w:autoSpaceDN w:val="0"/>
        <w:adjustRightInd w:val="0"/>
        <w:jc w:val="both"/>
        <w:rPr>
          <w:rFonts w:ascii="Arial" w:hAnsi="Arial" w:cs="Arial"/>
          <w:sz w:val="22"/>
        </w:rPr>
      </w:pPr>
      <w:r>
        <w:rPr>
          <w:rFonts w:ascii="Arial" w:hAnsi="Arial" w:cs="Arial"/>
          <w:sz w:val="22"/>
        </w:rPr>
        <w:t>Izvedbom bušenog zdenca (Geotehnika – Zagreb) prognozirano je da se radi o arteškom zdencu kapaciteta od 60 l/s, pri čemu se zahvaća termalna voda,</w:t>
      </w:r>
      <w:r>
        <w:rPr>
          <w:rFonts w:ascii="Arial" w:hAnsi="Arial" w:cs="Arial"/>
          <w:sz w:val="22"/>
          <w:szCs w:val="20"/>
        </w:rPr>
        <w:t xml:space="preserve"> </w:t>
      </w:r>
      <w:r>
        <w:rPr>
          <w:rFonts w:ascii="Arial" w:hAnsi="Arial" w:cs="Arial"/>
          <w:sz w:val="22"/>
        </w:rPr>
        <w:t xml:space="preserve">temperature oko </w:t>
      </w:r>
      <w:smartTag w:uri="urn:schemas-microsoft-com:office:smarttags" w:element="metricconverter">
        <w:smartTagPr>
          <w:attr w:name="ProductID" w:val="22ﾰC"/>
        </w:smartTagPr>
        <w:r>
          <w:rPr>
            <w:rFonts w:ascii="Arial" w:hAnsi="Arial" w:cs="Arial"/>
            <w:sz w:val="22"/>
          </w:rPr>
          <w:t>22°C</w:t>
        </w:r>
      </w:smartTag>
      <w:r>
        <w:rPr>
          <w:rFonts w:ascii="Arial" w:hAnsi="Arial" w:cs="Arial"/>
          <w:sz w:val="22"/>
        </w:rPr>
        <w:t xml:space="preserve"> koja je karakterizirana velikom starosti (nazvana je “arhaičkom” vodom). Upravo naznačena “starost” vode inicirala je pristup dužetrajnom probnom crpljenju (ukupno oko 4 mjeseca) kako bi se potvrdila postojanost u pogledu mogućnosti prihranjivanja vodnih zaliha, odnosno osiguranja stalnosti eksploatacije. Upravo ova probna crpljenja, pokazala su, da se ovdje ne</w:t>
      </w:r>
      <w:r>
        <w:rPr>
          <w:rFonts w:ascii="Arial" w:hAnsi="Arial" w:cs="Arial"/>
          <w:color w:val="0000FF"/>
          <w:sz w:val="22"/>
        </w:rPr>
        <w:t xml:space="preserve"> </w:t>
      </w:r>
      <w:r>
        <w:rPr>
          <w:rFonts w:ascii="Arial" w:hAnsi="Arial" w:cs="Arial"/>
          <w:sz w:val="22"/>
        </w:rPr>
        <w:t>može računati sa stalnošću arteškog djelovanja zdenca, kao i o neiscrpnim količinama, promatrano u odnosu na prognoziranu izdašnost od 60 l/s.</w:t>
      </w:r>
    </w:p>
    <w:p w:rsidR="00012172" w:rsidRDefault="00012172">
      <w:pPr>
        <w:autoSpaceDE w:val="0"/>
        <w:autoSpaceDN w:val="0"/>
        <w:adjustRightInd w:val="0"/>
        <w:jc w:val="both"/>
        <w:rPr>
          <w:rFonts w:ascii="Arial" w:hAnsi="Arial" w:cs="Arial"/>
          <w:sz w:val="22"/>
        </w:rPr>
      </w:pPr>
      <w:r>
        <w:rPr>
          <w:rFonts w:ascii="Arial" w:hAnsi="Arial" w:cs="Arial"/>
          <w:sz w:val="22"/>
        </w:rPr>
        <w:t>Probno crpljenje obavljeno je upravo tim (prognoziranim) kapacitetom, prilikom čega je ustanovljeno kontinuirano sniženje razine vode u zdencu - i to u početnom razdoblju intenzivnije, a kasnije usporeno. Interpretacijom rezultata probnog crpljenja zadržana je i dalje granična količina iskoristive izdašnosti od 60 l/s, s time da će se tijekom višegodišnjeg pogona morati obavljati izmjena crpke, s većom manometarskom visinom, jer se očekuje da će sniženja razine vode u zdencu (u slučaju kontinuiranog pogona s kapacitetom 60 l/s) iznositi oko 20-</w:t>
      </w:r>
      <w:smartTag w:uri="urn:schemas-microsoft-com:office:smarttags" w:element="metricconverter">
        <w:smartTagPr>
          <w:attr w:name="ProductID" w:val="25 m"/>
        </w:smartTagPr>
        <w:r>
          <w:rPr>
            <w:rFonts w:ascii="Arial" w:hAnsi="Arial" w:cs="Arial"/>
            <w:sz w:val="22"/>
          </w:rPr>
          <w:t>25 m</w:t>
        </w:r>
      </w:smartTag>
      <w:r>
        <w:rPr>
          <w:rFonts w:ascii="Arial" w:hAnsi="Arial" w:cs="Arial"/>
          <w:sz w:val="22"/>
        </w:rPr>
        <w:t xml:space="preserve">. Uvažavanjem ovakvih prognoza o sniženju razine vode tijekom eksploatacije, pristupilo se primjeni pogonske koncepcije s manjim kapacitetom korištenja ovog zdenca u prvim fazama pogona (temeljenom na manjem instaliranom kapacitetu uronjene podvodne crpke). </w:t>
      </w:r>
    </w:p>
    <w:p w:rsidR="00012172" w:rsidRDefault="00012172">
      <w:pPr>
        <w:pStyle w:val="Opisslike"/>
        <w:rPr>
          <w:rFonts w:ascii="Times New Roman" w:hAnsi="Times New Roman"/>
          <w:b/>
          <w:bCs w:val="0"/>
          <w:sz w:val="22"/>
        </w:rPr>
      </w:pPr>
    </w:p>
    <w:p w:rsidR="00012172" w:rsidRDefault="00012172">
      <w:pPr>
        <w:autoSpaceDE w:val="0"/>
        <w:autoSpaceDN w:val="0"/>
        <w:adjustRightInd w:val="0"/>
        <w:jc w:val="both"/>
        <w:rPr>
          <w:rFonts w:ascii="Arial" w:hAnsi="Arial" w:cs="Arial"/>
          <w:sz w:val="22"/>
          <w:szCs w:val="20"/>
        </w:rPr>
      </w:pPr>
      <w:r>
        <w:rPr>
          <w:rFonts w:ascii="Arial" w:hAnsi="Arial" w:cs="Arial"/>
          <w:sz w:val="22"/>
        </w:rPr>
        <w:t>Kopani zdenac “KBV-</w:t>
      </w:r>
      <w:smartTag w:uri="urn:schemas-microsoft-com:office:smarttags" w:element="metricconverter">
        <w:smartTagPr>
          <w:attr w:name="ProductID" w:val="1”"/>
        </w:smartTagPr>
        <w:r>
          <w:rPr>
            <w:rFonts w:ascii="Arial" w:hAnsi="Arial" w:cs="Arial"/>
            <w:sz w:val="22"/>
          </w:rPr>
          <w:t>1”</w:t>
        </w:r>
      </w:smartTag>
      <w:r>
        <w:rPr>
          <w:rFonts w:ascii="Arial" w:hAnsi="Arial" w:cs="Arial"/>
          <w:sz w:val="22"/>
        </w:rPr>
        <w:t xml:space="preserve"> izveden je naknadno, a sve na temelju spoznaja pribavljenih prilikom uređenja prostora oko zdenca “BV-</w:t>
      </w:r>
      <w:smartTag w:uri="urn:schemas-microsoft-com:office:smarttags" w:element="metricconverter">
        <w:smartTagPr>
          <w:attr w:name="ProductID" w:val="1”"/>
        </w:smartTagPr>
        <w:r>
          <w:rPr>
            <w:rFonts w:ascii="Arial" w:hAnsi="Arial" w:cs="Arial"/>
            <w:sz w:val="22"/>
          </w:rPr>
          <w:t>1”</w:t>
        </w:r>
      </w:smartTag>
      <w:r>
        <w:rPr>
          <w:rFonts w:ascii="Arial" w:hAnsi="Arial" w:cs="Arial"/>
          <w:sz w:val="22"/>
        </w:rPr>
        <w:t xml:space="preserve"> i daljnje provođenih istraživačkih radova na tome lokalitetu. Ovaj zdenac kaptira gornji vodonosnik (vjerojatno infiltrirajuće vode potoka Kamešnica), a kapaciteta je oko 15 l/s. Voda zadovoljava kakvoću prema Pravilniku o zdravstvenoj ispravnosti vode za piće, tako da je uvedena u zajednički sustav vodovoda iz Vratna, tj. transportira se putem crpki u prekidnu komoru “Vratno” koja se predstavlja inicijalnom točkom za daljnje razvođenje voda i dopremu u javni vodoopskrbni sustav.</w:t>
      </w:r>
    </w:p>
    <w:p w:rsidR="00012172" w:rsidRDefault="00012172">
      <w:pPr>
        <w:jc w:val="both"/>
        <w:rPr>
          <w:rFonts w:ascii="Arial" w:hAnsi="Arial" w:cs="Arial"/>
          <w:sz w:val="22"/>
        </w:rPr>
      </w:pPr>
    </w:p>
    <w:p w:rsidR="00012172" w:rsidRDefault="00012172">
      <w:pPr>
        <w:jc w:val="both"/>
        <w:rPr>
          <w:rFonts w:ascii="Arial" w:hAnsi="Arial" w:cs="Arial"/>
        </w:rPr>
      </w:pPr>
      <w:r>
        <w:rPr>
          <w:rFonts w:ascii="Arial" w:hAnsi="Arial" w:cs="Arial"/>
          <w:sz w:val="22"/>
        </w:rPr>
        <w:t>Domaćinstva koja nisu priključena na sustav javne vodoopskrbe opskrbljuju se vodom iz vlastitih bunara. Pritom valja napomenuti da je zdravstvena ispravnost</w:t>
      </w:r>
      <w:r>
        <w:rPr>
          <w:rFonts w:ascii="Arial" w:hAnsi="Arial" w:cs="Arial"/>
        </w:rPr>
        <w:t xml:space="preserve"> takove vode upitna.</w:t>
      </w:r>
    </w:p>
    <w:p w:rsidR="00012172" w:rsidRDefault="00012172">
      <w:pPr>
        <w:pStyle w:val="Opisslike"/>
        <w:rPr>
          <w:rFonts w:ascii="Times New Roman" w:hAnsi="Times New Roman"/>
          <w:b/>
          <w:bCs w:val="0"/>
          <w:sz w:val="22"/>
        </w:rPr>
      </w:pPr>
    </w:p>
    <w:p w:rsidR="00012172" w:rsidRDefault="00012172">
      <w:pPr>
        <w:pStyle w:val="Opisslike"/>
        <w:rPr>
          <w:rFonts w:ascii="Times New Roman" w:hAnsi="Times New Roman"/>
          <w:b/>
          <w:bCs w:val="0"/>
          <w:sz w:val="22"/>
        </w:rPr>
      </w:pPr>
    </w:p>
    <w:p w:rsidR="00012172" w:rsidRDefault="008F6679">
      <w:pPr>
        <w:pStyle w:val="Opisslike"/>
        <w:jc w:val="center"/>
        <w:rPr>
          <w:rFonts w:ascii="Times New Roman" w:hAnsi="Times New Roman"/>
          <w:b/>
          <w:bCs w:val="0"/>
          <w:sz w:val="22"/>
        </w:rPr>
      </w:pPr>
      <w:r>
        <w:rPr>
          <w:rFonts w:ascii="Times New Roman" w:hAnsi="Times New Roman"/>
          <w:b/>
          <w:bCs w:val="0"/>
          <w:noProof/>
          <w:sz w:val="22"/>
        </w:rPr>
        <w:lastRenderedPageBreak/>
        <w:drawing>
          <wp:inline distT="0" distB="0" distL="0" distR="0">
            <wp:extent cx="2679700" cy="3784600"/>
            <wp:effectExtent l="19050" t="19050" r="25400" b="25400"/>
            <wp:docPr id="5" name="Slika 5" descr="voda, k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da, ka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9700" cy="3784600"/>
                    </a:xfrm>
                    <a:prstGeom prst="rect">
                      <a:avLst/>
                    </a:prstGeom>
                    <a:noFill/>
                    <a:ln w="19050" cmpd="dbl">
                      <a:solidFill>
                        <a:srgbClr val="000000"/>
                      </a:solidFill>
                      <a:miter lim="800000"/>
                      <a:headEnd/>
                      <a:tailEnd/>
                    </a:ln>
                    <a:effectLst/>
                  </pic:spPr>
                </pic:pic>
              </a:graphicData>
            </a:graphic>
          </wp:inline>
        </w:drawing>
      </w:r>
    </w:p>
    <w:p w:rsidR="00012172" w:rsidRDefault="00012172">
      <w:pPr>
        <w:pStyle w:val="Opisslike"/>
        <w:jc w:val="center"/>
        <w:rPr>
          <w:rFonts w:ascii="Times New Roman" w:hAnsi="Times New Roman"/>
          <w:b/>
          <w:bCs w:val="0"/>
          <w:sz w:val="22"/>
          <w:szCs w:val="22"/>
        </w:rPr>
      </w:pPr>
      <w:r>
        <w:rPr>
          <w:rFonts w:ascii="Times New Roman" w:hAnsi="Times New Roman"/>
          <w:b/>
          <w:bCs w:val="0"/>
          <w:sz w:val="22"/>
        </w:rPr>
        <w:t>Slika 5: Vodoopskrba i odvodnja</w:t>
      </w:r>
    </w:p>
    <w:p w:rsidR="00012172" w:rsidRDefault="00012172">
      <w:pPr>
        <w:pStyle w:val="Tijeloteksta-uvlaka2"/>
        <w:spacing w:line="240" w:lineRule="auto"/>
        <w:ind w:left="0"/>
        <w:jc w:val="both"/>
        <w:rPr>
          <w:rFonts w:ascii="Times" w:hAnsi="Times"/>
        </w:rPr>
      </w:pPr>
    </w:p>
    <w:p w:rsidR="00012172" w:rsidRDefault="00012172">
      <w:pPr>
        <w:pStyle w:val="t-98-2"/>
        <w:ind w:firstLine="0"/>
        <w:rPr>
          <w:rFonts w:ascii="Times New Roman" w:hAnsi="Times New Roman"/>
          <w:bCs/>
          <w:sz w:val="24"/>
          <w:szCs w:val="22"/>
        </w:rPr>
      </w:pPr>
    </w:p>
    <w:p w:rsidR="00012172" w:rsidRDefault="00012172">
      <w:pPr>
        <w:pStyle w:val="t-98-2"/>
        <w:ind w:firstLine="0"/>
        <w:rPr>
          <w:rFonts w:ascii="Arial" w:hAnsi="Arial" w:cs="Arial"/>
          <w:sz w:val="22"/>
          <w:szCs w:val="24"/>
        </w:rPr>
      </w:pPr>
    </w:p>
    <w:p w:rsidR="00012172" w:rsidRDefault="00012172">
      <w:pPr>
        <w:pStyle w:val="Naslov6"/>
        <w:rPr>
          <w:rFonts w:cs="Arial"/>
        </w:rPr>
      </w:pPr>
      <w:r>
        <w:rPr>
          <w:rFonts w:cs="Arial"/>
        </w:rPr>
        <w:t>Odvodnja</w:t>
      </w:r>
    </w:p>
    <w:p w:rsidR="00012172" w:rsidRDefault="00012172">
      <w:pPr>
        <w:jc w:val="both"/>
      </w:pPr>
    </w:p>
    <w:p w:rsidR="00012172" w:rsidRDefault="00012172">
      <w:pPr>
        <w:jc w:val="both"/>
        <w:rPr>
          <w:rFonts w:ascii="Arial" w:hAnsi="Arial" w:cs="Arial"/>
          <w:sz w:val="22"/>
        </w:rPr>
      </w:pPr>
      <w:r>
        <w:rPr>
          <w:rFonts w:ascii="Arial" w:hAnsi="Arial" w:cs="Arial"/>
          <w:sz w:val="22"/>
        </w:rPr>
        <w:t>Odvodnja otpadnih voda kućanstava i gospodarstava na području općine Gornja Rijeka nije adekvatno riješena. Sanitarno - fekalne vode odvode se u septičke jame ili gnojnice koje su često nepropisno izvedene tako da zagađuju okolni teren, dok se oborinske i otpadne vode često odvode otvorenim kanalima ili cestovnim jarcima u obližnje vodotoke.</w:t>
      </w:r>
    </w:p>
    <w:p w:rsidR="00012172" w:rsidRDefault="00012172">
      <w:pPr>
        <w:jc w:val="both"/>
        <w:rPr>
          <w:rFonts w:ascii="Arial" w:hAnsi="Arial" w:cs="Arial"/>
        </w:rPr>
      </w:pPr>
      <w:r>
        <w:rPr>
          <w:rFonts w:ascii="Arial" w:hAnsi="Arial" w:cs="Arial"/>
          <w:sz w:val="22"/>
        </w:rPr>
        <w:t>U vrijeme dok se opskrba vodom odvijala iz individualnih zdenaca s vrlo niskom potrošnjom vode, dispozicija sanitarno – fekalne otpadne vode putem improviziranih septičkih jama (u većini slučajeva zapravo običnih upojnih ili prelivnih jama) mogla se smatrati donekle zadovoljavajućom. Izgradnjom vodoopskrbnog sustava na području općine Gornja Rijeka potrošnja vode naglo će rasti, te će prilikom odvodnje sanitarno - fekalnih voda postojeće septičke i upojne jame postati premale. U takvom režimu odvodnje dolazi do čestih preljevanja iz jama. Zadržavanje efluenta svedeno je na vrlo kratko vrijeme zbog čega nije moguć proces biološke razgradnje. Takve bakteriološki zagađene i nedovoljno pročišćene vode predstavljaju opasan medij za</w:t>
      </w:r>
      <w:r>
        <w:rPr>
          <w:rFonts w:ascii="Arial" w:hAnsi="Arial" w:cs="Arial"/>
          <w:color w:val="0000FF"/>
          <w:sz w:val="22"/>
        </w:rPr>
        <w:t xml:space="preserve"> </w:t>
      </w:r>
      <w:r>
        <w:rPr>
          <w:rFonts w:ascii="Arial" w:hAnsi="Arial" w:cs="Arial"/>
          <w:sz w:val="22"/>
        </w:rPr>
        <w:t>zdravlje čovjeka te je stoga hitno potrebno uspostaviti režim pročišćavanja i odvodnje</w:t>
      </w:r>
      <w:r>
        <w:rPr>
          <w:rFonts w:ascii="Arial" w:hAnsi="Arial" w:cs="Arial"/>
        </w:rPr>
        <w:t xml:space="preserve"> otpadnih voda.</w:t>
      </w:r>
    </w:p>
    <w:p w:rsidR="00012172" w:rsidRDefault="00012172">
      <w:pPr>
        <w:jc w:val="both"/>
        <w:rPr>
          <w:rFonts w:ascii="Arial" w:hAnsi="Arial" w:cs="Arial"/>
        </w:rPr>
      </w:pPr>
    </w:p>
    <w:p w:rsidR="00012172" w:rsidRDefault="00012172">
      <w:pPr>
        <w:jc w:val="both"/>
        <w:rPr>
          <w:rFonts w:ascii="Arial" w:hAnsi="Arial" w:cs="Arial"/>
          <w:sz w:val="22"/>
        </w:rPr>
      </w:pPr>
      <w:r>
        <w:rPr>
          <w:rFonts w:ascii="Arial" w:hAnsi="Arial" w:cs="Arial"/>
          <w:sz w:val="22"/>
        </w:rPr>
        <w:t>U rujnu 1998. godine izrađena je "Studija odvodnje i pročišćavanja otpadnih voda na području Koprivničko-križevačke županije" (IGH Zagreb), koja je dala prijedlog rješenja odvodnje oborinskih i fekalnih voda za područje Županije, a samim time i za područje općine Gornja Rijeka. Studija, kao i većina projekata vezanih uz planiranje odvodnje i pročišćavanja u Koprivničko – križevačkoj županiji izrađena je na osnovi smjernica njemačkog udruženja za otpadne vode, ATV (Abwasser Abfall Gewasserschutz – Abwassertechnische Verinigung).</w:t>
      </w:r>
    </w:p>
    <w:p w:rsidR="00012172" w:rsidRDefault="00012172">
      <w:pPr>
        <w:pStyle w:val="Tijeloteksta2"/>
      </w:pPr>
    </w:p>
    <w:p w:rsidR="00012172" w:rsidRPr="00F30AE6" w:rsidRDefault="00012172">
      <w:pPr>
        <w:pStyle w:val="Tijeloteksta2"/>
        <w:ind w:left="0" w:hanging="27"/>
        <w:rPr>
          <w:sz w:val="22"/>
          <w:szCs w:val="22"/>
        </w:rPr>
      </w:pPr>
      <w:r w:rsidRPr="00F30AE6">
        <w:rPr>
          <w:sz w:val="22"/>
          <w:szCs w:val="22"/>
        </w:rPr>
        <w:lastRenderedPageBreak/>
        <w:t xml:space="preserve">"Hrvatske vode" su pokrenule izradu </w:t>
      </w:r>
      <w:r w:rsidRPr="00F30AE6">
        <w:rPr>
          <w:sz w:val="22"/>
          <w:szCs w:val="22"/>
          <w:u w:val="single"/>
        </w:rPr>
        <w:t>Studije zaštite voda Koprivničko-križevačke županije</w:t>
      </w:r>
      <w:r w:rsidRPr="00F30AE6">
        <w:rPr>
          <w:sz w:val="22"/>
          <w:szCs w:val="22"/>
        </w:rPr>
        <w:t>, koja bi trebala biti usvojena tijekom 2006. godine, a izrađivač je već spomenuta tvrtka "Dippold &amp; Gerold" HIDROPROJEKT 91 iz Zagreba. Izradom predmetne Studije, postaviti će se osnovna koncepcijska rješenja odvodnje i pročišćavanja otpadnih voda svih gradova i naseljenih mjesta županije, te definirati uvjeti pročišćavanja i ispuštanja vode u prijemnike. Predstavljati će koncepcijsku osnovu  za planiranje, razvitak, pogon i održavanje sustava odvodnje te za sustavno provođenje zaštite voda područja Koprivničko-križevačke županije.</w:t>
      </w:r>
    </w:p>
    <w:p w:rsidR="00012172" w:rsidRPr="00F30AE6" w:rsidRDefault="00012172">
      <w:pPr>
        <w:pStyle w:val="Tijeloteksta-uvlaka3"/>
        <w:ind w:left="0"/>
        <w:rPr>
          <w:rFonts w:ascii="Times New Roman" w:hAnsi="Times New Roman"/>
          <w:szCs w:val="22"/>
        </w:rPr>
      </w:pPr>
    </w:p>
    <w:p w:rsidR="00012172" w:rsidRDefault="00012172">
      <w:pPr>
        <w:pStyle w:val="Tijeloteksta-uvlaka3"/>
        <w:ind w:left="0"/>
        <w:rPr>
          <w:rFonts w:ascii="Times New Roman" w:hAnsi="Times New Roman"/>
        </w:rPr>
      </w:pPr>
    </w:p>
    <w:p w:rsidR="00012172" w:rsidRDefault="00012172">
      <w:pPr>
        <w:numPr>
          <w:ilvl w:val="0"/>
          <w:numId w:val="3"/>
        </w:numPr>
        <w:jc w:val="both"/>
        <w:rPr>
          <w:rFonts w:ascii="Arial" w:hAnsi="Arial"/>
          <w:b/>
          <w:sz w:val="22"/>
          <w:szCs w:val="22"/>
        </w:rPr>
      </w:pPr>
      <w:r>
        <w:rPr>
          <w:rFonts w:ascii="Arial" w:hAnsi="Arial"/>
          <w:b/>
          <w:sz w:val="22"/>
          <w:szCs w:val="22"/>
        </w:rPr>
        <w:t>Elektroopskrba</w:t>
      </w:r>
    </w:p>
    <w:p w:rsidR="00012172" w:rsidRDefault="00012172">
      <w:pPr>
        <w:pStyle w:val="Opisslike"/>
        <w:rPr>
          <w:rFonts w:ascii="Times New Roman" w:hAnsi="Times New Roman"/>
          <w:b/>
          <w:bCs w:val="0"/>
          <w:sz w:val="22"/>
        </w:rPr>
      </w:pPr>
    </w:p>
    <w:p w:rsidR="00012172" w:rsidRDefault="00012172">
      <w:pPr>
        <w:numPr>
          <w:ilvl w:val="12"/>
          <w:numId w:val="0"/>
        </w:numPr>
        <w:ind w:right="-1"/>
        <w:jc w:val="both"/>
        <w:rPr>
          <w:rFonts w:ascii="Arial" w:hAnsi="Arial" w:cs="Arial"/>
          <w:sz w:val="22"/>
          <w:szCs w:val="22"/>
        </w:rPr>
      </w:pPr>
      <w:r>
        <w:rPr>
          <w:rFonts w:ascii="Arial" w:hAnsi="Arial" w:cs="Arial"/>
          <w:sz w:val="22"/>
          <w:szCs w:val="22"/>
        </w:rPr>
        <w:t>Napajanje općine električnom energijom u cijelosti vrši HEP d.d. DP ''Elektra'' Bjelovar – Pogon Križevci.</w:t>
      </w:r>
    </w:p>
    <w:p w:rsidR="00012172" w:rsidRDefault="00012172">
      <w:pPr>
        <w:numPr>
          <w:ilvl w:val="12"/>
          <w:numId w:val="0"/>
        </w:numPr>
        <w:ind w:right="-1"/>
        <w:jc w:val="both"/>
        <w:rPr>
          <w:rFonts w:ascii="Arial" w:hAnsi="Arial" w:cs="Arial"/>
          <w:sz w:val="22"/>
          <w:szCs w:val="22"/>
        </w:rPr>
      </w:pPr>
      <w:r>
        <w:rPr>
          <w:rFonts w:ascii="Arial" w:hAnsi="Arial" w:cs="Arial"/>
          <w:sz w:val="22"/>
          <w:szCs w:val="22"/>
        </w:rPr>
        <w:t>Pojna transformatorska stanica 35/10 kV nalazi se u susjednoj općini Sveti Petar Orehovec, u istoimenom naselju. Najviši naponski nivo kojim se naselja općine Gornja Rijeka opskrbljuju električnom energijom iznosi 10 kV. Dalekovodi 10 kV kojima se opskrbljuju TS 10/0.4 kV, odnosno niskonaponske mreže, uglavnom su nadzemni na drvenim stupovima, presjeka vodiča AČ 25 mm</w:t>
      </w:r>
      <w:r>
        <w:rPr>
          <w:rFonts w:ascii="Helvetica" w:hAnsi="Helvetica" w:cs="Arial"/>
          <w:sz w:val="22"/>
          <w:szCs w:val="22"/>
          <w:vertAlign w:val="superscript"/>
        </w:rPr>
        <w:t>2</w:t>
      </w:r>
      <w:r>
        <w:rPr>
          <w:rFonts w:ascii="Helvetica" w:hAnsi="Helvetica" w:cs="Arial"/>
          <w:sz w:val="22"/>
          <w:szCs w:val="22"/>
        </w:rPr>
        <w:t xml:space="preserve"> (85 %) dok su veći presjeci vodiča 50 i 70 </w:t>
      </w:r>
      <w:r>
        <w:rPr>
          <w:rFonts w:ascii="Arial" w:hAnsi="Arial" w:cs="Arial"/>
          <w:sz w:val="22"/>
          <w:szCs w:val="22"/>
        </w:rPr>
        <w:t xml:space="preserve"> mm</w:t>
      </w:r>
      <w:r>
        <w:rPr>
          <w:rFonts w:ascii="Helvetica" w:hAnsi="Helvetica" w:cs="Arial"/>
          <w:sz w:val="22"/>
          <w:szCs w:val="22"/>
          <w:vertAlign w:val="superscript"/>
        </w:rPr>
        <w:t xml:space="preserve">2 </w:t>
      </w:r>
      <w:r>
        <w:rPr>
          <w:rFonts w:ascii="Arial" w:hAnsi="Arial" w:cs="Arial"/>
          <w:sz w:val="22"/>
          <w:szCs w:val="22"/>
        </w:rPr>
        <w:t>, cca. 15 %.</w:t>
      </w:r>
    </w:p>
    <w:p w:rsidR="00012172" w:rsidRDefault="00012172">
      <w:pPr>
        <w:numPr>
          <w:ilvl w:val="12"/>
          <w:numId w:val="0"/>
        </w:numPr>
        <w:ind w:right="-1"/>
        <w:jc w:val="both"/>
        <w:rPr>
          <w:rFonts w:ascii="Arial" w:hAnsi="Arial" w:cs="Arial"/>
          <w:sz w:val="22"/>
          <w:szCs w:val="22"/>
        </w:rPr>
      </w:pPr>
      <w:r>
        <w:rPr>
          <w:rFonts w:ascii="Arial" w:hAnsi="Arial" w:cs="Arial"/>
          <w:sz w:val="22"/>
          <w:szCs w:val="22"/>
        </w:rPr>
        <w:t>Na području općine izgrađeno je 13 trafostanica 10/0.4 kV, koje su povezane 10 kV dalekovodima te je razvijena niskonaponska mreža, dok 35 i 110 kV dalekovodi nisu izgrađeni na području općine. Elektrifikacija je provedena u svim naseljima općine.</w:t>
      </w:r>
    </w:p>
    <w:p w:rsidR="00012172" w:rsidRDefault="00012172">
      <w:pPr>
        <w:numPr>
          <w:ilvl w:val="12"/>
          <w:numId w:val="0"/>
        </w:numPr>
        <w:ind w:right="-1"/>
        <w:jc w:val="both"/>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980"/>
        <w:gridCol w:w="1800"/>
        <w:gridCol w:w="1440"/>
        <w:gridCol w:w="1992"/>
      </w:tblGrid>
      <w:tr w:rsidR="00012172">
        <w:tblPrEx>
          <w:tblCellMar>
            <w:top w:w="0" w:type="dxa"/>
            <w:bottom w:w="0" w:type="dxa"/>
          </w:tblCellMar>
        </w:tblPrEx>
        <w:trPr>
          <w:trHeight w:val="837"/>
        </w:trPr>
        <w:tc>
          <w:tcPr>
            <w:tcW w:w="2088" w:type="dxa"/>
            <w:tcBorders>
              <w:top w:val="double" w:sz="4" w:space="0" w:color="auto"/>
              <w:left w:val="double" w:sz="4" w:space="0" w:color="auto"/>
              <w:bottom w:val="double" w:sz="4" w:space="0" w:color="auto"/>
              <w:right w:val="single" w:sz="6" w:space="0" w:color="auto"/>
            </w:tcBorders>
            <w:shd w:val="clear" w:color="auto" w:fill="E6E6E6"/>
            <w:vAlign w:val="center"/>
          </w:tcPr>
          <w:p w:rsidR="00012172" w:rsidRDefault="00012172">
            <w:pPr>
              <w:numPr>
                <w:ilvl w:val="12"/>
                <w:numId w:val="0"/>
              </w:numPr>
              <w:ind w:right="-1"/>
              <w:jc w:val="center"/>
              <w:rPr>
                <w:rFonts w:ascii="Arial" w:hAnsi="Arial" w:cs="Arial"/>
                <w:szCs w:val="22"/>
              </w:rPr>
            </w:pPr>
            <w:r>
              <w:rPr>
                <w:rFonts w:ascii="Arial" w:hAnsi="Arial" w:cs="Arial"/>
                <w:szCs w:val="22"/>
              </w:rPr>
              <w:t>NASELJE</w:t>
            </w:r>
          </w:p>
          <w:p w:rsidR="00012172" w:rsidRDefault="00012172">
            <w:pPr>
              <w:numPr>
                <w:ilvl w:val="12"/>
                <w:numId w:val="0"/>
              </w:numPr>
              <w:ind w:right="-1"/>
              <w:jc w:val="center"/>
              <w:rPr>
                <w:rFonts w:ascii="Arial" w:hAnsi="Arial" w:cs="Arial"/>
                <w:szCs w:val="22"/>
              </w:rPr>
            </w:pPr>
            <w:r>
              <w:rPr>
                <w:rFonts w:ascii="Arial" w:hAnsi="Arial" w:cs="Arial"/>
                <w:szCs w:val="22"/>
              </w:rPr>
              <w:t>(naziv)</w:t>
            </w:r>
          </w:p>
        </w:tc>
        <w:tc>
          <w:tcPr>
            <w:tcW w:w="1980" w:type="dxa"/>
            <w:tcBorders>
              <w:top w:val="double" w:sz="4" w:space="0" w:color="auto"/>
              <w:left w:val="single" w:sz="6" w:space="0" w:color="auto"/>
              <w:bottom w:val="double" w:sz="4" w:space="0" w:color="auto"/>
              <w:right w:val="single" w:sz="6" w:space="0" w:color="auto"/>
            </w:tcBorders>
            <w:shd w:val="clear" w:color="auto" w:fill="E6E6E6"/>
            <w:vAlign w:val="center"/>
          </w:tcPr>
          <w:p w:rsidR="00012172" w:rsidRDefault="00012172">
            <w:pPr>
              <w:numPr>
                <w:ilvl w:val="12"/>
                <w:numId w:val="0"/>
              </w:numPr>
              <w:ind w:right="-1"/>
              <w:jc w:val="center"/>
              <w:rPr>
                <w:rFonts w:ascii="Arial" w:hAnsi="Arial" w:cs="Arial"/>
                <w:szCs w:val="22"/>
              </w:rPr>
            </w:pPr>
            <w:r>
              <w:rPr>
                <w:rFonts w:ascii="Arial" w:hAnsi="Arial" w:cs="Arial"/>
                <w:szCs w:val="22"/>
              </w:rPr>
              <w:t>TS 10/0.4 kV</w:t>
            </w:r>
          </w:p>
          <w:p w:rsidR="00012172" w:rsidRDefault="00012172">
            <w:pPr>
              <w:numPr>
                <w:ilvl w:val="12"/>
                <w:numId w:val="0"/>
              </w:numPr>
              <w:ind w:right="-1"/>
              <w:jc w:val="center"/>
              <w:rPr>
                <w:rFonts w:ascii="Arial" w:hAnsi="Arial" w:cs="Arial"/>
                <w:szCs w:val="22"/>
              </w:rPr>
            </w:pPr>
            <w:r>
              <w:rPr>
                <w:rFonts w:ascii="Arial" w:hAnsi="Arial" w:cs="Arial"/>
                <w:szCs w:val="22"/>
              </w:rPr>
              <w:t>(naziv)</w:t>
            </w:r>
          </w:p>
        </w:tc>
        <w:tc>
          <w:tcPr>
            <w:tcW w:w="1800" w:type="dxa"/>
            <w:tcBorders>
              <w:top w:val="double" w:sz="4" w:space="0" w:color="auto"/>
              <w:left w:val="single" w:sz="6" w:space="0" w:color="auto"/>
              <w:bottom w:val="double" w:sz="4" w:space="0" w:color="auto"/>
              <w:right w:val="single" w:sz="6" w:space="0" w:color="auto"/>
            </w:tcBorders>
            <w:shd w:val="clear" w:color="auto" w:fill="E6E6E6"/>
            <w:vAlign w:val="center"/>
          </w:tcPr>
          <w:p w:rsidR="00012172" w:rsidRDefault="00012172">
            <w:pPr>
              <w:numPr>
                <w:ilvl w:val="12"/>
                <w:numId w:val="0"/>
              </w:numPr>
              <w:ind w:right="-1"/>
              <w:jc w:val="center"/>
              <w:rPr>
                <w:rFonts w:ascii="Arial" w:hAnsi="Arial" w:cs="Arial"/>
                <w:szCs w:val="22"/>
              </w:rPr>
            </w:pPr>
            <w:r>
              <w:rPr>
                <w:rFonts w:ascii="Arial" w:hAnsi="Arial" w:cs="Arial"/>
                <w:szCs w:val="22"/>
              </w:rPr>
              <w:t>Max.snaga TS</w:t>
            </w:r>
          </w:p>
          <w:p w:rsidR="00012172" w:rsidRDefault="00012172">
            <w:pPr>
              <w:numPr>
                <w:ilvl w:val="12"/>
                <w:numId w:val="0"/>
              </w:numPr>
              <w:ind w:right="-1"/>
              <w:jc w:val="center"/>
              <w:rPr>
                <w:rFonts w:ascii="Arial" w:hAnsi="Arial" w:cs="Arial"/>
                <w:szCs w:val="22"/>
              </w:rPr>
            </w:pPr>
            <w:r>
              <w:rPr>
                <w:rFonts w:ascii="Arial" w:hAnsi="Arial" w:cs="Arial"/>
                <w:szCs w:val="22"/>
              </w:rPr>
              <w:t>(kVA)</w:t>
            </w:r>
          </w:p>
        </w:tc>
        <w:tc>
          <w:tcPr>
            <w:tcW w:w="1440" w:type="dxa"/>
            <w:tcBorders>
              <w:top w:val="double" w:sz="4" w:space="0" w:color="auto"/>
              <w:left w:val="single" w:sz="6" w:space="0" w:color="auto"/>
              <w:bottom w:val="double" w:sz="4" w:space="0" w:color="auto"/>
              <w:right w:val="single" w:sz="6" w:space="0" w:color="auto"/>
            </w:tcBorders>
            <w:shd w:val="clear" w:color="auto" w:fill="E6E6E6"/>
            <w:vAlign w:val="center"/>
          </w:tcPr>
          <w:p w:rsidR="00012172" w:rsidRDefault="00012172">
            <w:pPr>
              <w:numPr>
                <w:ilvl w:val="12"/>
                <w:numId w:val="0"/>
              </w:numPr>
              <w:ind w:right="-1"/>
              <w:jc w:val="center"/>
              <w:rPr>
                <w:rFonts w:ascii="Arial" w:hAnsi="Arial" w:cs="Arial"/>
                <w:szCs w:val="22"/>
              </w:rPr>
            </w:pPr>
            <w:r>
              <w:rPr>
                <w:rFonts w:ascii="Arial" w:hAnsi="Arial" w:cs="Arial"/>
                <w:szCs w:val="22"/>
              </w:rPr>
              <w:t>Inst. trafo</w:t>
            </w:r>
          </w:p>
          <w:p w:rsidR="00012172" w:rsidRDefault="00012172">
            <w:pPr>
              <w:numPr>
                <w:ilvl w:val="12"/>
                <w:numId w:val="0"/>
              </w:numPr>
              <w:ind w:right="-1"/>
              <w:jc w:val="center"/>
              <w:rPr>
                <w:rFonts w:ascii="Arial" w:hAnsi="Arial" w:cs="Arial"/>
                <w:szCs w:val="22"/>
              </w:rPr>
            </w:pPr>
            <w:r>
              <w:rPr>
                <w:rFonts w:ascii="Arial" w:hAnsi="Arial" w:cs="Arial"/>
                <w:szCs w:val="22"/>
              </w:rPr>
              <w:t>(kVA)</w:t>
            </w:r>
          </w:p>
        </w:tc>
        <w:tc>
          <w:tcPr>
            <w:tcW w:w="1992" w:type="dxa"/>
            <w:tcBorders>
              <w:top w:val="double" w:sz="4" w:space="0" w:color="auto"/>
              <w:left w:val="single" w:sz="6" w:space="0" w:color="auto"/>
              <w:bottom w:val="double" w:sz="4" w:space="0" w:color="auto"/>
              <w:right w:val="double" w:sz="4" w:space="0" w:color="auto"/>
            </w:tcBorders>
            <w:shd w:val="clear" w:color="auto" w:fill="E6E6E6"/>
            <w:vAlign w:val="center"/>
          </w:tcPr>
          <w:p w:rsidR="00012172" w:rsidRDefault="00012172">
            <w:pPr>
              <w:numPr>
                <w:ilvl w:val="12"/>
                <w:numId w:val="0"/>
              </w:numPr>
              <w:ind w:right="-1"/>
              <w:jc w:val="center"/>
              <w:rPr>
                <w:rFonts w:ascii="Arial" w:hAnsi="Arial" w:cs="Arial"/>
                <w:szCs w:val="22"/>
              </w:rPr>
            </w:pPr>
            <w:r>
              <w:rPr>
                <w:rFonts w:ascii="Arial" w:hAnsi="Arial" w:cs="Arial"/>
                <w:szCs w:val="22"/>
              </w:rPr>
              <w:t>Stanje NNM</w:t>
            </w:r>
          </w:p>
          <w:p w:rsidR="00012172" w:rsidRDefault="00012172">
            <w:pPr>
              <w:numPr>
                <w:ilvl w:val="12"/>
                <w:numId w:val="0"/>
              </w:numPr>
              <w:ind w:right="-1"/>
              <w:jc w:val="center"/>
              <w:rPr>
                <w:rFonts w:ascii="Arial" w:hAnsi="Arial" w:cs="Arial"/>
                <w:szCs w:val="22"/>
              </w:rPr>
            </w:pPr>
            <w:r>
              <w:rPr>
                <w:rFonts w:ascii="Arial" w:hAnsi="Arial" w:cs="Arial"/>
                <w:szCs w:val="22"/>
              </w:rPr>
              <w:t>(procjena)</w:t>
            </w:r>
          </w:p>
        </w:tc>
      </w:tr>
      <w:tr w:rsidR="00012172">
        <w:tblPrEx>
          <w:tblCellMar>
            <w:top w:w="0" w:type="dxa"/>
            <w:bottom w:w="0" w:type="dxa"/>
          </w:tblCellMar>
        </w:tblPrEx>
        <w:trPr>
          <w:cantSplit/>
          <w:trHeight w:val="135"/>
        </w:trPr>
        <w:tc>
          <w:tcPr>
            <w:tcW w:w="2088" w:type="dxa"/>
            <w:vMerge w:val="restart"/>
            <w:tcBorders>
              <w:top w:val="double" w:sz="4" w:space="0" w:color="auto"/>
              <w:left w:val="double" w:sz="4" w:space="0" w:color="auto"/>
              <w:bottom w:val="single" w:sz="6" w:space="0" w:color="auto"/>
              <w:right w:val="single" w:sz="6" w:space="0" w:color="auto"/>
            </w:tcBorders>
            <w:vAlign w:val="center"/>
          </w:tcPr>
          <w:p w:rsidR="00012172" w:rsidRDefault="00012172">
            <w:pPr>
              <w:numPr>
                <w:ilvl w:val="12"/>
                <w:numId w:val="0"/>
              </w:numPr>
              <w:ind w:right="-1"/>
              <w:rPr>
                <w:rFonts w:ascii="Arial" w:hAnsi="Arial" w:cs="Arial"/>
                <w:szCs w:val="22"/>
              </w:rPr>
            </w:pPr>
            <w:r>
              <w:rPr>
                <w:rFonts w:ascii="Arial" w:hAnsi="Arial" w:cs="Arial"/>
                <w:szCs w:val="22"/>
              </w:rPr>
              <w:t>Gornja Rijeka</w:t>
            </w:r>
          </w:p>
        </w:tc>
        <w:tc>
          <w:tcPr>
            <w:tcW w:w="1980" w:type="dxa"/>
            <w:tcBorders>
              <w:top w:val="double" w:sz="4"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rPr>
                <w:rFonts w:ascii="Arial" w:hAnsi="Arial" w:cs="Arial"/>
                <w:szCs w:val="22"/>
              </w:rPr>
            </w:pPr>
            <w:r>
              <w:rPr>
                <w:rFonts w:ascii="Arial" w:hAnsi="Arial" w:cs="Arial"/>
                <w:szCs w:val="22"/>
              </w:rPr>
              <w:t>Gornja Rijeka I</w:t>
            </w:r>
          </w:p>
        </w:tc>
        <w:tc>
          <w:tcPr>
            <w:tcW w:w="1800" w:type="dxa"/>
            <w:tcBorders>
              <w:top w:val="double" w:sz="4"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400</w:t>
            </w:r>
          </w:p>
        </w:tc>
        <w:tc>
          <w:tcPr>
            <w:tcW w:w="1440" w:type="dxa"/>
            <w:tcBorders>
              <w:top w:val="double" w:sz="4"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250</w:t>
            </w:r>
          </w:p>
        </w:tc>
        <w:tc>
          <w:tcPr>
            <w:tcW w:w="1992" w:type="dxa"/>
            <w:tcBorders>
              <w:top w:val="double" w:sz="4" w:space="0" w:color="auto"/>
              <w:left w:val="single" w:sz="6" w:space="0" w:color="auto"/>
              <w:bottom w:val="single" w:sz="6" w:space="0" w:color="auto"/>
              <w:right w:val="double" w:sz="4"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dobro</w:t>
            </w:r>
          </w:p>
        </w:tc>
      </w:tr>
      <w:tr w:rsidR="00012172">
        <w:tblPrEx>
          <w:tblCellMar>
            <w:top w:w="0" w:type="dxa"/>
            <w:bottom w:w="0" w:type="dxa"/>
          </w:tblCellMar>
        </w:tblPrEx>
        <w:trPr>
          <w:cantSplit/>
          <w:trHeight w:val="135"/>
        </w:trPr>
        <w:tc>
          <w:tcPr>
            <w:tcW w:w="2088" w:type="dxa"/>
            <w:vMerge/>
            <w:tcBorders>
              <w:top w:val="single" w:sz="6" w:space="0" w:color="auto"/>
              <w:left w:val="double" w:sz="4" w:space="0" w:color="auto"/>
              <w:bottom w:val="single" w:sz="6" w:space="0" w:color="auto"/>
              <w:right w:val="single" w:sz="6" w:space="0" w:color="auto"/>
            </w:tcBorders>
            <w:vAlign w:val="center"/>
          </w:tcPr>
          <w:p w:rsidR="00012172" w:rsidRDefault="00012172">
            <w:pPr>
              <w:numPr>
                <w:ilvl w:val="12"/>
                <w:numId w:val="0"/>
              </w:numPr>
              <w:ind w:right="-1"/>
              <w:rPr>
                <w:rFonts w:ascii="Arial" w:hAnsi="Arial" w:cs="Arial"/>
                <w:szCs w:val="22"/>
              </w:rPr>
            </w:pPr>
          </w:p>
        </w:tc>
        <w:tc>
          <w:tcPr>
            <w:tcW w:w="1980" w:type="dxa"/>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rPr>
                <w:rFonts w:ascii="Arial" w:hAnsi="Arial" w:cs="Arial"/>
                <w:szCs w:val="22"/>
              </w:rPr>
            </w:pPr>
            <w:r>
              <w:rPr>
                <w:rFonts w:ascii="Arial" w:hAnsi="Arial" w:cs="Arial"/>
                <w:szCs w:val="22"/>
              </w:rPr>
              <w:t>Gornja Rijeka II</w:t>
            </w:r>
          </w:p>
        </w:tc>
        <w:tc>
          <w:tcPr>
            <w:tcW w:w="1800" w:type="dxa"/>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250</w:t>
            </w:r>
          </w:p>
        </w:tc>
        <w:tc>
          <w:tcPr>
            <w:tcW w:w="1440" w:type="dxa"/>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50</w:t>
            </w:r>
          </w:p>
        </w:tc>
        <w:tc>
          <w:tcPr>
            <w:tcW w:w="1992" w:type="dxa"/>
            <w:tcBorders>
              <w:top w:val="single" w:sz="6" w:space="0" w:color="auto"/>
              <w:left w:val="single" w:sz="6" w:space="0" w:color="auto"/>
              <w:bottom w:val="single" w:sz="6" w:space="0" w:color="auto"/>
              <w:right w:val="double" w:sz="4"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dobro</w:t>
            </w:r>
          </w:p>
        </w:tc>
      </w:tr>
      <w:tr w:rsidR="00012172">
        <w:tblPrEx>
          <w:tblCellMar>
            <w:top w:w="0" w:type="dxa"/>
            <w:bottom w:w="0" w:type="dxa"/>
          </w:tblCellMar>
        </w:tblPrEx>
        <w:trPr>
          <w:cantSplit/>
          <w:trHeight w:val="135"/>
        </w:trPr>
        <w:tc>
          <w:tcPr>
            <w:tcW w:w="2088" w:type="dxa"/>
            <w:vMerge w:val="restart"/>
            <w:tcBorders>
              <w:top w:val="single" w:sz="6" w:space="0" w:color="auto"/>
              <w:left w:val="double" w:sz="4" w:space="0" w:color="auto"/>
              <w:bottom w:val="single" w:sz="6" w:space="0" w:color="auto"/>
              <w:right w:val="single" w:sz="6" w:space="0" w:color="auto"/>
            </w:tcBorders>
            <w:vAlign w:val="center"/>
          </w:tcPr>
          <w:p w:rsidR="00012172" w:rsidRDefault="00012172">
            <w:pPr>
              <w:numPr>
                <w:ilvl w:val="12"/>
                <w:numId w:val="0"/>
              </w:numPr>
              <w:ind w:right="-1"/>
              <w:rPr>
                <w:rFonts w:ascii="Arial" w:hAnsi="Arial" w:cs="Arial"/>
                <w:szCs w:val="22"/>
              </w:rPr>
            </w:pPr>
            <w:r>
              <w:rPr>
                <w:rFonts w:ascii="Arial" w:hAnsi="Arial" w:cs="Arial"/>
                <w:szCs w:val="22"/>
              </w:rPr>
              <w:t>Dropkovec</w:t>
            </w:r>
          </w:p>
        </w:tc>
        <w:tc>
          <w:tcPr>
            <w:tcW w:w="1980" w:type="dxa"/>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rPr>
                <w:rFonts w:ascii="Arial" w:hAnsi="Arial" w:cs="Arial"/>
                <w:szCs w:val="22"/>
              </w:rPr>
            </w:pPr>
            <w:r>
              <w:rPr>
                <w:rFonts w:ascii="Arial" w:hAnsi="Arial" w:cs="Arial"/>
                <w:szCs w:val="22"/>
              </w:rPr>
              <w:t>Dropkovec I</w:t>
            </w:r>
          </w:p>
        </w:tc>
        <w:tc>
          <w:tcPr>
            <w:tcW w:w="1800" w:type="dxa"/>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400</w:t>
            </w:r>
          </w:p>
        </w:tc>
        <w:tc>
          <w:tcPr>
            <w:tcW w:w="1440" w:type="dxa"/>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100</w:t>
            </w:r>
          </w:p>
        </w:tc>
        <w:tc>
          <w:tcPr>
            <w:tcW w:w="1992" w:type="dxa"/>
            <w:tcBorders>
              <w:top w:val="single" w:sz="6" w:space="0" w:color="auto"/>
              <w:left w:val="single" w:sz="6" w:space="0" w:color="auto"/>
              <w:bottom w:val="single" w:sz="6" w:space="0" w:color="auto"/>
              <w:right w:val="double" w:sz="4"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potrebna rekons</w:t>
            </w:r>
          </w:p>
        </w:tc>
      </w:tr>
      <w:tr w:rsidR="00012172">
        <w:tblPrEx>
          <w:tblCellMar>
            <w:top w:w="0" w:type="dxa"/>
            <w:bottom w:w="0" w:type="dxa"/>
          </w:tblCellMar>
        </w:tblPrEx>
        <w:trPr>
          <w:cantSplit/>
          <w:trHeight w:val="135"/>
        </w:trPr>
        <w:tc>
          <w:tcPr>
            <w:tcW w:w="2088" w:type="dxa"/>
            <w:vMerge/>
            <w:tcBorders>
              <w:top w:val="single" w:sz="6" w:space="0" w:color="auto"/>
              <w:left w:val="double" w:sz="4" w:space="0" w:color="auto"/>
              <w:bottom w:val="single" w:sz="6" w:space="0" w:color="auto"/>
              <w:right w:val="single" w:sz="6" w:space="0" w:color="auto"/>
            </w:tcBorders>
            <w:vAlign w:val="center"/>
          </w:tcPr>
          <w:p w:rsidR="00012172" w:rsidRDefault="00012172">
            <w:pPr>
              <w:numPr>
                <w:ilvl w:val="12"/>
                <w:numId w:val="0"/>
              </w:numPr>
              <w:ind w:right="-1"/>
              <w:rPr>
                <w:rFonts w:ascii="Arial" w:hAnsi="Arial" w:cs="Arial"/>
                <w:szCs w:val="22"/>
              </w:rPr>
            </w:pPr>
          </w:p>
        </w:tc>
        <w:tc>
          <w:tcPr>
            <w:tcW w:w="1980" w:type="dxa"/>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rPr>
                <w:rFonts w:ascii="Arial" w:hAnsi="Arial" w:cs="Arial"/>
                <w:szCs w:val="22"/>
              </w:rPr>
            </w:pPr>
            <w:r>
              <w:rPr>
                <w:rFonts w:ascii="Arial" w:hAnsi="Arial" w:cs="Arial"/>
                <w:szCs w:val="22"/>
              </w:rPr>
              <w:t>Dropkovec II</w:t>
            </w:r>
          </w:p>
        </w:tc>
        <w:tc>
          <w:tcPr>
            <w:tcW w:w="1800" w:type="dxa"/>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250</w:t>
            </w:r>
          </w:p>
        </w:tc>
        <w:tc>
          <w:tcPr>
            <w:tcW w:w="1440" w:type="dxa"/>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250</w:t>
            </w:r>
          </w:p>
        </w:tc>
        <w:tc>
          <w:tcPr>
            <w:tcW w:w="1992" w:type="dxa"/>
            <w:tcBorders>
              <w:top w:val="single" w:sz="6" w:space="0" w:color="auto"/>
              <w:left w:val="single" w:sz="6" w:space="0" w:color="auto"/>
              <w:bottom w:val="single" w:sz="6" w:space="0" w:color="auto"/>
              <w:right w:val="double" w:sz="4"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dobro</w:t>
            </w:r>
          </w:p>
        </w:tc>
      </w:tr>
      <w:tr w:rsidR="00012172">
        <w:tblPrEx>
          <w:tblCellMar>
            <w:top w:w="0" w:type="dxa"/>
            <w:bottom w:w="0" w:type="dxa"/>
          </w:tblCellMar>
        </w:tblPrEx>
        <w:trPr>
          <w:cantSplit/>
          <w:trHeight w:val="522"/>
        </w:trPr>
        <w:tc>
          <w:tcPr>
            <w:tcW w:w="2088" w:type="dxa"/>
            <w:tcBorders>
              <w:top w:val="single" w:sz="6" w:space="0" w:color="auto"/>
              <w:left w:val="double" w:sz="4" w:space="0" w:color="auto"/>
              <w:bottom w:val="single" w:sz="6" w:space="0" w:color="auto"/>
              <w:right w:val="single" w:sz="6" w:space="0" w:color="auto"/>
            </w:tcBorders>
            <w:vAlign w:val="center"/>
          </w:tcPr>
          <w:p w:rsidR="00012172" w:rsidRDefault="00012172">
            <w:pPr>
              <w:numPr>
                <w:ilvl w:val="12"/>
                <w:numId w:val="0"/>
              </w:numPr>
              <w:ind w:right="-1"/>
              <w:rPr>
                <w:rFonts w:ascii="Arial" w:hAnsi="Arial" w:cs="Arial"/>
                <w:szCs w:val="22"/>
              </w:rPr>
            </w:pPr>
            <w:r>
              <w:rPr>
                <w:rFonts w:ascii="Arial" w:hAnsi="Arial" w:cs="Arial"/>
                <w:szCs w:val="22"/>
              </w:rPr>
              <w:t>Fajerovec</w:t>
            </w:r>
          </w:p>
        </w:tc>
        <w:tc>
          <w:tcPr>
            <w:tcW w:w="1980" w:type="dxa"/>
            <w:vMerge w:val="restart"/>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rPr>
                <w:rFonts w:ascii="Arial" w:hAnsi="Arial" w:cs="Arial"/>
                <w:szCs w:val="22"/>
              </w:rPr>
            </w:pPr>
            <w:r>
              <w:rPr>
                <w:rFonts w:ascii="Arial" w:hAnsi="Arial" w:cs="Arial"/>
                <w:szCs w:val="22"/>
              </w:rPr>
              <w:t>Fajerovec- Nemčevec</w:t>
            </w:r>
          </w:p>
        </w:tc>
        <w:tc>
          <w:tcPr>
            <w:tcW w:w="1800" w:type="dxa"/>
            <w:vMerge w:val="restart"/>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400</w:t>
            </w:r>
          </w:p>
        </w:tc>
        <w:tc>
          <w:tcPr>
            <w:tcW w:w="1440" w:type="dxa"/>
            <w:vMerge w:val="restart"/>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160</w:t>
            </w:r>
          </w:p>
        </w:tc>
        <w:tc>
          <w:tcPr>
            <w:tcW w:w="1992" w:type="dxa"/>
            <w:tcBorders>
              <w:top w:val="single" w:sz="6" w:space="0" w:color="auto"/>
              <w:left w:val="single" w:sz="6" w:space="0" w:color="auto"/>
              <w:bottom w:val="single" w:sz="6" w:space="0" w:color="auto"/>
              <w:right w:val="double" w:sz="4"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dobro</w:t>
            </w:r>
          </w:p>
        </w:tc>
      </w:tr>
      <w:tr w:rsidR="00012172">
        <w:tblPrEx>
          <w:tblCellMar>
            <w:top w:w="0" w:type="dxa"/>
            <w:bottom w:w="0" w:type="dxa"/>
          </w:tblCellMar>
        </w:tblPrEx>
        <w:trPr>
          <w:cantSplit/>
          <w:trHeight w:val="522"/>
        </w:trPr>
        <w:tc>
          <w:tcPr>
            <w:tcW w:w="2088" w:type="dxa"/>
            <w:tcBorders>
              <w:top w:val="single" w:sz="6" w:space="0" w:color="auto"/>
              <w:left w:val="double" w:sz="4" w:space="0" w:color="auto"/>
              <w:bottom w:val="single" w:sz="6" w:space="0" w:color="auto"/>
              <w:right w:val="single" w:sz="6" w:space="0" w:color="auto"/>
            </w:tcBorders>
            <w:vAlign w:val="center"/>
          </w:tcPr>
          <w:p w:rsidR="00012172" w:rsidRDefault="00012172">
            <w:pPr>
              <w:numPr>
                <w:ilvl w:val="12"/>
                <w:numId w:val="0"/>
              </w:numPr>
              <w:ind w:right="-1"/>
              <w:rPr>
                <w:rFonts w:ascii="Arial" w:hAnsi="Arial" w:cs="Arial"/>
                <w:szCs w:val="22"/>
              </w:rPr>
            </w:pPr>
            <w:r>
              <w:rPr>
                <w:rFonts w:ascii="Arial" w:hAnsi="Arial" w:cs="Arial"/>
                <w:szCs w:val="22"/>
              </w:rPr>
              <w:t>Nemčevec</w:t>
            </w:r>
          </w:p>
        </w:tc>
        <w:tc>
          <w:tcPr>
            <w:tcW w:w="1980" w:type="dxa"/>
            <w:vMerge/>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rPr>
                <w:rFonts w:ascii="Arial" w:hAnsi="Arial" w:cs="Arial"/>
                <w:szCs w:val="22"/>
              </w:rPr>
            </w:pPr>
          </w:p>
        </w:tc>
        <w:tc>
          <w:tcPr>
            <w:tcW w:w="1800" w:type="dxa"/>
            <w:vMerge/>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jc w:val="center"/>
              <w:rPr>
                <w:rFonts w:ascii="Arial" w:hAnsi="Arial" w:cs="Arial"/>
                <w:szCs w:val="22"/>
              </w:rPr>
            </w:pPr>
          </w:p>
        </w:tc>
        <w:tc>
          <w:tcPr>
            <w:tcW w:w="1440" w:type="dxa"/>
            <w:vMerge/>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jc w:val="center"/>
              <w:rPr>
                <w:rFonts w:ascii="Arial" w:hAnsi="Arial" w:cs="Arial"/>
                <w:szCs w:val="22"/>
              </w:rPr>
            </w:pPr>
          </w:p>
        </w:tc>
        <w:tc>
          <w:tcPr>
            <w:tcW w:w="1992" w:type="dxa"/>
            <w:tcBorders>
              <w:top w:val="single" w:sz="6" w:space="0" w:color="auto"/>
              <w:left w:val="single" w:sz="6" w:space="0" w:color="auto"/>
              <w:bottom w:val="single" w:sz="6" w:space="0" w:color="auto"/>
              <w:right w:val="double" w:sz="4"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potrebna rekonstrukcija</w:t>
            </w:r>
          </w:p>
        </w:tc>
      </w:tr>
      <w:tr w:rsidR="00012172">
        <w:tblPrEx>
          <w:tblCellMar>
            <w:top w:w="0" w:type="dxa"/>
            <w:bottom w:w="0" w:type="dxa"/>
          </w:tblCellMar>
        </w:tblPrEx>
        <w:trPr>
          <w:trHeight w:val="522"/>
        </w:trPr>
        <w:tc>
          <w:tcPr>
            <w:tcW w:w="2088" w:type="dxa"/>
            <w:tcBorders>
              <w:top w:val="single" w:sz="6" w:space="0" w:color="auto"/>
              <w:left w:val="double" w:sz="4" w:space="0" w:color="auto"/>
              <w:bottom w:val="single" w:sz="6" w:space="0" w:color="auto"/>
              <w:right w:val="single" w:sz="6" w:space="0" w:color="auto"/>
            </w:tcBorders>
            <w:vAlign w:val="center"/>
          </w:tcPr>
          <w:p w:rsidR="00012172" w:rsidRDefault="00012172">
            <w:pPr>
              <w:numPr>
                <w:ilvl w:val="12"/>
                <w:numId w:val="0"/>
              </w:numPr>
              <w:ind w:right="-1"/>
              <w:rPr>
                <w:rFonts w:ascii="Arial" w:hAnsi="Arial" w:cs="Arial"/>
                <w:szCs w:val="22"/>
              </w:rPr>
            </w:pPr>
            <w:r>
              <w:rPr>
                <w:rFonts w:ascii="Arial" w:hAnsi="Arial" w:cs="Arial"/>
                <w:szCs w:val="22"/>
              </w:rPr>
              <w:t>Deklešanec</w:t>
            </w:r>
          </w:p>
        </w:tc>
        <w:tc>
          <w:tcPr>
            <w:tcW w:w="1980" w:type="dxa"/>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rPr>
                <w:rFonts w:ascii="Arial" w:hAnsi="Arial" w:cs="Arial"/>
                <w:szCs w:val="22"/>
              </w:rPr>
            </w:pPr>
            <w:r>
              <w:rPr>
                <w:rFonts w:ascii="Arial" w:hAnsi="Arial" w:cs="Arial"/>
                <w:szCs w:val="22"/>
              </w:rPr>
              <w:t>Deklešanec</w:t>
            </w:r>
          </w:p>
        </w:tc>
        <w:tc>
          <w:tcPr>
            <w:tcW w:w="1800" w:type="dxa"/>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400</w:t>
            </w:r>
          </w:p>
        </w:tc>
        <w:tc>
          <w:tcPr>
            <w:tcW w:w="1440" w:type="dxa"/>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160</w:t>
            </w:r>
          </w:p>
        </w:tc>
        <w:tc>
          <w:tcPr>
            <w:tcW w:w="1992" w:type="dxa"/>
            <w:tcBorders>
              <w:top w:val="single" w:sz="6" w:space="0" w:color="auto"/>
              <w:left w:val="single" w:sz="6" w:space="0" w:color="auto"/>
              <w:bottom w:val="single" w:sz="6" w:space="0" w:color="auto"/>
              <w:right w:val="double" w:sz="4"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dobro</w:t>
            </w:r>
          </w:p>
        </w:tc>
      </w:tr>
      <w:tr w:rsidR="00012172">
        <w:tblPrEx>
          <w:tblCellMar>
            <w:top w:w="0" w:type="dxa"/>
            <w:bottom w:w="0" w:type="dxa"/>
          </w:tblCellMar>
        </w:tblPrEx>
        <w:trPr>
          <w:trHeight w:val="522"/>
        </w:trPr>
        <w:tc>
          <w:tcPr>
            <w:tcW w:w="2088" w:type="dxa"/>
            <w:tcBorders>
              <w:top w:val="single" w:sz="6" w:space="0" w:color="auto"/>
              <w:left w:val="double" w:sz="4" w:space="0" w:color="auto"/>
              <w:bottom w:val="single" w:sz="6" w:space="0" w:color="auto"/>
              <w:right w:val="single" w:sz="6" w:space="0" w:color="auto"/>
            </w:tcBorders>
            <w:vAlign w:val="center"/>
          </w:tcPr>
          <w:p w:rsidR="00012172" w:rsidRDefault="00012172">
            <w:pPr>
              <w:numPr>
                <w:ilvl w:val="12"/>
                <w:numId w:val="0"/>
              </w:numPr>
              <w:ind w:right="-1"/>
              <w:rPr>
                <w:rFonts w:ascii="Arial" w:hAnsi="Arial" w:cs="Arial"/>
                <w:szCs w:val="22"/>
              </w:rPr>
            </w:pPr>
            <w:r>
              <w:rPr>
                <w:rFonts w:ascii="Arial" w:hAnsi="Arial" w:cs="Arial"/>
                <w:szCs w:val="22"/>
              </w:rPr>
              <w:t>Hižanovec</w:t>
            </w:r>
          </w:p>
        </w:tc>
        <w:tc>
          <w:tcPr>
            <w:tcW w:w="1980" w:type="dxa"/>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rPr>
                <w:rFonts w:ascii="Arial" w:hAnsi="Arial" w:cs="Arial"/>
                <w:szCs w:val="22"/>
              </w:rPr>
            </w:pPr>
            <w:r>
              <w:rPr>
                <w:rFonts w:ascii="Arial" w:hAnsi="Arial" w:cs="Arial"/>
                <w:szCs w:val="22"/>
              </w:rPr>
              <w:t>Vojnovec</w:t>
            </w:r>
          </w:p>
        </w:tc>
        <w:tc>
          <w:tcPr>
            <w:tcW w:w="1800" w:type="dxa"/>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400</w:t>
            </w:r>
          </w:p>
        </w:tc>
        <w:tc>
          <w:tcPr>
            <w:tcW w:w="1440" w:type="dxa"/>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160</w:t>
            </w:r>
          </w:p>
        </w:tc>
        <w:tc>
          <w:tcPr>
            <w:tcW w:w="1992" w:type="dxa"/>
            <w:tcBorders>
              <w:top w:val="single" w:sz="6" w:space="0" w:color="auto"/>
              <w:left w:val="single" w:sz="6" w:space="0" w:color="auto"/>
              <w:bottom w:val="single" w:sz="6" w:space="0" w:color="auto"/>
              <w:right w:val="double" w:sz="4"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dobro</w:t>
            </w:r>
          </w:p>
        </w:tc>
      </w:tr>
      <w:tr w:rsidR="00012172">
        <w:tblPrEx>
          <w:tblCellMar>
            <w:top w:w="0" w:type="dxa"/>
            <w:bottom w:w="0" w:type="dxa"/>
          </w:tblCellMar>
        </w:tblPrEx>
        <w:tc>
          <w:tcPr>
            <w:tcW w:w="2088" w:type="dxa"/>
            <w:tcBorders>
              <w:top w:val="single" w:sz="6" w:space="0" w:color="auto"/>
              <w:left w:val="double" w:sz="4" w:space="0" w:color="auto"/>
              <w:bottom w:val="single" w:sz="6" w:space="0" w:color="auto"/>
              <w:right w:val="single" w:sz="6" w:space="0" w:color="auto"/>
            </w:tcBorders>
            <w:vAlign w:val="center"/>
          </w:tcPr>
          <w:p w:rsidR="00012172" w:rsidRDefault="00012172">
            <w:pPr>
              <w:numPr>
                <w:ilvl w:val="12"/>
                <w:numId w:val="0"/>
              </w:numPr>
              <w:ind w:right="-1"/>
              <w:rPr>
                <w:rFonts w:ascii="Arial" w:hAnsi="Arial" w:cs="Arial"/>
                <w:szCs w:val="22"/>
              </w:rPr>
            </w:pPr>
            <w:r>
              <w:rPr>
                <w:rFonts w:ascii="Arial" w:hAnsi="Arial" w:cs="Arial"/>
                <w:szCs w:val="22"/>
              </w:rPr>
              <w:t>Fodrovec riječki - dio</w:t>
            </w:r>
          </w:p>
        </w:tc>
        <w:tc>
          <w:tcPr>
            <w:tcW w:w="1980" w:type="dxa"/>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rPr>
                <w:rFonts w:ascii="Arial" w:hAnsi="Arial" w:cs="Arial"/>
                <w:szCs w:val="22"/>
              </w:rPr>
            </w:pPr>
            <w:r>
              <w:rPr>
                <w:rFonts w:ascii="Arial" w:hAnsi="Arial" w:cs="Arial"/>
                <w:szCs w:val="22"/>
              </w:rPr>
              <w:t>Fodrovec riječki</w:t>
            </w:r>
          </w:p>
        </w:tc>
        <w:tc>
          <w:tcPr>
            <w:tcW w:w="1800" w:type="dxa"/>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160</w:t>
            </w:r>
          </w:p>
        </w:tc>
        <w:tc>
          <w:tcPr>
            <w:tcW w:w="1440" w:type="dxa"/>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100</w:t>
            </w:r>
          </w:p>
        </w:tc>
        <w:tc>
          <w:tcPr>
            <w:tcW w:w="1992" w:type="dxa"/>
            <w:tcBorders>
              <w:top w:val="single" w:sz="6" w:space="0" w:color="auto"/>
              <w:left w:val="single" w:sz="6" w:space="0" w:color="auto"/>
              <w:bottom w:val="single" w:sz="6" w:space="0" w:color="auto"/>
              <w:right w:val="double" w:sz="4"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dobro</w:t>
            </w:r>
          </w:p>
        </w:tc>
      </w:tr>
      <w:tr w:rsidR="00012172">
        <w:tblPrEx>
          <w:tblCellMar>
            <w:top w:w="0" w:type="dxa"/>
            <w:bottom w:w="0" w:type="dxa"/>
          </w:tblCellMar>
        </w:tblPrEx>
        <w:trPr>
          <w:trHeight w:val="522"/>
        </w:trPr>
        <w:tc>
          <w:tcPr>
            <w:tcW w:w="2088" w:type="dxa"/>
            <w:tcBorders>
              <w:top w:val="single" w:sz="6" w:space="0" w:color="auto"/>
              <w:left w:val="double" w:sz="4" w:space="0" w:color="auto"/>
              <w:bottom w:val="single" w:sz="6" w:space="0" w:color="auto"/>
              <w:right w:val="single" w:sz="6" w:space="0" w:color="auto"/>
            </w:tcBorders>
            <w:vAlign w:val="center"/>
          </w:tcPr>
          <w:p w:rsidR="00012172" w:rsidRDefault="00012172">
            <w:pPr>
              <w:numPr>
                <w:ilvl w:val="12"/>
                <w:numId w:val="0"/>
              </w:numPr>
              <w:ind w:right="-1"/>
              <w:rPr>
                <w:rFonts w:ascii="Arial" w:hAnsi="Arial" w:cs="Arial"/>
                <w:szCs w:val="22"/>
              </w:rPr>
            </w:pPr>
            <w:r>
              <w:rPr>
                <w:rFonts w:ascii="Arial" w:hAnsi="Arial" w:cs="Arial"/>
                <w:szCs w:val="22"/>
              </w:rPr>
              <w:t>Kolarec</w:t>
            </w:r>
          </w:p>
        </w:tc>
        <w:tc>
          <w:tcPr>
            <w:tcW w:w="1980" w:type="dxa"/>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rPr>
                <w:rFonts w:ascii="Arial" w:hAnsi="Arial" w:cs="Arial"/>
                <w:szCs w:val="22"/>
              </w:rPr>
            </w:pPr>
            <w:r>
              <w:rPr>
                <w:rFonts w:ascii="Arial" w:hAnsi="Arial" w:cs="Arial"/>
                <w:szCs w:val="22"/>
              </w:rPr>
              <w:t>Kolarec</w:t>
            </w:r>
          </w:p>
        </w:tc>
        <w:tc>
          <w:tcPr>
            <w:tcW w:w="1800" w:type="dxa"/>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400</w:t>
            </w:r>
          </w:p>
        </w:tc>
        <w:tc>
          <w:tcPr>
            <w:tcW w:w="1440" w:type="dxa"/>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100</w:t>
            </w:r>
          </w:p>
        </w:tc>
        <w:tc>
          <w:tcPr>
            <w:tcW w:w="1992" w:type="dxa"/>
            <w:tcBorders>
              <w:top w:val="single" w:sz="6" w:space="0" w:color="auto"/>
              <w:left w:val="single" w:sz="6" w:space="0" w:color="auto"/>
              <w:bottom w:val="single" w:sz="6" w:space="0" w:color="auto"/>
              <w:right w:val="double" w:sz="4"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dobro</w:t>
            </w:r>
          </w:p>
        </w:tc>
      </w:tr>
      <w:tr w:rsidR="00012172">
        <w:tblPrEx>
          <w:tblCellMar>
            <w:top w:w="0" w:type="dxa"/>
            <w:bottom w:w="0" w:type="dxa"/>
          </w:tblCellMar>
        </w:tblPrEx>
        <w:trPr>
          <w:trHeight w:val="522"/>
        </w:trPr>
        <w:tc>
          <w:tcPr>
            <w:tcW w:w="2088" w:type="dxa"/>
            <w:tcBorders>
              <w:top w:val="single" w:sz="6" w:space="0" w:color="auto"/>
              <w:left w:val="double" w:sz="4" w:space="0" w:color="auto"/>
              <w:bottom w:val="single" w:sz="6" w:space="0" w:color="auto"/>
              <w:right w:val="single" w:sz="6" w:space="0" w:color="auto"/>
            </w:tcBorders>
            <w:vAlign w:val="center"/>
          </w:tcPr>
          <w:p w:rsidR="00012172" w:rsidRDefault="00012172">
            <w:pPr>
              <w:numPr>
                <w:ilvl w:val="12"/>
                <w:numId w:val="0"/>
              </w:numPr>
              <w:ind w:right="-1"/>
              <w:rPr>
                <w:rFonts w:ascii="Arial" w:hAnsi="Arial" w:cs="Arial"/>
                <w:szCs w:val="22"/>
              </w:rPr>
            </w:pPr>
            <w:r>
              <w:rPr>
                <w:rFonts w:ascii="Arial" w:hAnsi="Arial" w:cs="Arial"/>
                <w:szCs w:val="22"/>
              </w:rPr>
              <w:t>Donja Rijeka</w:t>
            </w:r>
          </w:p>
        </w:tc>
        <w:tc>
          <w:tcPr>
            <w:tcW w:w="1980" w:type="dxa"/>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rPr>
                <w:rFonts w:ascii="Arial" w:hAnsi="Arial" w:cs="Arial"/>
                <w:szCs w:val="22"/>
              </w:rPr>
            </w:pPr>
            <w:r>
              <w:rPr>
                <w:rFonts w:ascii="Arial" w:hAnsi="Arial" w:cs="Arial"/>
                <w:szCs w:val="22"/>
              </w:rPr>
              <w:t>Donja Rijeka</w:t>
            </w:r>
          </w:p>
        </w:tc>
        <w:tc>
          <w:tcPr>
            <w:tcW w:w="1800" w:type="dxa"/>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400</w:t>
            </w:r>
          </w:p>
        </w:tc>
        <w:tc>
          <w:tcPr>
            <w:tcW w:w="1440" w:type="dxa"/>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50</w:t>
            </w:r>
          </w:p>
        </w:tc>
        <w:tc>
          <w:tcPr>
            <w:tcW w:w="1992" w:type="dxa"/>
            <w:tcBorders>
              <w:top w:val="single" w:sz="6" w:space="0" w:color="auto"/>
              <w:left w:val="single" w:sz="6" w:space="0" w:color="auto"/>
              <w:bottom w:val="single" w:sz="6" w:space="0" w:color="auto"/>
              <w:right w:val="double" w:sz="4"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dobro</w:t>
            </w:r>
          </w:p>
        </w:tc>
      </w:tr>
      <w:tr w:rsidR="00012172">
        <w:tblPrEx>
          <w:tblCellMar>
            <w:top w:w="0" w:type="dxa"/>
            <w:bottom w:w="0" w:type="dxa"/>
          </w:tblCellMar>
        </w:tblPrEx>
        <w:trPr>
          <w:trHeight w:val="522"/>
        </w:trPr>
        <w:tc>
          <w:tcPr>
            <w:tcW w:w="2088" w:type="dxa"/>
            <w:tcBorders>
              <w:top w:val="single" w:sz="6" w:space="0" w:color="auto"/>
              <w:left w:val="double" w:sz="4" w:space="0" w:color="auto"/>
              <w:bottom w:val="single" w:sz="6" w:space="0" w:color="auto"/>
              <w:right w:val="single" w:sz="6" w:space="0" w:color="auto"/>
            </w:tcBorders>
            <w:vAlign w:val="center"/>
          </w:tcPr>
          <w:p w:rsidR="00012172" w:rsidRDefault="00012172">
            <w:pPr>
              <w:numPr>
                <w:ilvl w:val="12"/>
                <w:numId w:val="0"/>
              </w:numPr>
              <w:ind w:right="-1"/>
              <w:rPr>
                <w:rFonts w:ascii="Arial" w:hAnsi="Arial" w:cs="Arial"/>
                <w:szCs w:val="22"/>
              </w:rPr>
            </w:pPr>
            <w:r>
              <w:rPr>
                <w:rFonts w:ascii="Arial" w:hAnsi="Arial" w:cs="Arial"/>
                <w:szCs w:val="22"/>
              </w:rPr>
              <w:t>Pofuki</w:t>
            </w:r>
          </w:p>
        </w:tc>
        <w:tc>
          <w:tcPr>
            <w:tcW w:w="1980" w:type="dxa"/>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rPr>
                <w:rFonts w:ascii="Arial" w:hAnsi="Arial" w:cs="Arial"/>
                <w:szCs w:val="22"/>
              </w:rPr>
            </w:pPr>
            <w:r>
              <w:rPr>
                <w:rFonts w:ascii="Arial" w:hAnsi="Arial" w:cs="Arial"/>
                <w:szCs w:val="22"/>
              </w:rPr>
              <w:t>Pofuki</w:t>
            </w:r>
          </w:p>
        </w:tc>
        <w:tc>
          <w:tcPr>
            <w:tcW w:w="1800" w:type="dxa"/>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250</w:t>
            </w:r>
          </w:p>
        </w:tc>
        <w:tc>
          <w:tcPr>
            <w:tcW w:w="1440" w:type="dxa"/>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100</w:t>
            </w:r>
          </w:p>
        </w:tc>
        <w:tc>
          <w:tcPr>
            <w:tcW w:w="1992" w:type="dxa"/>
            <w:tcBorders>
              <w:top w:val="single" w:sz="6" w:space="0" w:color="auto"/>
              <w:left w:val="single" w:sz="6" w:space="0" w:color="auto"/>
              <w:bottom w:val="single" w:sz="6" w:space="0" w:color="auto"/>
              <w:right w:val="double" w:sz="4"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dobro</w:t>
            </w:r>
          </w:p>
        </w:tc>
      </w:tr>
      <w:tr w:rsidR="00012172">
        <w:tblPrEx>
          <w:tblCellMar>
            <w:top w:w="0" w:type="dxa"/>
            <w:bottom w:w="0" w:type="dxa"/>
          </w:tblCellMar>
        </w:tblPrEx>
        <w:trPr>
          <w:trHeight w:val="522"/>
        </w:trPr>
        <w:tc>
          <w:tcPr>
            <w:tcW w:w="2088" w:type="dxa"/>
            <w:tcBorders>
              <w:top w:val="single" w:sz="6" w:space="0" w:color="auto"/>
              <w:left w:val="double" w:sz="4" w:space="0" w:color="auto"/>
              <w:bottom w:val="single" w:sz="6" w:space="0" w:color="auto"/>
              <w:right w:val="single" w:sz="6" w:space="0" w:color="auto"/>
            </w:tcBorders>
            <w:vAlign w:val="center"/>
          </w:tcPr>
          <w:p w:rsidR="00012172" w:rsidRDefault="00012172">
            <w:pPr>
              <w:numPr>
                <w:ilvl w:val="12"/>
                <w:numId w:val="0"/>
              </w:numPr>
              <w:ind w:right="-1"/>
              <w:rPr>
                <w:rFonts w:ascii="Arial" w:hAnsi="Arial" w:cs="Arial"/>
                <w:szCs w:val="22"/>
              </w:rPr>
            </w:pPr>
            <w:r>
              <w:rPr>
                <w:rFonts w:ascii="Arial" w:hAnsi="Arial" w:cs="Arial"/>
                <w:szCs w:val="22"/>
              </w:rPr>
              <w:t>Vukšinec riječki</w:t>
            </w:r>
          </w:p>
        </w:tc>
        <w:tc>
          <w:tcPr>
            <w:tcW w:w="1980" w:type="dxa"/>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rPr>
                <w:rFonts w:ascii="Arial" w:hAnsi="Arial" w:cs="Arial"/>
                <w:szCs w:val="22"/>
              </w:rPr>
            </w:pPr>
            <w:r>
              <w:rPr>
                <w:rFonts w:ascii="Arial" w:hAnsi="Arial" w:cs="Arial"/>
                <w:szCs w:val="22"/>
              </w:rPr>
              <w:t>Vukšinec riječki</w:t>
            </w:r>
          </w:p>
        </w:tc>
        <w:tc>
          <w:tcPr>
            <w:tcW w:w="1800" w:type="dxa"/>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250</w:t>
            </w:r>
          </w:p>
        </w:tc>
        <w:tc>
          <w:tcPr>
            <w:tcW w:w="1440" w:type="dxa"/>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50</w:t>
            </w:r>
          </w:p>
        </w:tc>
        <w:tc>
          <w:tcPr>
            <w:tcW w:w="1992" w:type="dxa"/>
            <w:tcBorders>
              <w:top w:val="single" w:sz="6" w:space="0" w:color="auto"/>
              <w:left w:val="single" w:sz="6" w:space="0" w:color="auto"/>
              <w:bottom w:val="single" w:sz="6" w:space="0" w:color="auto"/>
              <w:right w:val="double" w:sz="4"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dobro</w:t>
            </w:r>
          </w:p>
        </w:tc>
      </w:tr>
      <w:tr w:rsidR="00012172">
        <w:tblPrEx>
          <w:tblCellMar>
            <w:top w:w="0" w:type="dxa"/>
            <w:bottom w:w="0" w:type="dxa"/>
          </w:tblCellMar>
        </w:tblPrEx>
        <w:trPr>
          <w:cantSplit/>
          <w:trHeight w:val="522"/>
        </w:trPr>
        <w:tc>
          <w:tcPr>
            <w:tcW w:w="2088" w:type="dxa"/>
            <w:tcBorders>
              <w:top w:val="single" w:sz="6" w:space="0" w:color="auto"/>
              <w:left w:val="double" w:sz="4" w:space="0" w:color="auto"/>
              <w:bottom w:val="single" w:sz="6" w:space="0" w:color="auto"/>
              <w:right w:val="single" w:sz="6" w:space="0" w:color="auto"/>
            </w:tcBorders>
            <w:vAlign w:val="center"/>
          </w:tcPr>
          <w:p w:rsidR="00012172" w:rsidRDefault="00012172">
            <w:pPr>
              <w:numPr>
                <w:ilvl w:val="12"/>
                <w:numId w:val="0"/>
              </w:numPr>
              <w:ind w:right="-1"/>
              <w:rPr>
                <w:rFonts w:ascii="Arial" w:hAnsi="Arial" w:cs="Arial"/>
                <w:szCs w:val="22"/>
              </w:rPr>
            </w:pPr>
            <w:r>
              <w:rPr>
                <w:rFonts w:ascii="Arial" w:hAnsi="Arial" w:cs="Arial"/>
                <w:szCs w:val="22"/>
              </w:rPr>
              <w:t>Kostanjevec</w:t>
            </w:r>
          </w:p>
        </w:tc>
        <w:tc>
          <w:tcPr>
            <w:tcW w:w="1980" w:type="dxa"/>
            <w:vMerge w:val="restart"/>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rPr>
                <w:rFonts w:ascii="Arial" w:hAnsi="Arial" w:cs="Arial"/>
                <w:szCs w:val="22"/>
              </w:rPr>
            </w:pPr>
            <w:r>
              <w:rPr>
                <w:rFonts w:ascii="Arial" w:hAnsi="Arial" w:cs="Arial"/>
                <w:szCs w:val="22"/>
              </w:rPr>
              <w:t>Kostanjevec</w:t>
            </w:r>
          </w:p>
        </w:tc>
        <w:tc>
          <w:tcPr>
            <w:tcW w:w="1800" w:type="dxa"/>
            <w:vMerge w:val="restart"/>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160</w:t>
            </w:r>
          </w:p>
        </w:tc>
        <w:tc>
          <w:tcPr>
            <w:tcW w:w="1440" w:type="dxa"/>
            <w:vMerge w:val="restart"/>
            <w:tcBorders>
              <w:top w:val="single" w:sz="6" w:space="0" w:color="auto"/>
              <w:left w:val="single" w:sz="6" w:space="0" w:color="auto"/>
              <w:bottom w:val="single" w:sz="6" w:space="0" w:color="auto"/>
              <w:right w:val="single" w:sz="6"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50</w:t>
            </w:r>
          </w:p>
        </w:tc>
        <w:tc>
          <w:tcPr>
            <w:tcW w:w="1992" w:type="dxa"/>
            <w:tcBorders>
              <w:top w:val="single" w:sz="6" w:space="0" w:color="auto"/>
              <w:left w:val="single" w:sz="6" w:space="0" w:color="auto"/>
              <w:bottom w:val="single" w:sz="6" w:space="0" w:color="auto"/>
              <w:right w:val="double" w:sz="4"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dobro</w:t>
            </w:r>
          </w:p>
        </w:tc>
      </w:tr>
      <w:tr w:rsidR="00012172">
        <w:tblPrEx>
          <w:tblCellMar>
            <w:top w:w="0" w:type="dxa"/>
            <w:bottom w:w="0" w:type="dxa"/>
          </w:tblCellMar>
        </w:tblPrEx>
        <w:trPr>
          <w:cantSplit/>
          <w:trHeight w:val="522"/>
        </w:trPr>
        <w:tc>
          <w:tcPr>
            <w:tcW w:w="2088" w:type="dxa"/>
            <w:tcBorders>
              <w:top w:val="single" w:sz="6" w:space="0" w:color="auto"/>
              <w:left w:val="double" w:sz="4" w:space="0" w:color="auto"/>
              <w:bottom w:val="double" w:sz="4" w:space="0" w:color="auto"/>
              <w:right w:val="single" w:sz="6" w:space="0" w:color="auto"/>
            </w:tcBorders>
            <w:vAlign w:val="center"/>
          </w:tcPr>
          <w:p w:rsidR="00012172" w:rsidRDefault="00012172">
            <w:pPr>
              <w:numPr>
                <w:ilvl w:val="12"/>
                <w:numId w:val="0"/>
              </w:numPr>
              <w:ind w:right="-1"/>
              <w:rPr>
                <w:rFonts w:ascii="Arial" w:hAnsi="Arial" w:cs="Arial"/>
                <w:szCs w:val="22"/>
              </w:rPr>
            </w:pPr>
            <w:r>
              <w:rPr>
                <w:rFonts w:ascii="Arial" w:hAnsi="Arial" w:cs="Arial"/>
                <w:szCs w:val="22"/>
              </w:rPr>
              <w:t>Mali Sudovec</w:t>
            </w:r>
          </w:p>
        </w:tc>
        <w:tc>
          <w:tcPr>
            <w:tcW w:w="1980" w:type="dxa"/>
            <w:vMerge/>
            <w:tcBorders>
              <w:top w:val="single" w:sz="6" w:space="0" w:color="auto"/>
              <w:left w:val="single" w:sz="6" w:space="0" w:color="auto"/>
              <w:bottom w:val="double" w:sz="4" w:space="0" w:color="auto"/>
              <w:right w:val="single" w:sz="6" w:space="0" w:color="auto"/>
            </w:tcBorders>
          </w:tcPr>
          <w:p w:rsidR="00012172" w:rsidRDefault="00012172">
            <w:pPr>
              <w:numPr>
                <w:ilvl w:val="12"/>
                <w:numId w:val="0"/>
              </w:numPr>
              <w:ind w:right="-1"/>
              <w:jc w:val="both"/>
              <w:rPr>
                <w:rFonts w:ascii="Arial" w:hAnsi="Arial" w:cs="Arial"/>
                <w:szCs w:val="22"/>
              </w:rPr>
            </w:pPr>
          </w:p>
        </w:tc>
        <w:tc>
          <w:tcPr>
            <w:tcW w:w="1800" w:type="dxa"/>
            <w:vMerge/>
            <w:tcBorders>
              <w:top w:val="single" w:sz="6" w:space="0" w:color="auto"/>
              <w:left w:val="single" w:sz="6" w:space="0" w:color="auto"/>
              <w:bottom w:val="double" w:sz="4" w:space="0" w:color="auto"/>
              <w:right w:val="single" w:sz="6" w:space="0" w:color="auto"/>
            </w:tcBorders>
            <w:vAlign w:val="center"/>
          </w:tcPr>
          <w:p w:rsidR="00012172" w:rsidRDefault="00012172">
            <w:pPr>
              <w:numPr>
                <w:ilvl w:val="12"/>
                <w:numId w:val="0"/>
              </w:numPr>
              <w:ind w:right="-1"/>
              <w:jc w:val="center"/>
              <w:rPr>
                <w:rFonts w:ascii="Arial" w:hAnsi="Arial" w:cs="Arial"/>
                <w:szCs w:val="22"/>
              </w:rPr>
            </w:pPr>
          </w:p>
        </w:tc>
        <w:tc>
          <w:tcPr>
            <w:tcW w:w="1440" w:type="dxa"/>
            <w:vMerge/>
            <w:tcBorders>
              <w:top w:val="single" w:sz="6" w:space="0" w:color="auto"/>
              <w:left w:val="single" w:sz="6" w:space="0" w:color="auto"/>
              <w:bottom w:val="double" w:sz="4" w:space="0" w:color="auto"/>
              <w:right w:val="single" w:sz="6" w:space="0" w:color="auto"/>
            </w:tcBorders>
            <w:vAlign w:val="center"/>
          </w:tcPr>
          <w:p w:rsidR="00012172" w:rsidRDefault="00012172">
            <w:pPr>
              <w:numPr>
                <w:ilvl w:val="12"/>
                <w:numId w:val="0"/>
              </w:numPr>
              <w:ind w:right="-1"/>
              <w:jc w:val="center"/>
              <w:rPr>
                <w:rFonts w:ascii="Arial" w:hAnsi="Arial" w:cs="Arial"/>
                <w:szCs w:val="22"/>
              </w:rPr>
            </w:pPr>
          </w:p>
        </w:tc>
        <w:tc>
          <w:tcPr>
            <w:tcW w:w="1992" w:type="dxa"/>
            <w:tcBorders>
              <w:top w:val="single" w:sz="6" w:space="0" w:color="auto"/>
              <w:left w:val="single" w:sz="6" w:space="0" w:color="auto"/>
              <w:bottom w:val="double" w:sz="4" w:space="0" w:color="auto"/>
              <w:right w:val="double" w:sz="4" w:space="0" w:color="auto"/>
            </w:tcBorders>
            <w:vAlign w:val="center"/>
          </w:tcPr>
          <w:p w:rsidR="00012172" w:rsidRDefault="00012172">
            <w:pPr>
              <w:numPr>
                <w:ilvl w:val="12"/>
                <w:numId w:val="0"/>
              </w:numPr>
              <w:ind w:right="-1"/>
              <w:jc w:val="center"/>
              <w:rPr>
                <w:rFonts w:ascii="Arial" w:hAnsi="Arial" w:cs="Arial"/>
                <w:szCs w:val="22"/>
              </w:rPr>
            </w:pPr>
            <w:r>
              <w:rPr>
                <w:rFonts w:ascii="Arial" w:hAnsi="Arial" w:cs="Arial"/>
                <w:szCs w:val="22"/>
              </w:rPr>
              <w:t>potrebna intrepolacija TS</w:t>
            </w:r>
          </w:p>
        </w:tc>
      </w:tr>
    </w:tbl>
    <w:p w:rsidR="00012172" w:rsidRDefault="00012172">
      <w:pPr>
        <w:ind w:left="708"/>
        <w:jc w:val="both"/>
        <w:rPr>
          <w:rFonts w:ascii="Arial" w:hAnsi="Arial" w:cs="Arial"/>
          <w:sz w:val="16"/>
        </w:rPr>
      </w:pPr>
      <w:r>
        <w:rPr>
          <w:rFonts w:ascii="Arial" w:hAnsi="Arial" w:cs="Arial"/>
          <w:sz w:val="16"/>
        </w:rPr>
        <w:t>Izvor: HEP distribucija, DP Elektra Bjelovar – Pogon Križevci, kolovoz 2005.</w:t>
      </w:r>
    </w:p>
    <w:p w:rsidR="00012172" w:rsidRDefault="00012172">
      <w:pPr>
        <w:numPr>
          <w:ilvl w:val="12"/>
          <w:numId w:val="0"/>
        </w:numPr>
        <w:ind w:right="-1"/>
        <w:jc w:val="both"/>
        <w:rPr>
          <w:rFonts w:ascii="Arial" w:hAnsi="Arial" w:cs="Arial"/>
          <w:szCs w:val="22"/>
        </w:rPr>
      </w:pPr>
    </w:p>
    <w:p w:rsidR="00012172" w:rsidRDefault="00012172">
      <w:pPr>
        <w:numPr>
          <w:ilvl w:val="12"/>
          <w:numId w:val="0"/>
        </w:numPr>
        <w:ind w:right="-1"/>
        <w:jc w:val="both"/>
        <w:rPr>
          <w:rFonts w:ascii="Arial" w:hAnsi="Arial" w:cs="Arial"/>
          <w:szCs w:val="22"/>
        </w:rPr>
      </w:pPr>
    </w:p>
    <w:p w:rsidR="00012172" w:rsidRDefault="00012172">
      <w:pPr>
        <w:numPr>
          <w:ilvl w:val="12"/>
          <w:numId w:val="0"/>
        </w:numPr>
        <w:ind w:right="-1"/>
        <w:jc w:val="both"/>
        <w:rPr>
          <w:rFonts w:ascii="Arial" w:hAnsi="Arial" w:cs="Arial"/>
          <w:sz w:val="22"/>
          <w:szCs w:val="22"/>
        </w:rPr>
      </w:pPr>
      <w:r>
        <w:rPr>
          <w:rFonts w:ascii="Arial" w:hAnsi="Arial" w:cs="Arial"/>
          <w:sz w:val="22"/>
          <w:szCs w:val="22"/>
        </w:rPr>
        <w:t xml:space="preserve">Niskonaponske mreže u naseljima navedenima u tablici su većim dijelom rekonstruirane i u dobrom su stanju. Kompletna mreža izgrađena je nadzemno, uglavnom na drvenim i betonskim stupovima i samonosivim kabelskim snopom. </w:t>
      </w:r>
    </w:p>
    <w:p w:rsidR="00012172" w:rsidRDefault="00012172">
      <w:pPr>
        <w:numPr>
          <w:ilvl w:val="12"/>
          <w:numId w:val="0"/>
        </w:numPr>
        <w:ind w:right="-1"/>
        <w:jc w:val="both"/>
        <w:rPr>
          <w:rFonts w:ascii="Arial" w:hAnsi="Arial" w:cs="Arial"/>
          <w:szCs w:val="22"/>
        </w:rPr>
      </w:pPr>
    </w:p>
    <w:p w:rsidR="00012172" w:rsidRDefault="00012172"/>
    <w:p w:rsidR="00012172" w:rsidRDefault="00012172">
      <w:pPr>
        <w:jc w:val="both"/>
        <w:rPr>
          <w:rFonts w:ascii="Arial" w:hAnsi="Arial"/>
          <w:b/>
          <w:sz w:val="22"/>
          <w:szCs w:val="22"/>
        </w:rPr>
      </w:pPr>
      <w:r>
        <w:rPr>
          <w:rFonts w:ascii="Arial" w:hAnsi="Arial"/>
          <w:b/>
          <w:sz w:val="22"/>
          <w:szCs w:val="22"/>
        </w:rPr>
        <w:t>d) Prijenos i distribucija plina, naftovodi</w:t>
      </w:r>
    </w:p>
    <w:p w:rsidR="00012172" w:rsidRDefault="00012172">
      <w:pPr>
        <w:jc w:val="both"/>
      </w:pPr>
    </w:p>
    <w:p w:rsidR="00012172" w:rsidRDefault="00012172">
      <w:pPr>
        <w:jc w:val="both"/>
        <w:rPr>
          <w:rFonts w:ascii="Arial" w:hAnsi="Arial" w:cs="Arial"/>
          <w:bCs/>
          <w:sz w:val="22"/>
          <w:szCs w:val="22"/>
        </w:rPr>
      </w:pPr>
      <w:r>
        <w:rPr>
          <w:rFonts w:ascii="Arial" w:hAnsi="Arial" w:cs="Arial"/>
          <w:bCs/>
          <w:sz w:val="22"/>
          <w:szCs w:val="22"/>
        </w:rPr>
        <w:t>Na području općine Gornja Rijeka nema instaliranih uređaja i opreme plinskog distribucijskog sustava.</w:t>
      </w:r>
    </w:p>
    <w:p w:rsidR="00012172" w:rsidRDefault="00012172">
      <w:pPr>
        <w:jc w:val="both"/>
        <w:rPr>
          <w:rFonts w:ascii="Arial" w:hAnsi="Arial" w:cs="Arial"/>
          <w:bCs/>
          <w:sz w:val="22"/>
          <w:szCs w:val="22"/>
        </w:rPr>
      </w:pPr>
      <w:r>
        <w:rPr>
          <w:rFonts w:ascii="Arial" w:hAnsi="Arial" w:cs="Arial"/>
          <w:bCs/>
          <w:sz w:val="22"/>
          <w:szCs w:val="22"/>
        </w:rPr>
        <w:t>Isto tako, područjem općine ne prolazi naftovod.</w:t>
      </w:r>
    </w:p>
    <w:p w:rsidR="00012172" w:rsidRDefault="00012172">
      <w:pPr>
        <w:jc w:val="both"/>
        <w:rPr>
          <w:rFonts w:ascii="Arial" w:hAnsi="Arial"/>
          <w:b/>
          <w:sz w:val="22"/>
          <w:szCs w:val="22"/>
        </w:rPr>
      </w:pPr>
    </w:p>
    <w:p w:rsidR="00012172" w:rsidRDefault="00012172">
      <w:pPr>
        <w:jc w:val="both"/>
        <w:rPr>
          <w:rFonts w:ascii="Arial" w:hAnsi="Arial"/>
          <w:b/>
          <w:sz w:val="22"/>
          <w:szCs w:val="22"/>
        </w:rPr>
      </w:pPr>
    </w:p>
    <w:p w:rsidR="00012172" w:rsidRDefault="00012172">
      <w:pPr>
        <w:jc w:val="both"/>
        <w:rPr>
          <w:rFonts w:ascii="Arial" w:hAnsi="Arial"/>
          <w:b/>
          <w:sz w:val="22"/>
          <w:szCs w:val="22"/>
        </w:rPr>
      </w:pPr>
    </w:p>
    <w:p w:rsidR="00012172" w:rsidRDefault="00012172">
      <w:pPr>
        <w:jc w:val="both"/>
        <w:rPr>
          <w:rFonts w:ascii="Arial" w:hAnsi="Arial"/>
          <w:b/>
          <w:sz w:val="22"/>
          <w:szCs w:val="22"/>
        </w:rPr>
      </w:pPr>
      <w:r>
        <w:rPr>
          <w:rFonts w:ascii="Arial" w:hAnsi="Arial"/>
          <w:b/>
          <w:sz w:val="22"/>
          <w:szCs w:val="22"/>
        </w:rPr>
        <w:t>e) Zbrinjavanje otpada</w:t>
      </w:r>
    </w:p>
    <w:p w:rsidR="00012172" w:rsidRDefault="00012172">
      <w:pPr>
        <w:jc w:val="both"/>
        <w:rPr>
          <w:color w:val="FF0000"/>
        </w:rPr>
      </w:pPr>
      <w:r>
        <w:rPr>
          <w:color w:val="FF0000"/>
        </w:rPr>
        <w:t xml:space="preserve"> </w:t>
      </w:r>
    </w:p>
    <w:p w:rsidR="00012172" w:rsidRDefault="00012172">
      <w:pPr>
        <w:ind w:firstLine="360"/>
        <w:jc w:val="both"/>
        <w:rPr>
          <w:rFonts w:ascii="Arial" w:hAnsi="Arial" w:cs="Arial"/>
          <w:sz w:val="22"/>
        </w:rPr>
      </w:pPr>
      <w:r>
        <w:rPr>
          <w:rFonts w:ascii="Arial" w:hAnsi="Arial" w:cs="Arial"/>
          <w:sz w:val="22"/>
        </w:rPr>
        <w:t xml:space="preserve">Općinskom odlukom propisana je obveza sakupljanja i organiziranog odvoza otpada iz domaćinstava, kojom su obuhvaćena sva naselja općine Gornja Rijeka. Kućni, komunalni otpad prikuplja Komunalno poduzeće d.d. iz Križevaca i odvozi na službeno odlagalište ''Piškornica" koje se nalazi u Općini Koprivnički Ivanec. </w:t>
      </w:r>
    </w:p>
    <w:p w:rsidR="00012172" w:rsidRDefault="00012172">
      <w:pPr>
        <w:pStyle w:val="Tijeloteksta-uvlaka3"/>
        <w:ind w:left="0" w:firstLine="360"/>
        <w:rPr>
          <w:rFonts w:cs="Arial"/>
          <w:i/>
          <w:iCs/>
        </w:rPr>
      </w:pPr>
      <w:r>
        <w:rPr>
          <w:rFonts w:cs="Arial"/>
        </w:rPr>
        <w:t xml:space="preserve">Na području općine su tijekom 2003. i 2004. godine neke od lokacija "divljih" odlagališta sanirane, a akcije sanacije je financiralo bivše Ministarstvo javnih radova, obnove i graditeljstva u iznosu od 30.000,00 kn. Akcija sakupljanja krupnog otpada "Čisti okoliš – zdravi život za ljepšu budućnost općine Gornja Rijeka" održana je u suradnji sa građanstvom, Udrugom potkalničkih plemenitaša, vatrogasnim zajednicama i poduzećem Univerzal d.d. iz Varaždina. Nakon provedenih akcija, čišćenja cijelog područja općine, ne dopušta se  formiranje novih "divljih" deponija. Kontrolu trenutnog stanja i daljnje napore održavanja i poboljšavanja uvjeta okoliša općine provodi komunalni redar u suradnji sa komunalnim poduzećem iz Križevaca. Općina Gornja Rijeka nema lokaciju predviđenu za odlaganje, skladištenje ili obradu otpada (komunalnog, industrijskog, opasnog,..) iako joj je to zakonska obveza (Zakon o otpadu, Narodne novine br. 178/04, čl.102). Ovim prostornim planom će se spomenuta zakonska obaveza ispuniti. </w:t>
      </w:r>
    </w:p>
    <w:p w:rsidR="00012172" w:rsidRDefault="00012172">
      <w:pPr>
        <w:ind w:firstLine="360"/>
        <w:jc w:val="both"/>
        <w:rPr>
          <w:rFonts w:ascii="Arial" w:hAnsi="Arial" w:cs="Arial"/>
          <w:sz w:val="22"/>
        </w:rPr>
      </w:pPr>
      <w:r>
        <w:rPr>
          <w:rFonts w:ascii="Arial" w:hAnsi="Arial" w:cs="Arial"/>
          <w:sz w:val="22"/>
        </w:rPr>
        <w:t>Organizirano je sortiranje otpada, odnosno izdvojeno sakupljanje sekundarnih sirovina (papir, staklo, PET, MET ambalaža) i to na 8 lokacija "zelenih otoka" koja se nalaze u naseljima (Dropkovec, Gornja Rijeka, Kostanjevec</w:t>
      </w:r>
      <w:r w:rsidR="005C1E50">
        <w:rPr>
          <w:rFonts w:ascii="Arial" w:hAnsi="Arial" w:cs="Arial"/>
          <w:sz w:val="22"/>
        </w:rPr>
        <w:t xml:space="preserve"> Riječki</w:t>
      </w:r>
      <w:r>
        <w:rPr>
          <w:rFonts w:ascii="Arial" w:hAnsi="Arial" w:cs="Arial"/>
          <w:sz w:val="22"/>
        </w:rPr>
        <w:t>, Pofuki, Kolarec, Deklešanec, Donja Rijeka te jedan zajednički za naselja Nemčevec i Fajerovec). "Zeleni otoci" su organizirani od strane Komunalnog poduzeća d.d. iz Križevaca.</w:t>
      </w:r>
    </w:p>
    <w:p w:rsidR="00012172" w:rsidRDefault="00012172">
      <w:pPr>
        <w:ind w:firstLine="360"/>
        <w:jc w:val="both"/>
        <w:rPr>
          <w:rFonts w:ascii="Arial" w:hAnsi="Arial" w:cs="Arial"/>
          <w:sz w:val="22"/>
        </w:rPr>
      </w:pPr>
      <w:r>
        <w:rPr>
          <w:rFonts w:ascii="Arial" w:hAnsi="Arial" w:cs="Arial"/>
          <w:sz w:val="22"/>
        </w:rPr>
        <w:t>Pitanje zbrinjavanja otpada animalnog porijekla regulirano je čl.32.-35. Zakona o veterinarstvu ("Narodne novine" br. 70/97, 105/01, 172/03), te Pravilnikom o načinu postupanja sa životinjskim lešinama i otpadom životinjskog podrijetla, te o njihovu uništavanju ("Narodne novine" br. 24/03). Postupanje sa životinjskim otpadom po veterinarsko-zdravstvenim načelima i načelima veterinarske zaštite okoliša podrazumijeva prihvat, skupljanje, razvrstavanje prema stupnju rizićnosti, privremeno uskladištavanje otpada u sabiralištima s uređajima za hlađenje te toplinsku obradu. Zbog neodgovornosti i nedosljednosti u provođenju zakonskih propisa (gospodarstvenici, poljoprivrednici,..) otpad životinjskog porijekla se često razbacuje po prirodi ili se odlaže na odlagalištima  komunalnog otpada pa tako predstavlja izvor zaraze i onečišćenja tla, vode i zraka. Trenutno na području Općine Gornja Rijeka nema organiziranog zbrinjavanja animalnog otpada.</w:t>
      </w:r>
    </w:p>
    <w:p w:rsidR="00012172" w:rsidRDefault="00012172">
      <w:pPr>
        <w:ind w:firstLine="360"/>
        <w:jc w:val="both"/>
        <w:rPr>
          <w:rFonts w:ascii="Arial" w:hAnsi="Arial" w:cs="Arial"/>
          <w:sz w:val="22"/>
        </w:rPr>
      </w:pPr>
    </w:p>
    <w:p w:rsidR="00012172" w:rsidRDefault="00012172">
      <w:pPr>
        <w:jc w:val="both"/>
        <w:rPr>
          <w:rFonts w:ascii="Arial" w:hAnsi="Arial" w:cs="Arial"/>
          <w:sz w:val="22"/>
        </w:rPr>
      </w:pPr>
      <w:r>
        <w:rPr>
          <w:rFonts w:ascii="Arial" w:hAnsi="Arial" w:cs="Arial"/>
          <w:sz w:val="22"/>
        </w:rPr>
        <w:t>Općinskom odlukom o komunalnom redu regulira se, između ostalog i način postupanja s otpadom:</w:t>
      </w:r>
    </w:p>
    <w:p w:rsidR="00012172" w:rsidRDefault="00012172">
      <w:pPr>
        <w:numPr>
          <w:ilvl w:val="0"/>
          <w:numId w:val="38"/>
        </w:numPr>
        <w:jc w:val="both"/>
        <w:rPr>
          <w:rFonts w:ascii="Arial" w:hAnsi="Arial" w:cs="Arial"/>
          <w:sz w:val="22"/>
        </w:rPr>
      </w:pPr>
      <w:r>
        <w:rPr>
          <w:rFonts w:ascii="Arial" w:hAnsi="Arial" w:cs="Arial"/>
          <w:sz w:val="22"/>
        </w:rPr>
        <w:t>kučni otpad zbrinjava se organizirano putem pravne osobe,</w:t>
      </w:r>
    </w:p>
    <w:p w:rsidR="00012172" w:rsidRDefault="00012172">
      <w:pPr>
        <w:numPr>
          <w:ilvl w:val="0"/>
          <w:numId w:val="38"/>
        </w:numPr>
        <w:jc w:val="both"/>
        <w:rPr>
          <w:rFonts w:ascii="Arial" w:hAnsi="Arial" w:cs="Arial"/>
          <w:sz w:val="22"/>
        </w:rPr>
      </w:pPr>
      <w:r>
        <w:rPr>
          <w:rFonts w:ascii="Arial" w:hAnsi="Arial" w:cs="Arial"/>
          <w:sz w:val="22"/>
        </w:rPr>
        <w:lastRenderedPageBreak/>
        <w:t xml:space="preserve">glomazni otpad – najmanje jednom godišnje (po potrebi), na teret općine putem pravne osobe registrirane za tu dijelatnost (odgovorne i za odvoz kučnog otpada). </w:t>
      </w:r>
    </w:p>
    <w:p w:rsidR="00012172" w:rsidRDefault="00012172">
      <w:pPr>
        <w:jc w:val="both"/>
        <w:rPr>
          <w:rFonts w:ascii="Arial" w:hAnsi="Arial" w:cs="Arial"/>
          <w:sz w:val="22"/>
        </w:rPr>
      </w:pPr>
    </w:p>
    <w:p w:rsidR="00012172" w:rsidRDefault="00012172">
      <w:pPr>
        <w:jc w:val="both"/>
        <w:rPr>
          <w:rFonts w:ascii="Arial" w:hAnsi="Arial" w:cs="Arial"/>
          <w:sz w:val="22"/>
        </w:rPr>
      </w:pPr>
    </w:p>
    <w:p w:rsidR="00012172" w:rsidRDefault="00012172">
      <w:pPr>
        <w:rPr>
          <w:rFonts w:ascii="Arial" w:hAnsi="Arial" w:cs="Arial"/>
          <w:b/>
          <w:sz w:val="22"/>
          <w:szCs w:val="22"/>
        </w:rPr>
      </w:pPr>
      <w:r>
        <w:rPr>
          <w:rFonts w:ascii="Arial" w:hAnsi="Arial" w:cs="Arial"/>
          <w:b/>
          <w:sz w:val="22"/>
          <w:szCs w:val="22"/>
        </w:rPr>
        <w:t>f) Groblja</w:t>
      </w:r>
    </w:p>
    <w:p w:rsidR="00012172" w:rsidRDefault="00012172">
      <w:pPr>
        <w:jc w:val="both"/>
        <w:rPr>
          <w:rFonts w:ascii="Arial" w:hAnsi="Arial" w:cs="Arial"/>
          <w:bCs/>
          <w:sz w:val="22"/>
          <w:szCs w:val="22"/>
        </w:rPr>
      </w:pPr>
      <w:r>
        <w:rPr>
          <w:rFonts w:ascii="Arial" w:hAnsi="Arial" w:cs="Arial"/>
          <w:bCs/>
          <w:sz w:val="22"/>
          <w:szCs w:val="22"/>
        </w:rPr>
        <w:t>Na području općine nalaze se dva groblja: mjesno groblje Gornja Rijeka i mjesno groblje Dropkovec.</w:t>
      </w:r>
    </w:p>
    <w:p w:rsidR="00012172" w:rsidRDefault="00012172">
      <w:pPr>
        <w:jc w:val="both"/>
        <w:rPr>
          <w:rFonts w:ascii="Arial" w:hAnsi="Arial"/>
          <w:b/>
          <w:color w:val="0000FF"/>
          <w:sz w:val="22"/>
          <w:szCs w:val="22"/>
        </w:rPr>
      </w:pPr>
    </w:p>
    <w:p w:rsidR="00012172" w:rsidRDefault="00012172">
      <w:pPr>
        <w:jc w:val="both"/>
        <w:rPr>
          <w:rFonts w:ascii="Arial" w:hAnsi="Arial"/>
          <w:b/>
          <w:sz w:val="22"/>
          <w:szCs w:val="22"/>
        </w:rPr>
      </w:pPr>
    </w:p>
    <w:p w:rsidR="00012172" w:rsidRDefault="00012172">
      <w:pPr>
        <w:pStyle w:val="Naslov3"/>
        <w:rPr>
          <w:rFonts w:ascii="Times New Roman" w:hAnsi="Times New Roman" w:cs="Times New Roman"/>
          <w:sz w:val="24"/>
        </w:rPr>
      </w:pPr>
      <w:bookmarkStart w:id="22" w:name="_Toc95140580"/>
      <w:r>
        <w:rPr>
          <w:rFonts w:ascii="Times New Roman" w:hAnsi="Times New Roman" w:cs="Times New Roman"/>
          <w:sz w:val="24"/>
        </w:rPr>
        <w:t>1.1.2.5. Društvena infrastruktura</w:t>
      </w:r>
      <w:bookmarkEnd w:id="22"/>
    </w:p>
    <w:p w:rsidR="00012172" w:rsidRDefault="00012172">
      <w:pPr>
        <w:jc w:val="both"/>
        <w:rPr>
          <w:rFonts w:ascii="Arial" w:hAnsi="Arial" w:cs="Arial"/>
          <w:sz w:val="22"/>
          <w:szCs w:val="22"/>
        </w:rPr>
      </w:pPr>
    </w:p>
    <w:p w:rsidR="00012172" w:rsidRDefault="00012172">
      <w:pPr>
        <w:pStyle w:val="Naslov4"/>
        <w:spacing w:before="0" w:after="0"/>
        <w:rPr>
          <w:rFonts w:ascii="Times New Roman" w:hAnsi="Times New Roman"/>
          <w:bCs/>
          <w:szCs w:val="24"/>
          <w:lang w:val="hr-HR"/>
        </w:rPr>
      </w:pPr>
      <w:r>
        <w:rPr>
          <w:rFonts w:ascii="Times New Roman" w:hAnsi="Times New Roman"/>
          <w:bCs/>
          <w:szCs w:val="24"/>
          <w:lang w:val="hr-HR"/>
        </w:rPr>
        <w:t>Obrazovanje</w:t>
      </w:r>
    </w:p>
    <w:p w:rsidR="00012172" w:rsidRDefault="00012172">
      <w:pPr>
        <w:jc w:val="both"/>
        <w:rPr>
          <w:rFonts w:ascii="Arial" w:hAnsi="Arial" w:cs="Arial"/>
          <w:sz w:val="22"/>
          <w:szCs w:val="22"/>
          <w:u w:val="single"/>
        </w:rPr>
      </w:pPr>
    </w:p>
    <w:p w:rsidR="00012172" w:rsidRDefault="00012172">
      <w:pPr>
        <w:jc w:val="both"/>
        <w:rPr>
          <w:rFonts w:ascii="Arial" w:hAnsi="Arial" w:cs="Arial"/>
          <w:sz w:val="22"/>
          <w:szCs w:val="22"/>
        </w:rPr>
      </w:pPr>
      <w:r>
        <w:rPr>
          <w:rFonts w:ascii="Arial" w:hAnsi="Arial" w:cs="Arial"/>
          <w:sz w:val="22"/>
          <w:szCs w:val="22"/>
          <w:u w:val="single"/>
        </w:rPr>
        <w:t>Osnovno obrazovanje</w:t>
      </w:r>
      <w:r>
        <w:rPr>
          <w:rFonts w:ascii="Arial" w:hAnsi="Arial" w:cs="Arial"/>
          <w:sz w:val="22"/>
          <w:szCs w:val="22"/>
        </w:rPr>
        <w:t xml:space="preserve"> provodi se na području općine Gornja Rijeka u sklopu osnovne škole Gornja Rijeka te u područnom odjelu u Kolarcu. </w:t>
      </w:r>
    </w:p>
    <w:p w:rsidR="00012172" w:rsidRDefault="00012172">
      <w:pPr>
        <w:jc w:val="both"/>
        <w:rPr>
          <w:rFonts w:ascii="Arial" w:hAnsi="Arial" w:cs="Arial"/>
          <w:sz w:val="22"/>
          <w:szCs w:val="22"/>
        </w:rPr>
      </w:pPr>
    </w:p>
    <w:p w:rsidR="00012172" w:rsidRDefault="00012172">
      <w:pPr>
        <w:jc w:val="both"/>
        <w:rPr>
          <w:rFonts w:ascii="Arial" w:hAnsi="Arial" w:cs="Arial"/>
          <w:sz w:val="22"/>
          <w:szCs w:val="22"/>
        </w:rPr>
      </w:pPr>
      <w:r>
        <w:rPr>
          <w:rFonts w:ascii="Arial" w:hAnsi="Arial" w:cs="Arial"/>
          <w:sz w:val="22"/>
          <w:szCs w:val="22"/>
          <w:u w:val="single"/>
        </w:rPr>
        <w:t>Srednjoškolska</w:t>
      </w:r>
      <w:r>
        <w:rPr>
          <w:rFonts w:ascii="Arial" w:hAnsi="Arial" w:cs="Arial"/>
          <w:sz w:val="22"/>
          <w:szCs w:val="22"/>
        </w:rPr>
        <w:t xml:space="preserve"> obrazovna ustanova ne postoji u općini, a najbliža je u Križevcima (Gimnazija, Srednja škola i Obrtnička škola).</w:t>
      </w:r>
    </w:p>
    <w:p w:rsidR="00012172" w:rsidRDefault="00012172">
      <w:pPr>
        <w:jc w:val="both"/>
        <w:rPr>
          <w:rFonts w:ascii="Arial" w:hAnsi="Arial" w:cs="Arial"/>
          <w:sz w:val="22"/>
          <w:szCs w:val="22"/>
        </w:rPr>
      </w:pPr>
    </w:p>
    <w:p w:rsidR="00012172" w:rsidRDefault="00012172">
      <w:pPr>
        <w:jc w:val="both"/>
        <w:rPr>
          <w:rFonts w:ascii="Arial" w:hAnsi="Arial" w:cs="Arial"/>
          <w:sz w:val="22"/>
        </w:rPr>
      </w:pPr>
      <w:r>
        <w:rPr>
          <w:rFonts w:ascii="Arial" w:hAnsi="Arial" w:cs="Arial"/>
          <w:sz w:val="22"/>
          <w:u w:val="single"/>
        </w:rPr>
        <w:t>Visokoškolska</w:t>
      </w:r>
      <w:r>
        <w:rPr>
          <w:rFonts w:ascii="Arial" w:hAnsi="Arial" w:cs="Arial"/>
          <w:sz w:val="22"/>
        </w:rPr>
        <w:t xml:space="preserve"> ustanova ne postoji u općini, a najbliže su u Križevcima (Visoko gospodarsko učilište), Koprivnici odsjek Ekonomskog fakulteta iz Zagreba i Zagrebu.</w:t>
      </w:r>
    </w:p>
    <w:p w:rsidR="00012172" w:rsidRDefault="00012172">
      <w:pPr>
        <w:jc w:val="both"/>
        <w:rPr>
          <w:rFonts w:ascii="Arial" w:hAnsi="Arial" w:cs="Arial"/>
          <w:sz w:val="22"/>
        </w:rPr>
      </w:pPr>
    </w:p>
    <w:p w:rsidR="00012172" w:rsidRDefault="00012172">
      <w:pPr>
        <w:jc w:val="both"/>
        <w:rPr>
          <w:rFonts w:ascii="Arial" w:hAnsi="Arial" w:cs="Arial"/>
          <w:sz w:val="22"/>
        </w:rPr>
      </w:pPr>
    </w:p>
    <w:p w:rsidR="00012172" w:rsidRDefault="00012172">
      <w:pPr>
        <w:jc w:val="both"/>
        <w:rPr>
          <w:rFonts w:ascii="Arial" w:hAnsi="Arial" w:cs="Arial"/>
          <w:sz w:val="22"/>
        </w:rPr>
      </w:pPr>
    </w:p>
    <w:p w:rsidR="00012172" w:rsidRDefault="00012172">
      <w:pPr>
        <w:jc w:val="both"/>
        <w:rPr>
          <w:rFonts w:ascii="Arial" w:hAnsi="Arial" w:cs="Arial"/>
          <w:b/>
          <w:bCs/>
          <w:sz w:val="22"/>
        </w:rPr>
      </w:pPr>
      <w:r>
        <w:rPr>
          <w:rFonts w:ascii="Arial" w:hAnsi="Arial" w:cs="Arial"/>
          <w:b/>
          <w:bCs/>
          <w:sz w:val="22"/>
        </w:rPr>
        <w:t>Zdravstvo i socijalna skrb</w:t>
      </w:r>
    </w:p>
    <w:p w:rsidR="00012172" w:rsidRDefault="00012172">
      <w:pPr>
        <w:jc w:val="both"/>
        <w:rPr>
          <w:rFonts w:ascii="Arial" w:hAnsi="Arial" w:cs="Arial"/>
          <w:sz w:val="22"/>
        </w:rPr>
      </w:pPr>
      <w:r>
        <w:rPr>
          <w:rFonts w:ascii="Arial" w:hAnsi="Arial" w:cs="Arial"/>
          <w:sz w:val="22"/>
        </w:rPr>
        <w:t>U Gornjoj rijeci djeluje ljekarna, zubna i zdravstvena ustanova te veterinarska ambulanta, a u Križevcima je smještena ustanova  Zavoda za javno zdravstvo.</w:t>
      </w:r>
    </w:p>
    <w:p w:rsidR="00012172" w:rsidRDefault="00012172">
      <w:pPr>
        <w:jc w:val="both"/>
        <w:rPr>
          <w:rFonts w:ascii="Arial" w:hAnsi="Arial" w:cs="Arial"/>
          <w:sz w:val="22"/>
        </w:rPr>
      </w:pPr>
      <w:r>
        <w:rPr>
          <w:rFonts w:ascii="Arial" w:hAnsi="Arial" w:cs="Arial"/>
          <w:sz w:val="22"/>
        </w:rPr>
        <w:t xml:space="preserve">Institucije socijalne skrbi smještene su u Križevcima i Koprivnici: Centar za socijalnu skrb Križevci, Ured za rad, zdravstvo i socijalnu skrb Koprivničko-križevačke županije ispostava u Križevcima, Dom umirovljenika Koprivnica i Gradsko društvo Crvenog križa Križevci. </w:t>
      </w:r>
    </w:p>
    <w:p w:rsidR="00012172" w:rsidRDefault="00012172">
      <w:pPr>
        <w:pStyle w:val="Naslov4"/>
        <w:spacing w:before="0" w:after="0"/>
        <w:rPr>
          <w:rFonts w:ascii="Times New Roman" w:hAnsi="Times New Roman"/>
          <w:bCs/>
          <w:szCs w:val="24"/>
          <w:lang w:val="hr-HR"/>
        </w:rPr>
      </w:pPr>
    </w:p>
    <w:p w:rsidR="00012172" w:rsidRDefault="00012172">
      <w:pPr>
        <w:pStyle w:val="Naslov4"/>
        <w:spacing w:before="0" w:after="0"/>
        <w:rPr>
          <w:rFonts w:ascii="Times New Roman" w:hAnsi="Times New Roman"/>
          <w:bCs/>
          <w:szCs w:val="24"/>
          <w:lang w:val="hr-HR"/>
        </w:rPr>
      </w:pPr>
      <w:r>
        <w:rPr>
          <w:rFonts w:ascii="Times New Roman" w:hAnsi="Times New Roman"/>
          <w:bCs/>
          <w:szCs w:val="24"/>
          <w:lang w:val="hr-HR"/>
        </w:rPr>
        <w:t>Javna uprava</w:t>
      </w:r>
    </w:p>
    <w:p w:rsidR="00012172" w:rsidRDefault="00012172">
      <w:pPr>
        <w:jc w:val="both"/>
        <w:rPr>
          <w:rFonts w:ascii="Arial" w:hAnsi="Arial" w:cs="Arial"/>
          <w:bCs/>
          <w:sz w:val="22"/>
          <w:szCs w:val="22"/>
        </w:rPr>
      </w:pPr>
      <w:r>
        <w:rPr>
          <w:rFonts w:ascii="Arial" w:hAnsi="Arial" w:cs="Arial"/>
          <w:bCs/>
          <w:sz w:val="22"/>
          <w:szCs w:val="22"/>
        </w:rPr>
        <w:t>Od ustanova javne uprave u naselju Gornja Rijeka djeluje lokalna samouprava odnosno Općinsko vijeće općine Gornja Rijeka. Sve ostale javne institucije smještene su u Križevcima (Državna uprava i administracija, Ispostava poljoprivredno savjetodavne službe, pavosudna tijela, Hrvatska gospodarska komora, Obrtnička komora Križevci, te područna služba Hrvatskog stočarskog selekcijskog centra).</w:t>
      </w:r>
    </w:p>
    <w:p w:rsidR="00012172" w:rsidRDefault="00012172">
      <w:pPr>
        <w:jc w:val="both"/>
        <w:rPr>
          <w:rFonts w:ascii="Arial" w:hAnsi="Arial" w:cs="Arial"/>
          <w:sz w:val="22"/>
        </w:rPr>
      </w:pPr>
      <w:r>
        <w:rPr>
          <w:rFonts w:ascii="Arial" w:hAnsi="Arial" w:cs="Arial"/>
          <w:sz w:val="22"/>
        </w:rPr>
        <w:t>D</w:t>
      </w:r>
      <w:r>
        <w:rPr>
          <w:rFonts w:ascii="Arial" w:hAnsi="Arial" w:cs="Arial"/>
          <w:sz w:val="22"/>
          <w:lang w:val="de-DE"/>
        </w:rPr>
        <w:t>ru</w:t>
      </w:r>
      <w:r>
        <w:rPr>
          <w:rFonts w:ascii="Arial" w:hAnsi="Arial" w:cs="Arial"/>
          <w:sz w:val="22"/>
        </w:rPr>
        <w:t>š</w:t>
      </w:r>
      <w:r>
        <w:rPr>
          <w:rFonts w:ascii="Arial" w:hAnsi="Arial" w:cs="Arial"/>
          <w:sz w:val="22"/>
          <w:lang w:val="de-DE"/>
        </w:rPr>
        <w:t>tveni</w:t>
      </w:r>
      <w:r>
        <w:rPr>
          <w:rFonts w:ascii="Arial" w:hAnsi="Arial" w:cs="Arial"/>
          <w:sz w:val="22"/>
        </w:rPr>
        <w:t xml:space="preserve"> dom postoji u Deklešancu, a vatrogasni </w:t>
      </w:r>
      <w:r>
        <w:rPr>
          <w:rFonts w:ascii="Arial" w:hAnsi="Arial" w:cs="Arial"/>
          <w:sz w:val="22"/>
          <w:lang w:val="de-DE"/>
        </w:rPr>
        <w:t>dom</w:t>
      </w:r>
      <w:r>
        <w:rPr>
          <w:rFonts w:ascii="Arial" w:hAnsi="Arial" w:cs="Arial"/>
          <w:sz w:val="22"/>
        </w:rPr>
        <w:t xml:space="preserve"> </w:t>
      </w:r>
      <w:r>
        <w:rPr>
          <w:rFonts w:ascii="Arial" w:hAnsi="Arial" w:cs="Arial"/>
          <w:sz w:val="22"/>
          <w:lang w:val="de-DE"/>
        </w:rPr>
        <w:t>imaju</w:t>
      </w:r>
      <w:r>
        <w:rPr>
          <w:rFonts w:ascii="Arial" w:hAnsi="Arial" w:cs="Arial"/>
          <w:sz w:val="22"/>
        </w:rPr>
        <w:t xml:space="preserve"> </w:t>
      </w:r>
      <w:r>
        <w:rPr>
          <w:rFonts w:ascii="Arial" w:hAnsi="Arial" w:cs="Arial"/>
          <w:sz w:val="22"/>
          <w:lang w:val="de-DE"/>
        </w:rPr>
        <w:t>slijede</w:t>
      </w:r>
      <w:r>
        <w:rPr>
          <w:rFonts w:ascii="Arial" w:hAnsi="Arial" w:cs="Arial"/>
          <w:sz w:val="22"/>
        </w:rPr>
        <w:t>ć</w:t>
      </w:r>
      <w:r>
        <w:rPr>
          <w:rFonts w:ascii="Arial" w:hAnsi="Arial" w:cs="Arial"/>
          <w:sz w:val="22"/>
          <w:lang w:val="de-DE"/>
        </w:rPr>
        <w:t>a</w:t>
      </w:r>
      <w:r>
        <w:rPr>
          <w:rFonts w:ascii="Arial" w:hAnsi="Arial" w:cs="Arial"/>
          <w:sz w:val="22"/>
        </w:rPr>
        <w:t xml:space="preserve"> </w:t>
      </w:r>
      <w:r>
        <w:rPr>
          <w:rFonts w:ascii="Arial" w:hAnsi="Arial" w:cs="Arial"/>
          <w:sz w:val="22"/>
          <w:lang w:val="de-DE"/>
        </w:rPr>
        <w:t>naselja</w:t>
      </w:r>
      <w:r>
        <w:rPr>
          <w:rFonts w:ascii="Arial" w:hAnsi="Arial" w:cs="Arial"/>
          <w:sz w:val="22"/>
        </w:rPr>
        <w:t>: Gornja Rijeka, Kolarec, Kostanjevec Riječki i Dropkovec.</w:t>
      </w:r>
    </w:p>
    <w:p w:rsidR="00012172" w:rsidRDefault="00012172">
      <w:pPr>
        <w:jc w:val="both"/>
      </w:pPr>
    </w:p>
    <w:p w:rsidR="00012172" w:rsidRDefault="00012172">
      <w:pPr>
        <w:jc w:val="both"/>
        <w:rPr>
          <w:rFonts w:ascii="Arial" w:hAnsi="Arial" w:cs="Arial"/>
          <w:sz w:val="22"/>
        </w:rPr>
      </w:pPr>
      <w:r>
        <w:rPr>
          <w:rFonts w:ascii="Arial" w:hAnsi="Arial" w:cs="Arial"/>
          <w:sz w:val="22"/>
        </w:rPr>
        <w:t>Na području općine djeluju slijedeće udruge:</w:t>
      </w:r>
    </w:p>
    <w:p w:rsidR="00012172" w:rsidRDefault="00012172">
      <w:pPr>
        <w:numPr>
          <w:ilvl w:val="0"/>
          <w:numId w:val="29"/>
        </w:numPr>
        <w:jc w:val="both"/>
        <w:rPr>
          <w:rFonts w:ascii="Arial" w:hAnsi="Arial" w:cs="Arial"/>
          <w:sz w:val="22"/>
        </w:rPr>
      </w:pPr>
      <w:r>
        <w:rPr>
          <w:rFonts w:ascii="Arial" w:hAnsi="Arial" w:cs="Arial"/>
          <w:sz w:val="22"/>
        </w:rPr>
        <w:t>Udruga «Podkalnički plemenitaši»</w:t>
      </w:r>
    </w:p>
    <w:p w:rsidR="00012172" w:rsidRDefault="00012172">
      <w:pPr>
        <w:numPr>
          <w:ilvl w:val="0"/>
          <w:numId w:val="29"/>
        </w:numPr>
        <w:jc w:val="both"/>
        <w:rPr>
          <w:rFonts w:ascii="Arial" w:hAnsi="Arial" w:cs="Arial"/>
          <w:sz w:val="22"/>
        </w:rPr>
      </w:pPr>
      <w:r>
        <w:rPr>
          <w:rFonts w:ascii="Arial" w:hAnsi="Arial" w:cs="Arial"/>
          <w:sz w:val="22"/>
        </w:rPr>
        <w:t>VZ Gornja Rijeka</w:t>
      </w:r>
    </w:p>
    <w:p w:rsidR="00012172" w:rsidRDefault="00012172">
      <w:pPr>
        <w:jc w:val="both"/>
        <w:rPr>
          <w:rFonts w:ascii="Arial" w:hAnsi="Arial" w:cs="Arial"/>
          <w:sz w:val="22"/>
        </w:rPr>
      </w:pPr>
      <w:r>
        <w:rPr>
          <w:rFonts w:ascii="Arial" w:hAnsi="Arial" w:cs="Arial"/>
          <w:sz w:val="22"/>
        </w:rPr>
        <w:t>Na području općine djeluju slijedeće športske udruge:</w:t>
      </w:r>
    </w:p>
    <w:p w:rsidR="00012172" w:rsidRDefault="00012172">
      <w:pPr>
        <w:numPr>
          <w:ilvl w:val="0"/>
          <w:numId w:val="29"/>
        </w:numPr>
        <w:jc w:val="both"/>
        <w:rPr>
          <w:rFonts w:ascii="Arial" w:hAnsi="Arial" w:cs="Arial"/>
          <w:sz w:val="22"/>
        </w:rPr>
      </w:pPr>
      <w:r>
        <w:rPr>
          <w:rFonts w:ascii="Arial" w:hAnsi="Arial" w:cs="Arial"/>
          <w:sz w:val="22"/>
        </w:rPr>
        <w:t>Lovačko društvo Košuta –Prigorje</w:t>
      </w:r>
    </w:p>
    <w:p w:rsidR="00012172" w:rsidRDefault="00012172">
      <w:pPr>
        <w:numPr>
          <w:ilvl w:val="0"/>
          <w:numId w:val="29"/>
        </w:numPr>
        <w:jc w:val="both"/>
        <w:rPr>
          <w:rFonts w:ascii="Arial" w:hAnsi="Arial" w:cs="Arial"/>
          <w:sz w:val="22"/>
        </w:rPr>
      </w:pPr>
      <w:r>
        <w:rPr>
          <w:rFonts w:ascii="Arial" w:hAnsi="Arial" w:cs="Arial"/>
          <w:sz w:val="22"/>
        </w:rPr>
        <w:t>Lovačko društvo «Lještarka» (Deklešanec)</w:t>
      </w:r>
    </w:p>
    <w:p w:rsidR="00012172" w:rsidRDefault="00012172">
      <w:pPr>
        <w:numPr>
          <w:ilvl w:val="0"/>
          <w:numId w:val="29"/>
        </w:numPr>
        <w:jc w:val="both"/>
        <w:rPr>
          <w:rFonts w:ascii="Arial" w:hAnsi="Arial" w:cs="Arial"/>
          <w:sz w:val="22"/>
        </w:rPr>
      </w:pPr>
      <w:r>
        <w:rPr>
          <w:rFonts w:ascii="Arial" w:hAnsi="Arial" w:cs="Arial"/>
          <w:sz w:val="22"/>
        </w:rPr>
        <w:t>NK Gornja Rijeka</w:t>
      </w:r>
    </w:p>
    <w:p w:rsidR="00012172" w:rsidRDefault="00012172">
      <w:pPr>
        <w:numPr>
          <w:ilvl w:val="0"/>
          <w:numId w:val="29"/>
        </w:numPr>
        <w:jc w:val="both"/>
        <w:rPr>
          <w:rFonts w:ascii="Arial" w:hAnsi="Arial" w:cs="Arial"/>
          <w:sz w:val="22"/>
        </w:rPr>
      </w:pPr>
      <w:r>
        <w:rPr>
          <w:rFonts w:ascii="Arial" w:hAnsi="Arial" w:cs="Arial"/>
          <w:sz w:val="22"/>
        </w:rPr>
        <w:t>Sportska udruga «Plava krv»</w:t>
      </w:r>
    </w:p>
    <w:p w:rsidR="00515186" w:rsidRDefault="00515186" w:rsidP="00515186">
      <w:pPr>
        <w:ind w:left="360"/>
        <w:jc w:val="both"/>
        <w:rPr>
          <w:rFonts w:ascii="Arial" w:hAnsi="Arial" w:cs="Arial"/>
          <w:sz w:val="22"/>
        </w:rPr>
      </w:pPr>
    </w:p>
    <w:p w:rsidR="00012172" w:rsidRDefault="00012172">
      <w:pPr>
        <w:jc w:val="both"/>
        <w:rPr>
          <w:rFonts w:ascii="Arial" w:hAnsi="Arial" w:cs="Arial"/>
          <w:sz w:val="22"/>
        </w:rPr>
      </w:pPr>
      <w:r>
        <w:rPr>
          <w:rFonts w:ascii="Arial" w:hAnsi="Arial" w:cs="Arial"/>
          <w:sz w:val="22"/>
        </w:rPr>
        <w:t>Tradicionalne manifestacije su «Dani plemstva» i «Sidonijin dan», «Kestenijada».</w:t>
      </w:r>
    </w:p>
    <w:p w:rsidR="00012172" w:rsidRDefault="00012172"/>
    <w:p w:rsidR="00012172" w:rsidRDefault="00012172">
      <w:pPr>
        <w:pStyle w:val="Naslov3"/>
      </w:pPr>
      <w:bookmarkStart w:id="23" w:name="_Toc95140581"/>
      <w:r>
        <w:lastRenderedPageBreak/>
        <w:t>1.1.2.6. Zaštićena graditeljska baština i prirodna baština</w:t>
      </w:r>
      <w:bookmarkEnd w:id="23"/>
    </w:p>
    <w:p w:rsidR="00012172" w:rsidRDefault="00012172">
      <w:pPr>
        <w:jc w:val="both"/>
        <w:rPr>
          <w:rFonts w:ascii="Arial" w:hAnsi="Arial"/>
          <w:b/>
          <w:sz w:val="22"/>
          <w:szCs w:val="22"/>
        </w:rPr>
      </w:pPr>
    </w:p>
    <w:p w:rsidR="00012172" w:rsidRDefault="00012172">
      <w:pPr>
        <w:jc w:val="both"/>
        <w:rPr>
          <w:rFonts w:ascii="Arial" w:hAnsi="Arial"/>
          <w:b/>
          <w:sz w:val="22"/>
          <w:szCs w:val="22"/>
        </w:rPr>
      </w:pPr>
    </w:p>
    <w:p w:rsidR="00012172" w:rsidRDefault="00012172">
      <w:pPr>
        <w:jc w:val="both"/>
        <w:rPr>
          <w:b/>
          <w:szCs w:val="22"/>
        </w:rPr>
      </w:pPr>
      <w:r>
        <w:rPr>
          <w:b/>
          <w:szCs w:val="22"/>
        </w:rPr>
        <w:t>a) Graditeljska baština</w:t>
      </w:r>
    </w:p>
    <w:p w:rsidR="00012172" w:rsidRDefault="00012172">
      <w:pPr>
        <w:rPr>
          <w:rFonts w:ascii="Arial" w:hAnsi="Arial" w:cs="Arial"/>
          <w:b/>
          <w:sz w:val="22"/>
          <w:szCs w:val="22"/>
        </w:rPr>
      </w:pPr>
    </w:p>
    <w:p w:rsidR="00012172" w:rsidRDefault="00012172">
      <w:pPr>
        <w:jc w:val="both"/>
        <w:rPr>
          <w:rFonts w:ascii="Arial" w:hAnsi="Arial" w:cs="Arial"/>
          <w:sz w:val="22"/>
        </w:rPr>
      </w:pPr>
      <w:r>
        <w:rPr>
          <w:rFonts w:ascii="Arial" w:hAnsi="Arial" w:cs="Arial"/>
          <w:sz w:val="22"/>
        </w:rPr>
        <w:t xml:space="preserve">Prostor današnjeg naselja Gornje Rijeke je naseljen još u neolitu, a kontinuitet naseljenosti se proteže sve do 1248.god. kad se spominje upravna župa Blažene Djevice Marije. Grad-tvrđa Mali Kalnik spominje se 1245. god. u središtu feudalne gospoštije kalničkih plemića koja često mijenja gospodara. Podno tvrđe u </w:t>
      </w:r>
      <w:smartTag w:uri="urn:schemas-microsoft-com:office:smarttags" w:element="metricconverter">
        <w:smartTagPr>
          <w:attr w:name="ProductID" w:val="14. st"/>
        </w:smartTagPr>
        <w:r>
          <w:rPr>
            <w:rFonts w:ascii="Arial" w:hAnsi="Arial" w:cs="Arial"/>
            <w:sz w:val="22"/>
          </w:rPr>
          <w:t>14. st</w:t>
        </w:r>
      </w:smartTag>
      <w:r>
        <w:rPr>
          <w:rFonts w:ascii="Arial" w:hAnsi="Arial" w:cs="Arial"/>
          <w:sz w:val="22"/>
        </w:rPr>
        <w:t xml:space="preserve">. nastaje naselje-varoš tamo gdje su to dopustili prirodni uvjeti tako da 1501. god. ima status  sajmišta (tjedno i dva puta godišnje). Ime je naselje dobilo po potoku Rijeka koji izvire podno tvrđe. U </w:t>
      </w:r>
      <w:smartTag w:uri="urn:schemas-microsoft-com:office:smarttags" w:element="metricconverter">
        <w:smartTagPr>
          <w:attr w:name="ProductID" w:val="17. st"/>
        </w:smartTagPr>
        <w:r>
          <w:rPr>
            <w:rFonts w:ascii="Arial" w:hAnsi="Arial" w:cs="Arial"/>
            <w:sz w:val="22"/>
          </w:rPr>
          <w:t>17. st</w:t>
        </w:r>
      </w:smartTag>
      <w:r>
        <w:rPr>
          <w:rFonts w:ascii="Arial" w:hAnsi="Arial" w:cs="Arial"/>
          <w:sz w:val="22"/>
        </w:rPr>
        <w:t xml:space="preserve">. nakon prestanaka turskih prodora u ove krajeve, napuštena je Kalnička utvrda i sagrađen dvorac u G. Rijeci 1663. god. Pored dvorca se razvilo naselje kojem gravitiraju sva okolna naselja pa je u drugoj polovini </w:t>
      </w:r>
      <w:smartTag w:uri="urn:schemas-microsoft-com:office:smarttags" w:element="metricconverter">
        <w:smartTagPr>
          <w:attr w:name="ProductID" w:val="19. st"/>
        </w:smartTagPr>
        <w:r>
          <w:rPr>
            <w:rFonts w:ascii="Arial" w:hAnsi="Arial" w:cs="Arial"/>
            <w:sz w:val="22"/>
          </w:rPr>
          <w:t>19. st</w:t>
        </w:r>
      </w:smartTag>
      <w:r>
        <w:rPr>
          <w:rFonts w:ascii="Arial" w:hAnsi="Arial" w:cs="Arial"/>
          <w:sz w:val="22"/>
        </w:rPr>
        <w:t>. preraslo u gospodarski i kulturni centar okolnog područja a osnovan je i jak administrativni centar - centralna općina sa odgovarajućim funkcijama. Danas nije prepoznatljiv takav značaj naselja, ali je zadržan izgled centralnog dijela naselja iz tog razvijenog perioda.</w:t>
      </w:r>
    </w:p>
    <w:p w:rsidR="00012172" w:rsidRDefault="00012172">
      <w:pPr>
        <w:jc w:val="both"/>
      </w:pPr>
      <w:r>
        <w:tab/>
      </w:r>
      <w:r>
        <w:tab/>
      </w:r>
      <w:r>
        <w:tab/>
      </w:r>
      <w:r>
        <w:tab/>
      </w:r>
      <w:r>
        <w:tab/>
      </w:r>
      <w:r>
        <w:tab/>
      </w:r>
    </w:p>
    <w:p w:rsidR="00012172" w:rsidRDefault="00012172">
      <w:pPr>
        <w:jc w:val="both"/>
        <w:rPr>
          <w:rFonts w:ascii="Arial" w:hAnsi="Arial"/>
        </w:rPr>
      </w:pPr>
    </w:p>
    <w:p w:rsidR="00012172" w:rsidRDefault="00012172">
      <w:pPr>
        <w:jc w:val="both"/>
        <w:rPr>
          <w:rFonts w:ascii="Arial" w:hAnsi="Arial" w:cs="Arial"/>
          <w:b/>
          <w:sz w:val="22"/>
        </w:rPr>
      </w:pPr>
      <w:r>
        <w:rPr>
          <w:rFonts w:ascii="Arial" w:hAnsi="Arial" w:cs="Arial"/>
          <w:b/>
          <w:sz w:val="22"/>
        </w:rPr>
        <w:t>Dvorac Erd</w:t>
      </w:r>
      <w:r>
        <w:rPr>
          <w:rFonts w:ascii="Arial" w:hAnsi="Arial" w:cs="Arial"/>
          <w:b/>
          <w:sz w:val="22"/>
        </w:rPr>
        <w:sym w:font="Times New Roman" w:char="00F6"/>
      </w:r>
      <w:r>
        <w:rPr>
          <w:rFonts w:ascii="Arial" w:hAnsi="Arial" w:cs="Arial"/>
          <w:b/>
          <w:sz w:val="22"/>
        </w:rPr>
        <w:t>dy-Rubido: Gornja Rijeka</w:t>
      </w:r>
    </w:p>
    <w:p w:rsidR="00012172" w:rsidRDefault="00012172">
      <w:pPr>
        <w:jc w:val="both"/>
        <w:rPr>
          <w:rFonts w:ascii="Arial" w:hAnsi="Arial" w:cs="Arial"/>
          <w:sz w:val="22"/>
        </w:rPr>
      </w:pPr>
      <w:r>
        <w:rPr>
          <w:rFonts w:ascii="Arial" w:hAnsi="Arial" w:cs="Arial"/>
          <w:sz w:val="22"/>
        </w:rPr>
        <w:t xml:space="preserve">Smješten na obroncima Kalničke gore ispod grada Malog Kalnika koji biva napušten vjerojatno tokom 17.st., jer se 1650.g. već spominje kurija “Reka”, jednokatnica pravokutnog tlocrta, kao sjedište vlastelinstva vjerojatno na istoj lokaciji. 1731.g. dvorac se spominje kao ‘castellum’ sa četiri kule (stara kurija ugrađena je u južno krilo dvorca, a umjesto zapadnog krila izveden je zid kojim se zatvaralo unutrašnje kvadratično dvorište ). Također se spominju gospodarske zgrade oko dvorca. Krajem 18.st. ruše se dvije kule, a krila se produljuju prema zapadu. Tako dvorac dobiva današnji oblik trokrilne građevine U-tlocrta okrenuta glavnim pročeljem prema istoku. Sačuvane su dvije uglovne kule koje nadvisuju krila, a unutrašnje dvorište na zapadnoj strani zatvara zid s portalom. Ulazni dio je rizalitno istaknut. Prizemne prostorije su nadsvođene, dok katne imaju stropove. Od izvorne opreme sačuvan je ornamentirani parket u glavnoj dvorani, te kamene ploče poda hodnika kata. U 19.st. uklanja se dio imobilijara (u kuću br. 18), te se oblikuje glavno pročelje u historicističkom slogu. Danas u dvorcu od inventara nije ništa sačuvano. </w:t>
      </w:r>
    </w:p>
    <w:p w:rsidR="00012172" w:rsidRDefault="00012172">
      <w:pPr>
        <w:jc w:val="both"/>
        <w:rPr>
          <w:rFonts w:ascii="Arial" w:hAnsi="Arial" w:cs="Arial"/>
          <w:sz w:val="22"/>
        </w:rPr>
      </w:pPr>
      <w:r>
        <w:rPr>
          <w:rFonts w:ascii="Arial" w:hAnsi="Arial" w:cs="Arial"/>
          <w:sz w:val="22"/>
        </w:rPr>
        <w:t xml:space="preserve">Na južnom krilu dograđena je kapela Sv. Ivana Nepomuka, koja 1830.g. postaje javna. 1866.g. dobiva sakristiju. Inventar iz toga vremena. Rokoko oltar-tabernakul nalazi se od 1946.g. u župnoj crkvi u G. Rijeci. Kapela uništena 1946.g. </w:t>
      </w:r>
    </w:p>
    <w:p w:rsidR="00012172" w:rsidRDefault="00012172">
      <w:pPr>
        <w:jc w:val="both"/>
        <w:rPr>
          <w:rFonts w:ascii="Arial" w:hAnsi="Arial" w:cs="Arial"/>
          <w:sz w:val="22"/>
        </w:rPr>
      </w:pPr>
      <w:r>
        <w:rPr>
          <w:rFonts w:ascii="Arial" w:hAnsi="Arial" w:cs="Arial"/>
          <w:sz w:val="22"/>
        </w:rPr>
        <w:t xml:space="preserve">Tokom 19.st. uređuje se okolni park u brižno uređen perivoj, od kojeg je ostala samo kratka aleja pred pročeljem. </w:t>
      </w:r>
    </w:p>
    <w:p w:rsidR="00012172" w:rsidRDefault="00012172">
      <w:pPr>
        <w:jc w:val="both"/>
        <w:rPr>
          <w:rFonts w:ascii="Arial" w:hAnsi="Arial" w:cs="Arial"/>
          <w:sz w:val="22"/>
        </w:rPr>
      </w:pPr>
      <w:r>
        <w:rPr>
          <w:rFonts w:ascii="Arial" w:hAnsi="Arial" w:cs="Arial"/>
          <w:sz w:val="22"/>
        </w:rPr>
        <w:t xml:space="preserve">Neposredno pred dvorcem, uređeno je malo jezero. </w:t>
      </w:r>
      <w:r w:rsidRPr="007445F0">
        <w:rPr>
          <w:rFonts w:ascii="Arial" w:hAnsi="Arial" w:cs="Arial"/>
          <w:sz w:val="22"/>
        </w:rPr>
        <w:t>Spomenik iz doba II.svj. rata, rad kipara E. Bohutinskog, iz 1970.godine nalazi se u staroj mrtvačnici na groblju</w:t>
      </w:r>
      <w:r>
        <w:rPr>
          <w:rFonts w:ascii="Arial" w:hAnsi="Arial" w:cs="Arial"/>
          <w:sz w:val="22"/>
        </w:rPr>
        <w:t xml:space="preserve">. Do 1984.g. u dvorcu je bila škola, no od onda je napušten i propada. 1995. počinje obnova, ali koja je za sada provedena samo djelomično. </w:t>
      </w:r>
    </w:p>
    <w:p w:rsidR="00012172" w:rsidRDefault="00012172">
      <w:pPr>
        <w:jc w:val="both"/>
        <w:rPr>
          <w:rFonts w:ascii="Arial" w:hAnsi="Arial" w:cs="Arial"/>
          <w:sz w:val="22"/>
        </w:rPr>
      </w:pPr>
      <w:r>
        <w:rPr>
          <w:rFonts w:ascii="Arial" w:hAnsi="Arial" w:cs="Arial"/>
          <w:sz w:val="22"/>
        </w:rPr>
        <w:t xml:space="preserve">U novije  vrijeme bilo je pokušaja obnove unutrašnjosti, no  radovi su izvođeni na neadekvatan način uz velike devastacije prostora. </w:t>
      </w:r>
    </w:p>
    <w:p w:rsidR="00012172" w:rsidRDefault="00012172">
      <w:pPr>
        <w:jc w:val="both"/>
        <w:rPr>
          <w:sz w:val="22"/>
        </w:rPr>
      </w:pPr>
    </w:p>
    <w:p w:rsidR="00012172" w:rsidRDefault="00012172">
      <w:pPr>
        <w:pStyle w:val="Tijeloteksta-uvlaka3"/>
        <w:ind w:left="0"/>
        <w:rPr>
          <w:rFonts w:ascii="Times New Roman" w:hAnsi="Times New Roman"/>
          <w:b/>
          <w:bCs/>
          <w:sz w:val="24"/>
        </w:rPr>
      </w:pPr>
      <w:r>
        <w:rPr>
          <w:rFonts w:ascii="Times New Roman" w:hAnsi="Times New Roman"/>
          <w:b/>
          <w:bCs/>
          <w:sz w:val="24"/>
        </w:rPr>
        <w:t>OPIS SADAŠNJEG STANJA GRAĐEVINE:</w:t>
      </w:r>
    </w:p>
    <w:p w:rsidR="00012172" w:rsidRDefault="00012172">
      <w:pPr>
        <w:pStyle w:val="Tijeloteksta-uvlaka3"/>
        <w:ind w:left="0"/>
        <w:rPr>
          <w:rFonts w:cs="Arial"/>
        </w:rPr>
      </w:pPr>
      <w:r>
        <w:rPr>
          <w:rFonts w:cs="Arial"/>
        </w:rPr>
        <w:t>Objekt dvorca je djelomično podrumljena, jednokatna građevina. Tlocrt građevine je razveden u obliku slova ''U'', a glavno pročelje je okrenuto prema istoku. Sjeverni i južni ugao pročelja nadvisuju dvije cilindrične kule.</w:t>
      </w:r>
    </w:p>
    <w:p w:rsidR="00012172" w:rsidRDefault="00012172">
      <w:pPr>
        <w:pStyle w:val="Tijeloteksta-uvlaka3"/>
        <w:ind w:left="0"/>
        <w:rPr>
          <w:rFonts w:cs="Arial"/>
        </w:rPr>
      </w:pPr>
      <w:r>
        <w:rPr>
          <w:rFonts w:cs="Arial"/>
        </w:rPr>
        <w:t xml:space="preserve">Temelji su izvedeni od kamena, zidovi dijelom od lomljenog  kamena, a dijelom od pune opeke sa završnom obradom u žbuci. Prilikom zadnjeg pokušaja obnove (rekonstrukcije) dio pregradnih zidova izveden je od šuplje glinene opeke debljine </w:t>
      </w:r>
      <w:smartTag w:uri="urn:schemas-microsoft-com:office:smarttags" w:element="metricconverter">
        <w:smartTagPr>
          <w:attr w:name="ProductID" w:val="12 cm"/>
        </w:smartTagPr>
        <w:r>
          <w:rPr>
            <w:rFonts w:cs="Arial"/>
          </w:rPr>
          <w:t>12 cm</w:t>
        </w:r>
      </w:smartTag>
      <w:r>
        <w:rPr>
          <w:rFonts w:cs="Arial"/>
        </w:rPr>
        <w:t>, a obloženi su gips-kartonskim pločama i dijelom ožbukani grubom žbukom.</w:t>
      </w:r>
    </w:p>
    <w:p w:rsidR="00012172" w:rsidRDefault="00012172">
      <w:pPr>
        <w:pStyle w:val="Tijeloteksta-uvlaka3"/>
        <w:ind w:left="0"/>
        <w:rPr>
          <w:rFonts w:cs="Arial"/>
        </w:rPr>
      </w:pPr>
      <w:r>
        <w:rPr>
          <w:rFonts w:cs="Arial"/>
        </w:rPr>
        <w:lastRenderedPageBreak/>
        <w:t>Podovi u podrumu su zemljani, dok su u prizemlju i na katu prilikom zadnje rekonstrukcije izvedeni od betona, bez završne obrade.</w:t>
      </w:r>
    </w:p>
    <w:p w:rsidR="00012172" w:rsidRDefault="00012172">
      <w:pPr>
        <w:pStyle w:val="Tijeloteksta-uvlaka3"/>
        <w:ind w:left="0"/>
        <w:rPr>
          <w:rFonts w:cs="Arial"/>
        </w:rPr>
      </w:pPr>
      <w:r>
        <w:rPr>
          <w:rFonts w:cs="Arial"/>
        </w:rPr>
        <w:t xml:space="preserve">Stropovi u podrumu građevine su svođeni u prirodnom kamenu, u prizemlju i dijelu kata su svođeni u punoj opeci, a na preostalom dijelu kata izvedeni su kao drveni grednik obostrano obijen daskama. </w:t>
      </w:r>
    </w:p>
    <w:p w:rsidR="00012172" w:rsidRDefault="00012172">
      <w:pPr>
        <w:pStyle w:val="Tijeloteksta-uvlaka3"/>
        <w:ind w:left="0"/>
        <w:rPr>
          <w:rFonts w:cs="Arial"/>
        </w:rPr>
      </w:pPr>
      <w:r>
        <w:rPr>
          <w:rFonts w:cs="Arial"/>
        </w:rPr>
        <w:t>Krovište je višestrešno, drveno od piljene hrastove građe I klase, pokrov je dvostruko-utoreni biber crijep. Odvodnja oborinskih voda riješena je sa pocinčanom limarijom, dijelom starom, a dijelom novom.</w:t>
      </w:r>
    </w:p>
    <w:p w:rsidR="00012172" w:rsidRDefault="00012172">
      <w:pPr>
        <w:pStyle w:val="Tijeloteksta-uvlaka3"/>
        <w:ind w:left="0"/>
        <w:rPr>
          <w:rFonts w:cs="Arial"/>
        </w:rPr>
      </w:pPr>
      <w:r>
        <w:rPr>
          <w:rFonts w:cs="Arial"/>
        </w:rPr>
        <w:t>Vanjski prozori izvedeni su od punog drveta, kao dupli dvokrilni prozori sa ostakljenjem, no večina prozora je uništena, te je nužna zamjena ili potpuna sanacija stolarije. Vanjska ulazna vrata su drvena i najvećim dijelom su uništena, dok su unutarnja vrata uklonjena.</w:t>
      </w:r>
    </w:p>
    <w:p w:rsidR="00012172" w:rsidRDefault="00012172">
      <w:pPr>
        <w:pStyle w:val="Tijeloteksta-uvlaka3"/>
        <w:ind w:left="0"/>
        <w:rPr>
          <w:rFonts w:cs="Arial"/>
        </w:rPr>
      </w:pPr>
      <w:r>
        <w:rPr>
          <w:rFonts w:cs="Arial"/>
        </w:rPr>
        <w:t>U građevini je postojala komunalna infrastruktura vodovoda, kanalizacije, telefona i električne energije, ali je potpuno devastirana i nije u funkciji od 1995. god.</w:t>
      </w:r>
    </w:p>
    <w:p w:rsidR="00012172" w:rsidRDefault="00012172">
      <w:pPr>
        <w:pStyle w:val="Tijeloteksta-uvlaka3"/>
        <w:ind w:left="0"/>
        <w:rPr>
          <w:rFonts w:cs="Arial"/>
        </w:rPr>
      </w:pPr>
      <w:r>
        <w:rPr>
          <w:rFonts w:cs="Arial"/>
        </w:rPr>
        <w:t xml:space="preserve">U sklopu dvorca nalazi se i zemljište površine </w:t>
      </w:r>
      <w:smartTag w:uri="urn:schemas-microsoft-com:office:smarttags" w:element="metricconverter">
        <w:smartTagPr>
          <w:attr w:name="ProductID" w:val="3 ha"/>
        </w:smartTagPr>
        <w:r>
          <w:rPr>
            <w:rFonts w:cs="Arial"/>
          </w:rPr>
          <w:t>3 ha</w:t>
        </w:r>
      </w:smartTag>
      <w:r>
        <w:rPr>
          <w:rFonts w:cs="Arial"/>
        </w:rPr>
        <w:t xml:space="preserve"> i </w:t>
      </w:r>
      <w:smartTag w:uri="urn:schemas-microsoft-com:office:smarttags" w:element="metricconverter">
        <w:smartTagPr>
          <w:attr w:name="ProductID" w:val="7.208 m2"/>
        </w:smartTagPr>
        <w:r>
          <w:rPr>
            <w:rFonts w:cs="Arial"/>
          </w:rPr>
          <w:t>7.208 m</w:t>
        </w:r>
        <w:r>
          <w:rPr>
            <w:rFonts w:cs="Arial"/>
            <w:vertAlign w:val="superscript"/>
          </w:rPr>
          <w:t>2</w:t>
        </w:r>
      </w:smartTag>
      <w:r>
        <w:rPr>
          <w:rFonts w:cs="Arial"/>
        </w:rPr>
        <w:t>, na kojem se nalazi perivoj sa više vrijednih stabala platana i crnogorice. Pristup dvorcu riješen je preko asfaltirane pristupne ceste koja je devastirana.</w:t>
      </w:r>
    </w:p>
    <w:p w:rsidR="00012172" w:rsidRDefault="00012172">
      <w:pPr>
        <w:pStyle w:val="Tijeloteksta-uvlaka3"/>
        <w:ind w:left="0"/>
        <w:rPr>
          <w:rFonts w:ascii="Times New Roman" w:hAnsi="Times New Roman"/>
          <w:color w:val="FF0000"/>
        </w:rPr>
      </w:pPr>
    </w:p>
    <w:p w:rsidR="00012172" w:rsidRDefault="008F6679">
      <w:pPr>
        <w:pStyle w:val="Tijeloteksta-uvlaka3"/>
        <w:ind w:left="0"/>
        <w:jc w:val="center"/>
        <w:rPr>
          <w:rFonts w:ascii="Times New Roman" w:hAnsi="Times New Roman"/>
          <w:color w:val="FF0000"/>
        </w:rPr>
      </w:pPr>
      <w:r>
        <w:rPr>
          <w:rFonts w:ascii="Times New Roman" w:hAnsi="Times New Roman"/>
          <w:noProof/>
          <w:color w:val="FF0000"/>
        </w:rPr>
        <w:drawing>
          <wp:inline distT="0" distB="0" distL="0" distR="0">
            <wp:extent cx="3200400" cy="2400300"/>
            <wp:effectExtent l="19050" t="19050" r="19050" b="19050"/>
            <wp:docPr id="6" name="Slika 6" descr="P10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100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w="19050" cmpd="dbl">
                      <a:solidFill>
                        <a:srgbClr val="000000"/>
                      </a:solidFill>
                      <a:miter lim="800000"/>
                      <a:headEnd/>
                      <a:tailEnd/>
                    </a:ln>
                    <a:effectLst/>
                  </pic:spPr>
                </pic:pic>
              </a:graphicData>
            </a:graphic>
          </wp:inline>
        </w:drawing>
      </w:r>
    </w:p>
    <w:p w:rsidR="00012172" w:rsidRDefault="00012172">
      <w:pPr>
        <w:pStyle w:val="Opisslike"/>
        <w:jc w:val="center"/>
        <w:rPr>
          <w:b/>
          <w:bCs w:val="0"/>
        </w:rPr>
      </w:pPr>
      <w:r>
        <w:rPr>
          <w:b/>
          <w:bCs w:val="0"/>
        </w:rPr>
        <w:t>Slika 6: Dvorac u Gornjoj Rijeci</w:t>
      </w:r>
    </w:p>
    <w:p w:rsidR="00012172" w:rsidRDefault="00012172">
      <w:pPr>
        <w:pStyle w:val="Tijeloteksta-uvlaka3"/>
        <w:ind w:left="0"/>
        <w:jc w:val="center"/>
        <w:rPr>
          <w:rFonts w:ascii="Times New Roman" w:hAnsi="Times New Roman"/>
          <w:sz w:val="24"/>
        </w:rPr>
      </w:pPr>
    </w:p>
    <w:p w:rsidR="00012172" w:rsidRDefault="00012172">
      <w:pPr>
        <w:pStyle w:val="Tijeloteksta-uvlaka3"/>
        <w:ind w:left="0"/>
        <w:rPr>
          <w:rFonts w:ascii="Times New Roman" w:hAnsi="Times New Roman"/>
          <w:sz w:val="24"/>
        </w:rPr>
      </w:pPr>
    </w:p>
    <w:p w:rsidR="00012172" w:rsidRDefault="00012172">
      <w:pPr>
        <w:pStyle w:val="Tijeloteksta-uvlaka3"/>
        <w:ind w:left="0"/>
        <w:rPr>
          <w:rFonts w:ascii="Times New Roman" w:hAnsi="Times New Roman"/>
          <w:sz w:val="24"/>
        </w:rPr>
      </w:pPr>
    </w:p>
    <w:p w:rsidR="00012172" w:rsidRDefault="00012172">
      <w:pPr>
        <w:pStyle w:val="Tijeloteksta-uvlaka3"/>
        <w:ind w:left="0"/>
        <w:rPr>
          <w:rFonts w:ascii="Times New Roman" w:hAnsi="Times New Roman"/>
          <w:sz w:val="24"/>
        </w:rPr>
      </w:pPr>
    </w:p>
    <w:p w:rsidR="00012172" w:rsidRDefault="00012172">
      <w:pPr>
        <w:pStyle w:val="Tijeloteksta-uvlaka3"/>
        <w:ind w:left="0"/>
        <w:rPr>
          <w:rFonts w:ascii="Times New Roman" w:hAnsi="Times New Roman"/>
          <w:sz w:val="24"/>
        </w:rPr>
      </w:pPr>
    </w:p>
    <w:p w:rsidR="00012172" w:rsidRDefault="00012172">
      <w:pPr>
        <w:pStyle w:val="Tijeloteksta-uvlaka3"/>
        <w:ind w:left="0"/>
        <w:rPr>
          <w:rFonts w:ascii="Times New Roman" w:hAnsi="Times New Roman"/>
          <w:sz w:val="24"/>
        </w:rPr>
      </w:pPr>
    </w:p>
    <w:p w:rsidR="00012172" w:rsidRDefault="00012172">
      <w:pPr>
        <w:pStyle w:val="Tijeloteksta-uvlaka3"/>
        <w:ind w:left="0"/>
        <w:rPr>
          <w:rFonts w:ascii="Times New Roman" w:hAnsi="Times New Roman"/>
          <w:sz w:val="24"/>
        </w:rPr>
      </w:pPr>
    </w:p>
    <w:p w:rsidR="00012172" w:rsidRDefault="00012172">
      <w:pPr>
        <w:pStyle w:val="Tijeloteksta-uvlaka3"/>
        <w:ind w:left="0"/>
        <w:rPr>
          <w:rFonts w:ascii="Times New Roman" w:hAnsi="Times New Roman"/>
          <w:sz w:val="24"/>
        </w:rPr>
      </w:pPr>
    </w:p>
    <w:p w:rsidR="00012172" w:rsidRDefault="00012172">
      <w:pPr>
        <w:pStyle w:val="Tijeloteksta-uvlaka3"/>
        <w:ind w:left="0"/>
        <w:rPr>
          <w:rFonts w:ascii="Times New Roman" w:hAnsi="Times New Roman"/>
          <w:sz w:val="24"/>
        </w:rPr>
      </w:pPr>
    </w:p>
    <w:p w:rsidR="00012172" w:rsidRDefault="00012172">
      <w:pPr>
        <w:pStyle w:val="Tijeloteksta-uvlaka3"/>
        <w:ind w:left="0"/>
        <w:rPr>
          <w:rFonts w:ascii="Times New Roman" w:hAnsi="Times New Roman"/>
          <w:b/>
          <w:bCs/>
          <w:sz w:val="24"/>
        </w:rPr>
      </w:pPr>
      <w:r>
        <w:rPr>
          <w:rFonts w:ascii="Times New Roman" w:hAnsi="Times New Roman"/>
          <w:b/>
          <w:bCs/>
          <w:sz w:val="24"/>
        </w:rPr>
        <w:t>Korisna površina građevine:</w:t>
      </w:r>
    </w:p>
    <w:p w:rsidR="00012172" w:rsidRDefault="00012172"/>
    <w:p w:rsidR="00012172" w:rsidRDefault="00012172">
      <w:pPr>
        <w:rPr>
          <w:b/>
          <w:bCs/>
          <w:i/>
          <w:iCs/>
        </w:rPr>
      </w:pPr>
      <w:r>
        <w:tab/>
      </w:r>
      <w:r>
        <w:tab/>
      </w:r>
      <w:r>
        <w:rPr>
          <w:b/>
          <w:bCs/>
          <w:i/>
          <w:iCs/>
        </w:rPr>
        <w:t>Podrum:</w:t>
      </w:r>
      <w:r>
        <w:rPr>
          <w:b/>
          <w:bCs/>
          <w:i/>
          <w:iCs/>
        </w:rPr>
        <w:tab/>
      </w:r>
      <w:r>
        <w:rPr>
          <w:b/>
          <w:bCs/>
          <w:i/>
          <w:iCs/>
        </w:rPr>
        <w:tab/>
      </w:r>
      <w:r>
        <w:rPr>
          <w:b/>
          <w:bCs/>
          <w:i/>
          <w:iCs/>
        </w:rPr>
        <w:tab/>
        <w:t xml:space="preserve">  </w:t>
      </w:r>
      <w:smartTag w:uri="urn:schemas-microsoft-com:office:smarttags" w:element="metricconverter">
        <w:smartTagPr>
          <w:attr w:name="ProductID" w:val="12,94 m2"/>
        </w:smartTagPr>
        <w:r>
          <w:rPr>
            <w:b/>
            <w:bCs/>
            <w:i/>
            <w:iCs/>
          </w:rPr>
          <w:t>12,94 m</w:t>
        </w:r>
        <w:r>
          <w:rPr>
            <w:b/>
            <w:bCs/>
            <w:i/>
            <w:iCs/>
            <w:vertAlign w:val="superscript"/>
          </w:rPr>
          <w:t>2</w:t>
        </w:r>
      </w:smartTag>
    </w:p>
    <w:p w:rsidR="00012172" w:rsidRDefault="00012172">
      <w:pPr>
        <w:rPr>
          <w:b/>
          <w:bCs/>
          <w:i/>
          <w:iCs/>
          <w:vertAlign w:val="superscript"/>
        </w:rPr>
      </w:pPr>
      <w:r>
        <w:rPr>
          <w:b/>
          <w:bCs/>
          <w:i/>
          <w:iCs/>
        </w:rPr>
        <w:tab/>
      </w:r>
      <w:r>
        <w:rPr>
          <w:b/>
          <w:bCs/>
          <w:i/>
          <w:iCs/>
        </w:rPr>
        <w:tab/>
        <w:t>Prizemlje:</w:t>
      </w:r>
      <w:r>
        <w:rPr>
          <w:b/>
          <w:bCs/>
          <w:i/>
          <w:iCs/>
        </w:rPr>
        <w:tab/>
      </w:r>
      <w:r>
        <w:rPr>
          <w:b/>
          <w:bCs/>
          <w:i/>
          <w:iCs/>
        </w:rPr>
        <w:tab/>
      </w:r>
      <w:r>
        <w:rPr>
          <w:b/>
          <w:bCs/>
          <w:i/>
          <w:iCs/>
        </w:rPr>
        <w:tab/>
      </w:r>
      <w:smartTag w:uri="urn:schemas-microsoft-com:office:smarttags" w:element="metricconverter">
        <w:smartTagPr>
          <w:attr w:name="ProductID" w:val="559,37 m2"/>
        </w:smartTagPr>
        <w:r>
          <w:rPr>
            <w:b/>
            <w:bCs/>
            <w:i/>
            <w:iCs/>
          </w:rPr>
          <w:t>559,37 m</w:t>
        </w:r>
        <w:r>
          <w:rPr>
            <w:b/>
            <w:bCs/>
            <w:i/>
            <w:iCs/>
            <w:vertAlign w:val="superscript"/>
          </w:rPr>
          <w:t>2</w:t>
        </w:r>
      </w:smartTag>
    </w:p>
    <w:p w:rsidR="00012172" w:rsidRDefault="00012172">
      <w:pPr>
        <w:rPr>
          <w:b/>
          <w:bCs/>
          <w:i/>
          <w:iCs/>
        </w:rPr>
      </w:pPr>
      <w:r>
        <w:rPr>
          <w:b/>
          <w:bCs/>
          <w:i/>
          <w:iCs/>
        </w:rPr>
        <w:tab/>
      </w:r>
      <w:r>
        <w:rPr>
          <w:b/>
          <w:bCs/>
          <w:i/>
          <w:iCs/>
        </w:rPr>
        <w:tab/>
        <w:t>Kat:</w:t>
      </w:r>
      <w:r>
        <w:rPr>
          <w:b/>
          <w:bCs/>
          <w:i/>
          <w:iCs/>
        </w:rPr>
        <w:tab/>
      </w:r>
      <w:r>
        <w:rPr>
          <w:b/>
          <w:bCs/>
          <w:i/>
          <w:iCs/>
        </w:rPr>
        <w:tab/>
      </w:r>
      <w:r>
        <w:rPr>
          <w:b/>
          <w:bCs/>
          <w:i/>
          <w:iCs/>
        </w:rPr>
        <w:tab/>
      </w:r>
      <w:r>
        <w:rPr>
          <w:b/>
          <w:bCs/>
          <w:i/>
          <w:iCs/>
        </w:rPr>
        <w:tab/>
      </w:r>
      <w:smartTag w:uri="urn:schemas-microsoft-com:office:smarttags" w:element="metricconverter">
        <w:smartTagPr>
          <w:attr w:name="ProductID" w:val="625,28 m2"/>
        </w:smartTagPr>
        <w:r>
          <w:rPr>
            <w:b/>
            <w:bCs/>
            <w:i/>
            <w:iCs/>
          </w:rPr>
          <w:t>625,28 m</w:t>
        </w:r>
        <w:r>
          <w:rPr>
            <w:b/>
            <w:bCs/>
            <w:i/>
            <w:iCs/>
            <w:vertAlign w:val="superscript"/>
          </w:rPr>
          <w:t>2</w:t>
        </w:r>
      </w:smartTag>
    </w:p>
    <w:p w:rsidR="00012172" w:rsidRDefault="008F6679">
      <w:r>
        <w:rPr>
          <w:noProof/>
          <w:sz w:val="20"/>
        </w:rPr>
        <mc:AlternateContent>
          <mc:Choice Requires="wps">
            <w:drawing>
              <wp:anchor distT="0" distB="0" distL="114300" distR="114300" simplePos="0" relativeHeight="251657728" behindDoc="0" locked="0" layoutInCell="1" allowOverlap="1">
                <wp:simplePos x="0" y="0"/>
                <wp:positionH relativeFrom="column">
                  <wp:posOffset>800100</wp:posOffset>
                </wp:positionH>
                <wp:positionV relativeFrom="paragraph">
                  <wp:posOffset>53975</wp:posOffset>
                </wp:positionV>
                <wp:extent cx="2514600" cy="0"/>
                <wp:effectExtent l="9525" t="6350" r="9525" b="12700"/>
                <wp:wrapNone/>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25pt" to="26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ElkEg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"/>
            </w:pict>
          </mc:Fallback>
        </mc:AlternateContent>
      </w:r>
      <w:r w:rsidR="00012172">
        <w:tab/>
      </w:r>
    </w:p>
    <w:p w:rsidR="00012172" w:rsidRDefault="00012172">
      <w:pPr>
        <w:rPr>
          <w:b/>
          <w:bCs/>
        </w:rPr>
      </w:pPr>
      <w:r>
        <w:tab/>
      </w:r>
      <w:r>
        <w:tab/>
      </w:r>
      <w:r>
        <w:rPr>
          <w:b/>
          <w:bCs/>
        </w:rPr>
        <w:t>UKUPNO:</w:t>
      </w:r>
      <w:r>
        <w:rPr>
          <w:b/>
          <w:bCs/>
        </w:rPr>
        <w:tab/>
      </w:r>
      <w:r>
        <w:rPr>
          <w:b/>
          <w:bCs/>
        </w:rPr>
        <w:tab/>
      </w:r>
      <w:r>
        <w:rPr>
          <w:b/>
          <w:bCs/>
          <w:i/>
          <w:iCs/>
        </w:rPr>
        <w:t xml:space="preserve">         </w:t>
      </w:r>
      <w:smartTag w:uri="urn:schemas-microsoft-com:office:smarttags" w:element="metricconverter">
        <w:smartTagPr>
          <w:attr w:name="ProductID" w:val="1.197,59 m2"/>
        </w:smartTagPr>
        <w:r>
          <w:rPr>
            <w:b/>
            <w:bCs/>
            <w:i/>
            <w:iCs/>
          </w:rPr>
          <w:t>1.197,59 m</w:t>
        </w:r>
        <w:r>
          <w:rPr>
            <w:b/>
            <w:bCs/>
            <w:i/>
            <w:iCs/>
            <w:vertAlign w:val="superscript"/>
          </w:rPr>
          <w:t>2</w:t>
        </w:r>
      </w:smartTag>
    </w:p>
    <w:p w:rsidR="00012172" w:rsidRDefault="00012172"/>
    <w:p w:rsidR="00012172" w:rsidRDefault="00012172">
      <w:pPr>
        <w:jc w:val="both"/>
        <w:rPr>
          <w:rFonts w:ascii="Arial" w:hAnsi="Arial" w:cs="Arial"/>
          <w:b/>
          <w:sz w:val="22"/>
        </w:rPr>
      </w:pPr>
      <w:r>
        <w:rPr>
          <w:rFonts w:ascii="Arial" w:hAnsi="Arial" w:cs="Arial"/>
          <w:b/>
          <w:sz w:val="22"/>
        </w:rPr>
        <w:t>OKOLIŠ DVORCA</w:t>
      </w:r>
    </w:p>
    <w:p w:rsidR="00012172" w:rsidRDefault="00012172">
      <w:pPr>
        <w:pStyle w:val="Tijeloteksta"/>
        <w:jc w:val="both"/>
        <w:rPr>
          <w:rFonts w:ascii="Arial" w:hAnsi="Arial" w:cs="Arial"/>
          <w:sz w:val="22"/>
        </w:rPr>
      </w:pPr>
      <w:r>
        <w:rPr>
          <w:rFonts w:ascii="Arial" w:hAnsi="Arial" w:cs="Arial"/>
          <w:sz w:val="22"/>
        </w:rPr>
        <w:t xml:space="preserve">Uz dvorac Sidonije Rubido Erdëdi nazočna je manja parkovna površina (perivoj) u kojoj se mogu uočiti različiti hortikulturni primjerci (vazdazeleno i listopadno drveće te ponešto niskog </w:t>
      </w:r>
      <w:r>
        <w:rPr>
          <w:rFonts w:ascii="Arial" w:hAnsi="Arial" w:cs="Arial"/>
          <w:sz w:val="22"/>
        </w:rPr>
        <w:lastRenderedPageBreak/>
        <w:t>raslinja). Parkom dominira drvored jablana kojemu je potrebna hitna revitalizacija. Park sa svih strana obavija dvorac, dajući mu hlad i ugođaj mirnoće. Sa stražnje strane dvorca se može naći veći broj vazdazelenih primjeraka: crni bor (</w:t>
      </w:r>
      <w:r>
        <w:rPr>
          <w:rFonts w:ascii="Arial" w:hAnsi="Arial" w:cs="Arial"/>
          <w:i/>
          <w:iCs/>
          <w:sz w:val="22"/>
        </w:rPr>
        <w:t>Pinus nigra</w:t>
      </w:r>
      <w:r>
        <w:rPr>
          <w:rFonts w:ascii="Arial" w:hAnsi="Arial" w:cs="Arial"/>
          <w:sz w:val="22"/>
        </w:rPr>
        <w:t xml:space="preserve"> Arnold.), bijeli bor (</w:t>
      </w:r>
      <w:r>
        <w:rPr>
          <w:rFonts w:ascii="Arial" w:hAnsi="Arial" w:cs="Arial"/>
          <w:i/>
          <w:iCs/>
          <w:sz w:val="22"/>
        </w:rPr>
        <w:t>Pinus sylvestris</w:t>
      </w:r>
      <w:r>
        <w:rPr>
          <w:rFonts w:ascii="Arial" w:hAnsi="Arial" w:cs="Arial"/>
          <w:sz w:val="22"/>
        </w:rPr>
        <w:t xml:space="preserve"> L.), tisa (</w:t>
      </w:r>
      <w:r>
        <w:rPr>
          <w:rFonts w:ascii="Arial" w:hAnsi="Arial" w:cs="Arial"/>
          <w:i/>
          <w:iCs/>
          <w:sz w:val="22"/>
        </w:rPr>
        <w:t>Taxus baccata</w:t>
      </w:r>
      <w:r>
        <w:rPr>
          <w:rFonts w:ascii="Arial" w:hAnsi="Arial" w:cs="Arial"/>
          <w:sz w:val="22"/>
        </w:rPr>
        <w:t xml:space="preserve"> L.), te primjerci porodice čempresa. Ostatak parka je određena mješavina raslinja, među kojima je nekoliko starih stabala i ponešto egzota dobre vitalnosti. Park je godinama neodržavan i zapušten, te su vidljivi znaci njegovog zaraštavanja i polagane sukcesije prema klimazonalnoj šumi. Sukcesija se uočava povećanom prisutnošću niskog raslinja: crna bazga (</w:t>
      </w:r>
      <w:r>
        <w:rPr>
          <w:rFonts w:ascii="Arial" w:hAnsi="Arial" w:cs="Arial"/>
          <w:i/>
          <w:iCs/>
          <w:sz w:val="22"/>
        </w:rPr>
        <w:t>Sambucus nigra</w:t>
      </w:r>
      <w:r>
        <w:rPr>
          <w:rFonts w:ascii="Arial" w:hAnsi="Arial" w:cs="Arial"/>
          <w:sz w:val="22"/>
        </w:rPr>
        <w:t xml:space="preserve"> L.), obična pavitina (</w:t>
      </w:r>
      <w:r>
        <w:rPr>
          <w:rFonts w:ascii="Arial" w:hAnsi="Arial" w:cs="Arial"/>
          <w:i/>
          <w:iCs/>
          <w:sz w:val="22"/>
        </w:rPr>
        <w:t>Clematis vitalba</w:t>
      </w:r>
      <w:r>
        <w:rPr>
          <w:rFonts w:ascii="Arial" w:hAnsi="Arial" w:cs="Arial"/>
          <w:sz w:val="22"/>
        </w:rPr>
        <w:t xml:space="preserve"> L.), kurika (</w:t>
      </w:r>
      <w:r>
        <w:rPr>
          <w:rFonts w:ascii="Arial" w:hAnsi="Arial" w:cs="Arial"/>
          <w:i/>
          <w:iCs/>
          <w:sz w:val="22"/>
        </w:rPr>
        <w:t>Euonymus europaea</w:t>
      </w:r>
      <w:r>
        <w:rPr>
          <w:rFonts w:ascii="Arial" w:hAnsi="Arial" w:cs="Arial"/>
          <w:sz w:val="22"/>
        </w:rPr>
        <w:t xml:space="preserve"> L.), obična kalina (</w:t>
      </w:r>
      <w:r>
        <w:rPr>
          <w:rFonts w:ascii="Arial" w:hAnsi="Arial" w:cs="Arial"/>
          <w:i/>
          <w:iCs/>
          <w:sz w:val="22"/>
        </w:rPr>
        <w:t>Ligustrum vulgare</w:t>
      </w:r>
      <w:r>
        <w:rPr>
          <w:rFonts w:ascii="Arial" w:hAnsi="Arial" w:cs="Arial"/>
          <w:sz w:val="22"/>
        </w:rPr>
        <w:t xml:space="preserve"> L.) i dr.</w:t>
      </w:r>
    </w:p>
    <w:p w:rsidR="00012172" w:rsidRDefault="00012172">
      <w:pPr>
        <w:pStyle w:val="Tijeloteksta"/>
        <w:jc w:val="both"/>
        <w:rPr>
          <w:rFonts w:ascii="Arial" w:hAnsi="Arial" w:cs="Arial"/>
          <w:sz w:val="22"/>
        </w:rPr>
      </w:pPr>
      <w:r>
        <w:rPr>
          <w:rFonts w:ascii="Arial" w:hAnsi="Arial" w:cs="Arial"/>
          <w:sz w:val="22"/>
        </w:rPr>
        <w:t>Na livadi pored dvorca, unutar parkovne površine se nalazi manje jezero sa vlastitim izvorom kojeg svakako treba sačuvati i spriječiti njegovo daljnje onečišćenje.</w:t>
      </w:r>
    </w:p>
    <w:p w:rsidR="00012172" w:rsidRDefault="00012172">
      <w:pPr>
        <w:jc w:val="both"/>
        <w:rPr>
          <w:rFonts w:ascii="Arial" w:hAnsi="Arial" w:cs="Arial"/>
          <w:b/>
          <w:sz w:val="22"/>
        </w:rPr>
      </w:pPr>
      <w:r>
        <w:rPr>
          <w:rFonts w:ascii="Arial" w:hAnsi="Arial" w:cs="Arial"/>
          <w:b/>
          <w:sz w:val="22"/>
        </w:rPr>
        <w:t xml:space="preserve">Crkva Uznesenja B. D. Marije, Gornja Rijeka </w:t>
      </w:r>
    </w:p>
    <w:p w:rsidR="00012172" w:rsidRDefault="00012172">
      <w:pPr>
        <w:jc w:val="both"/>
        <w:rPr>
          <w:rFonts w:ascii="Arial" w:hAnsi="Arial" w:cs="Arial"/>
          <w:sz w:val="22"/>
        </w:rPr>
      </w:pPr>
      <w:r>
        <w:rPr>
          <w:rFonts w:ascii="Arial" w:hAnsi="Arial" w:cs="Arial"/>
          <w:sz w:val="22"/>
        </w:rPr>
        <w:t xml:space="preserve">Nalazi se u središtu naselja. Postojenje crve veže se  uz  13.st. u vrijeme spominjanja grada Malog Kalnika 1240-50.g. 1318. pa 1334.g. crkva Uznesenja Marijina već se spominje kao župna. Najstariji sačuvani element crkve je zvonik-kula koji se sačuvao u izvornom gotičkom obliku iz 15/16.st. sa sačuvanim strijelnicama na vrhu. U toj fazi crkva je imala strop koji je kasnije zamijenjen svodom. Početkom 18.st. crkva se spominje kao dvobrodna, kada se otvaraju prozori i gradi pjevalište. Radikalno preoblikovanje dešava se 1892.g. kada se formira jedinstven pravokutni prostor djelomično ojačan s vanjske strane kontraforima rušenjem stupova i svodova, a svetište se premješta iz osi nekadašnjeg južnog broda u os novog jedinstvenog broda. Time je stvorena kapela južno od svetišta. Čitava crkva pokrivena je stropom osim svetišta s križnim svodom, a sakristija bačvastim. </w:t>
      </w:r>
    </w:p>
    <w:p w:rsidR="00012172" w:rsidRDefault="00012172">
      <w:pPr>
        <w:jc w:val="both"/>
        <w:rPr>
          <w:rFonts w:ascii="Arial" w:hAnsi="Arial" w:cs="Arial"/>
          <w:sz w:val="22"/>
        </w:rPr>
      </w:pPr>
      <w:r>
        <w:rPr>
          <w:rFonts w:ascii="Arial" w:hAnsi="Arial" w:cs="Arial"/>
          <w:sz w:val="22"/>
        </w:rPr>
        <w:t>Glavni oltar je s kraja 19.st. sa kipovima sv. Petra i Pavla iz 1754.g. Lijevi bočni oltar Sv. Fabijana i Sebastijana je iz 1735.g. a u lađi se nalazi mali rokoko oltar iz nekadašnje dvorske kapele dvorca G. Rijeka. U crkvi su još sačuvane kamene skulpture Žalosne Majke iz 17.st. i kip sv. Barbare iz 1777.g. propovjedaonica je s kraja 19.st., neogotička. Zidni islik izradio je Petar Orlić.</w:t>
      </w:r>
    </w:p>
    <w:p w:rsidR="00012172" w:rsidRDefault="00012172">
      <w:pPr>
        <w:jc w:val="both"/>
        <w:rPr>
          <w:rFonts w:ascii="Arial" w:hAnsi="Arial" w:cs="Arial"/>
          <w:sz w:val="22"/>
        </w:rPr>
      </w:pPr>
      <w:r>
        <w:rPr>
          <w:rFonts w:ascii="Arial" w:hAnsi="Arial" w:cs="Arial"/>
          <w:sz w:val="22"/>
        </w:rPr>
        <w:t>Crkva je u dobrom stanju.</w:t>
      </w:r>
    </w:p>
    <w:p w:rsidR="00012172" w:rsidRDefault="00012172"/>
    <w:p w:rsidR="00012172" w:rsidRDefault="008F6679">
      <w:r>
        <w:rPr>
          <w:noProof/>
        </w:rPr>
        <w:drawing>
          <wp:inline distT="0" distB="0" distL="0" distR="0">
            <wp:extent cx="2514600" cy="1968500"/>
            <wp:effectExtent l="19050" t="19050" r="19050" b="12700"/>
            <wp:docPr id="7" name="Slika 7" descr="P101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100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1968500"/>
                    </a:xfrm>
                    <a:prstGeom prst="rect">
                      <a:avLst/>
                    </a:prstGeom>
                    <a:noFill/>
                    <a:ln w="19050" cmpd="dbl">
                      <a:solidFill>
                        <a:srgbClr val="000000"/>
                      </a:solidFill>
                      <a:miter lim="800000"/>
                      <a:headEnd/>
                      <a:tailEnd/>
                    </a:ln>
                    <a:effectLst/>
                  </pic:spPr>
                </pic:pic>
              </a:graphicData>
            </a:graphic>
          </wp:inline>
        </w:drawing>
      </w:r>
      <w:r w:rsidR="00012172">
        <w:t xml:space="preserve">               </w:t>
      </w:r>
      <w:r>
        <w:rPr>
          <w:noProof/>
        </w:rPr>
        <w:drawing>
          <wp:inline distT="0" distB="0" distL="0" distR="0">
            <wp:extent cx="2590800" cy="1943100"/>
            <wp:effectExtent l="19050" t="19050" r="19050" b="19050"/>
            <wp:docPr id="8" name="Slika 8" descr="P101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100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w="19050" cmpd="dbl">
                      <a:solidFill>
                        <a:srgbClr val="000000"/>
                      </a:solidFill>
                      <a:miter lim="800000"/>
                      <a:headEnd/>
                      <a:tailEnd/>
                    </a:ln>
                    <a:effectLst/>
                  </pic:spPr>
                </pic:pic>
              </a:graphicData>
            </a:graphic>
          </wp:inline>
        </w:drawing>
      </w:r>
    </w:p>
    <w:p w:rsidR="00012172" w:rsidRDefault="00012172">
      <w:pPr>
        <w:pStyle w:val="Opisslike"/>
      </w:pPr>
      <w:bookmarkStart w:id="24" w:name="_Toc135185918"/>
      <w:r>
        <w:t xml:space="preserve">Slika </w:t>
      </w:r>
      <w:r>
        <w:fldChar w:fldCharType="begin"/>
      </w:r>
      <w:r>
        <w:instrText xml:space="preserve"> SEQ Slika \* ARABIC </w:instrText>
      </w:r>
      <w:r>
        <w:fldChar w:fldCharType="separate"/>
      </w:r>
      <w:r w:rsidR="002B1815">
        <w:rPr>
          <w:noProof/>
        </w:rPr>
        <w:t>5</w:t>
      </w:r>
      <w:r>
        <w:fldChar w:fldCharType="end"/>
      </w:r>
      <w:r>
        <w:t>. Crkva Uznesenja Marijina u Gornjoj Rijeci</w:t>
      </w:r>
      <w:r>
        <w:tab/>
        <w:t xml:space="preserve">Slika </w:t>
      </w:r>
      <w:r>
        <w:fldChar w:fldCharType="begin"/>
      </w:r>
      <w:r>
        <w:instrText xml:space="preserve"> SEQ Slika \* ARABIC </w:instrText>
      </w:r>
      <w:r>
        <w:fldChar w:fldCharType="separate"/>
      </w:r>
      <w:r w:rsidR="002B1815">
        <w:rPr>
          <w:noProof/>
        </w:rPr>
        <w:t>6</w:t>
      </w:r>
      <w:r>
        <w:fldChar w:fldCharType="end"/>
      </w:r>
      <w:r>
        <w:t>. Grb obitelji Erdody-Zichy na zvoniku</w:t>
      </w:r>
      <w:bookmarkEnd w:id="24"/>
      <w:r>
        <w:tab/>
      </w:r>
      <w:r>
        <w:tab/>
      </w:r>
    </w:p>
    <w:p w:rsidR="00012172" w:rsidRDefault="00012172"/>
    <w:p w:rsidR="00012172" w:rsidRDefault="00012172"/>
    <w:p w:rsidR="00012172" w:rsidRDefault="00012172">
      <w:pPr>
        <w:pStyle w:val="Naslov7"/>
        <w:rPr>
          <w:rFonts w:cs="Arial"/>
          <w:szCs w:val="24"/>
        </w:rPr>
      </w:pPr>
      <w:r>
        <w:rPr>
          <w:rFonts w:cs="Arial"/>
          <w:szCs w:val="24"/>
        </w:rPr>
        <w:t>Župni dvor, Gornja Rijeka</w:t>
      </w:r>
    </w:p>
    <w:p w:rsidR="00012172" w:rsidRDefault="00012172">
      <w:pPr>
        <w:jc w:val="both"/>
        <w:rPr>
          <w:rFonts w:ascii="Arial" w:hAnsi="Arial" w:cs="Arial"/>
          <w:sz w:val="22"/>
        </w:rPr>
      </w:pPr>
      <w:r>
        <w:rPr>
          <w:rFonts w:ascii="Arial" w:hAnsi="Arial" w:cs="Arial"/>
          <w:sz w:val="22"/>
        </w:rPr>
        <w:t xml:space="preserve">Župni dvor građen je 1765.g. na mjestu starijeg od drva. Građevina je jednokatnica pravokutnog tlocrta s dvostrešnim krovištem, građena od cigle. Prizemne prostorije presvođene su, dok je u gornjima strop. Na pročeljima su u žbuci izrađene pojasnice. Južno pročelje je najreprezentativnije rastvoreno u prizemlju s tri, a na katu s pet prozorskih otvora. Ostala su skromnija. </w:t>
      </w:r>
    </w:p>
    <w:p w:rsidR="00012172" w:rsidRDefault="00012172">
      <w:pPr>
        <w:jc w:val="both"/>
        <w:rPr>
          <w:sz w:val="22"/>
        </w:rPr>
      </w:pPr>
    </w:p>
    <w:p w:rsidR="00012172" w:rsidRDefault="00012172">
      <w:pPr>
        <w:jc w:val="both"/>
        <w:rPr>
          <w:sz w:val="22"/>
        </w:rPr>
      </w:pPr>
    </w:p>
    <w:p w:rsidR="00012172" w:rsidRDefault="00012172">
      <w:pPr>
        <w:jc w:val="both"/>
        <w:rPr>
          <w:rFonts w:ascii="Arial" w:hAnsi="Arial" w:cs="Arial"/>
          <w:sz w:val="22"/>
        </w:rPr>
      </w:pPr>
      <w:r>
        <w:rPr>
          <w:rFonts w:ascii="Arial" w:hAnsi="Arial" w:cs="Arial"/>
          <w:b/>
          <w:sz w:val="22"/>
        </w:rPr>
        <w:lastRenderedPageBreak/>
        <w:t xml:space="preserve">Filijalna crkva Sv. Franje Ksaverskog, Dropkovec </w:t>
      </w:r>
    </w:p>
    <w:p w:rsidR="00012172" w:rsidRDefault="00012172">
      <w:pPr>
        <w:jc w:val="both"/>
        <w:rPr>
          <w:rFonts w:ascii="Arial" w:hAnsi="Arial" w:cs="Arial"/>
          <w:sz w:val="22"/>
        </w:rPr>
      </w:pPr>
      <w:r>
        <w:rPr>
          <w:rFonts w:ascii="Arial" w:hAnsi="Arial" w:cs="Arial"/>
          <w:sz w:val="22"/>
        </w:rPr>
        <w:t>Sagrađena 1771.g. na mjestu starije drvene kapele, koja se u vizitacijama spominje prvi puta 1704.g. Centralna građevina s lađom kružnog tlocrta, nadsvođena je kupolom na pandantivima s osmerokutnom lanternom. Lađi je priključeno kvadratno svetište s užom, plitkom, zaobljenom apsidom. Uz svetište sa sjeverne strane građevine nalazi se pravokutna sakristija. 1832.g. dograđen je masivni zvonik. Kasnije je umjesto šindre na krov stavljen lim. Vrlo rijetko tlocrtno-prostorno rješenje koje upućuje na učenog donatora i majstora graditelja.</w:t>
      </w:r>
    </w:p>
    <w:p w:rsidR="00012172" w:rsidRDefault="00012172">
      <w:pPr>
        <w:rPr>
          <w:rFonts w:ascii="Arial" w:hAnsi="Arial" w:cs="Arial"/>
          <w:sz w:val="22"/>
        </w:rPr>
      </w:pPr>
      <w:r>
        <w:rPr>
          <w:rFonts w:ascii="Arial" w:hAnsi="Arial" w:cs="Arial"/>
          <w:sz w:val="22"/>
        </w:rPr>
        <w:t>Glavni oltar iz 1740.g. Bočni oltari “Pokolj nevine djece” i sv. Valentina (Lovre) iz 18.st. s radovima varaždinskog kipara Altenbacha. Orgulje iz 1833.g. od graditelja Jeremića. Obnovljeni zvonik i lanterna.</w:t>
      </w:r>
    </w:p>
    <w:p w:rsidR="00012172" w:rsidRDefault="00012172">
      <w:pPr>
        <w:rPr>
          <w:rFonts w:ascii="Arial" w:hAnsi="Arial" w:cs="Arial"/>
          <w:sz w:val="22"/>
        </w:rPr>
      </w:pPr>
    </w:p>
    <w:p w:rsidR="00012172" w:rsidRDefault="00012172">
      <w:pPr>
        <w:jc w:val="both"/>
        <w:rPr>
          <w:rFonts w:ascii="Arial" w:hAnsi="Arial" w:cs="Arial"/>
          <w:b/>
          <w:sz w:val="22"/>
        </w:rPr>
      </w:pPr>
      <w:r>
        <w:rPr>
          <w:rFonts w:ascii="Arial" w:hAnsi="Arial" w:cs="Arial"/>
          <w:b/>
          <w:sz w:val="22"/>
        </w:rPr>
        <w:t xml:space="preserve">Kapela Sv. Križa, Fodrovec Riječki </w:t>
      </w:r>
    </w:p>
    <w:p w:rsidR="00012172" w:rsidRDefault="00012172">
      <w:pPr>
        <w:rPr>
          <w:rFonts w:ascii="Arial" w:hAnsi="Arial" w:cs="Arial"/>
          <w:sz w:val="22"/>
        </w:rPr>
      </w:pPr>
      <w:r>
        <w:rPr>
          <w:rFonts w:ascii="Arial" w:hAnsi="Arial" w:cs="Arial"/>
          <w:sz w:val="22"/>
        </w:rPr>
        <w:t xml:space="preserve">Sagrađena 1938.g. </w:t>
      </w:r>
    </w:p>
    <w:p w:rsidR="00012172" w:rsidRDefault="00012172">
      <w:pPr>
        <w:rPr>
          <w:sz w:val="22"/>
        </w:rPr>
      </w:pPr>
    </w:p>
    <w:p w:rsidR="00012172" w:rsidRDefault="00012172">
      <w:pPr>
        <w:pStyle w:val="Naslov4"/>
        <w:spacing w:before="0" w:after="0"/>
        <w:rPr>
          <w:rFonts w:cs="Arial"/>
          <w:sz w:val="22"/>
          <w:szCs w:val="24"/>
          <w:lang w:val="hr-HR"/>
        </w:rPr>
      </w:pPr>
      <w:r>
        <w:rPr>
          <w:rFonts w:cs="Arial"/>
          <w:sz w:val="22"/>
          <w:szCs w:val="24"/>
          <w:lang w:val="hr-HR"/>
        </w:rPr>
        <w:t xml:space="preserve">Kapela Sv. Ane, Kolarec </w:t>
      </w:r>
    </w:p>
    <w:p w:rsidR="00012172" w:rsidRDefault="00012172">
      <w:pPr>
        <w:rPr>
          <w:b/>
          <w:sz w:val="22"/>
        </w:rPr>
      </w:pPr>
    </w:p>
    <w:p w:rsidR="00012172" w:rsidRDefault="00012172">
      <w:pPr>
        <w:pStyle w:val="Naslov6"/>
        <w:rPr>
          <w:rFonts w:cs="Arial"/>
          <w:bCs w:val="0"/>
        </w:rPr>
      </w:pPr>
      <w:r>
        <w:rPr>
          <w:rFonts w:cs="Arial"/>
          <w:bCs w:val="0"/>
        </w:rPr>
        <w:t>Kapela sv. Nikole Tavelića, Pofuki</w:t>
      </w:r>
    </w:p>
    <w:p w:rsidR="00012172" w:rsidRDefault="00012172">
      <w:pPr>
        <w:rPr>
          <w:rFonts w:ascii="Arial" w:hAnsi="Arial" w:cs="Arial"/>
          <w:sz w:val="22"/>
        </w:rPr>
      </w:pPr>
      <w:r>
        <w:rPr>
          <w:rFonts w:ascii="Arial" w:hAnsi="Arial" w:cs="Arial"/>
          <w:sz w:val="22"/>
        </w:rPr>
        <w:t xml:space="preserve">Sagrađena 1975.g. </w:t>
      </w:r>
    </w:p>
    <w:p w:rsidR="00012172" w:rsidRDefault="00012172">
      <w:pPr>
        <w:rPr>
          <w:b/>
          <w:sz w:val="22"/>
        </w:rPr>
      </w:pPr>
    </w:p>
    <w:p w:rsidR="00012172" w:rsidRDefault="00012172">
      <w:pPr>
        <w:pStyle w:val="Naslov4"/>
        <w:spacing w:before="0" w:after="0"/>
        <w:rPr>
          <w:rFonts w:cs="Arial"/>
          <w:sz w:val="22"/>
          <w:szCs w:val="24"/>
          <w:lang w:val="hr-HR"/>
        </w:rPr>
      </w:pPr>
      <w:r>
        <w:rPr>
          <w:rFonts w:cs="Arial"/>
          <w:sz w:val="22"/>
          <w:szCs w:val="24"/>
          <w:lang w:val="hr-HR"/>
        </w:rPr>
        <w:t>Kapela sv. Josipa, Vukšinec Riječki</w:t>
      </w:r>
    </w:p>
    <w:p w:rsidR="00012172" w:rsidRDefault="00012172">
      <w:pPr>
        <w:rPr>
          <w:b/>
          <w:sz w:val="22"/>
        </w:rPr>
      </w:pPr>
    </w:p>
    <w:p w:rsidR="00012172" w:rsidRDefault="00012172">
      <w:pPr>
        <w:jc w:val="both"/>
        <w:rPr>
          <w:rFonts w:ascii="Arial" w:hAnsi="Arial" w:cs="Arial"/>
          <w:b/>
          <w:sz w:val="22"/>
        </w:rPr>
      </w:pPr>
      <w:r>
        <w:rPr>
          <w:rFonts w:ascii="Arial" w:hAnsi="Arial" w:cs="Arial"/>
          <w:b/>
          <w:sz w:val="22"/>
        </w:rPr>
        <w:t>Stambena zgrada, Gornja Rijeka</w:t>
      </w:r>
    </w:p>
    <w:p w:rsidR="00012172" w:rsidRDefault="00012172">
      <w:pPr>
        <w:rPr>
          <w:rFonts w:ascii="Arial" w:hAnsi="Arial" w:cs="Arial"/>
          <w:sz w:val="22"/>
        </w:rPr>
      </w:pPr>
      <w:r>
        <w:rPr>
          <w:rFonts w:ascii="Arial" w:hAnsi="Arial" w:cs="Arial"/>
          <w:sz w:val="22"/>
        </w:rPr>
        <w:t>Nalazi se na cesti koja vodi od središta naselja prema Sudovcu. Građevina je dugačka katnica, s erkerom na zapadnom uglu. U prizemlju građevine se smještena je trgovina. Secesija.</w:t>
      </w:r>
    </w:p>
    <w:p w:rsidR="00012172" w:rsidRDefault="00012172">
      <w:pPr>
        <w:rPr>
          <w:sz w:val="22"/>
        </w:rPr>
      </w:pPr>
    </w:p>
    <w:p w:rsidR="00012172" w:rsidRDefault="00012172">
      <w:pPr>
        <w:jc w:val="both"/>
        <w:rPr>
          <w:rFonts w:ascii="Arial" w:hAnsi="Arial" w:cs="Arial"/>
          <w:b/>
          <w:sz w:val="22"/>
        </w:rPr>
      </w:pPr>
      <w:r>
        <w:rPr>
          <w:rFonts w:ascii="Arial" w:hAnsi="Arial" w:cs="Arial"/>
          <w:b/>
          <w:sz w:val="22"/>
        </w:rPr>
        <w:t>Zgrada škole, Gornja Rijeka</w:t>
      </w:r>
    </w:p>
    <w:p w:rsidR="00012172" w:rsidRDefault="00012172">
      <w:pPr>
        <w:rPr>
          <w:rFonts w:ascii="Arial" w:hAnsi="Arial" w:cs="Arial"/>
          <w:sz w:val="22"/>
        </w:rPr>
      </w:pPr>
      <w:r>
        <w:rPr>
          <w:rFonts w:ascii="Arial" w:hAnsi="Arial" w:cs="Arial"/>
          <w:sz w:val="22"/>
        </w:rPr>
        <w:t>Sagrađena 1857.g. Poslije II.svj. rata škola preseljena u dvorac, kasnije izgrađena nova zgrada, a u zgradu stare škole useljuje se ambulanta. Građevina je devastirana posljednjom obnovom.</w:t>
      </w:r>
    </w:p>
    <w:p w:rsidR="00012172" w:rsidRDefault="00012172">
      <w:pPr>
        <w:rPr>
          <w:sz w:val="22"/>
        </w:rPr>
      </w:pPr>
    </w:p>
    <w:p w:rsidR="00012172" w:rsidRDefault="00012172">
      <w:pPr>
        <w:jc w:val="both"/>
        <w:rPr>
          <w:rFonts w:ascii="Arial" w:hAnsi="Arial" w:cs="Arial"/>
          <w:sz w:val="22"/>
        </w:rPr>
      </w:pPr>
      <w:r>
        <w:rPr>
          <w:rFonts w:ascii="Arial" w:hAnsi="Arial" w:cs="Arial"/>
          <w:b/>
          <w:sz w:val="22"/>
        </w:rPr>
        <w:t xml:space="preserve">Zgrada Općine, Gornja Rijeka, </w:t>
      </w:r>
    </w:p>
    <w:p w:rsidR="00012172" w:rsidRDefault="00012172">
      <w:pPr>
        <w:rPr>
          <w:rFonts w:ascii="Arial" w:hAnsi="Arial" w:cs="Arial"/>
          <w:sz w:val="22"/>
        </w:rPr>
      </w:pPr>
      <w:r>
        <w:rPr>
          <w:rFonts w:ascii="Arial" w:hAnsi="Arial" w:cs="Arial"/>
          <w:sz w:val="22"/>
        </w:rPr>
        <w:t>Autor arh. F. Florschutz.</w:t>
      </w:r>
      <w:r>
        <w:rPr>
          <w:rFonts w:ascii="Arial" w:hAnsi="Arial" w:cs="Arial"/>
          <w:b/>
          <w:sz w:val="22"/>
        </w:rPr>
        <w:t xml:space="preserve"> </w:t>
      </w:r>
      <w:r>
        <w:rPr>
          <w:rFonts w:ascii="Arial" w:hAnsi="Arial" w:cs="Arial"/>
          <w:sz w:val="22"/>
        </w:rPr>
        <w:t>Sagrađena je 1956.g.</w:t>
      </w:r>
    </w:p>
    <w:p w:rsidR="00012172" w:rsidRDefault="00012172">
      <w:pPr>
        <w:rPr>
          <w:sz w:val="22"/>
        </w:rPr>
      </w:pPr>
    </w:p>
    <w:p w:rsidR="00012172" w:rsidRDefault="00012172">
      <w:pPr>
        <w:pStyle w:val="Naslov4"/>
        <w:spacing w:before="0" w:after="0"/>
        <w:rPr>
          <w:rFonts w:cs="Arial"/>
          <w:bCs/>
          <w:sz w:val="22"/>
          <w:szCs w:val="24"/>
          <w:lang w:val="hr-HR"/>
        </w:rPr>
      </w:pPr>
      <w:r>
        <w:rPr>
          <w:rFonts w:cs="Arial"/>
          <w:bCs/>
          <w:sz w:val="22"/>
          <w:szCs w:val="24"/>
          <w:lang w:val="hr-HR"/>
        </w:rPr>
        <w:t>Lokalitet Mali Kalnik, Gornja Rijeka</w:t>
      </w:r>
    </w:p>
    <w:p w:rsidR="00012172" w:rsidRDefault="00012172">
      <w:pPr>
        <w:jc w:val="both"/>
        <w:rPr>
          <w:rFonts w:ascii="Arial" w:hAnsi="Arial" w:cs="Arial"/>
          <w:sz w:val="22"/>
        </w:rPr>
      </w:pPr>
      <w:r>
        <w:rPr>
          <w:rFonts w:ascii="Arial" w:hAnsi="Arial" w:cs="Arial"/>
          <w:sz w:val="22"/>
        </w:rPr>
        <w:t xml:space="preserve">Ostaci grada Malog Kalnika leže na stjenovitom brdu sjeveroistočno od Gornje Rijeke. Posjed Mali Kalnik spominje se prvi pu 1240. god. Grad su kroz stoljeća posjedovali, među ostalim, kralj Sigismund, kralj Matija Korvin, Vladislav Kosača, ban Ivan Korvin, obitelji Gezthy, i Orehoczy. Grad je napušten u </w:t>
      </w:r>
      <w:smartTag w:uri="urn:schemas-microsoft-com:office:smarttags" w:element="metricconverter">
        <w:smartTagPr>
          <w:attr w:name="ProductID" w:val="17. st"/>
        </w:smartTagPr>
        <w:r>
          <w:rPr>
            <w:rFonts w:ascii="Arial" w:hAnsi="Arial" w:cs="Arial"/>
            <w:sz w:val="22"/>
          </w:rPr>
          <w:t>17. st</w:t>
        </w:r>
      </w:smartTag>
    </w:p>
    <w:p w:rsidR="00012172" w:rsidRDefault="00012172">
      <w:pPr>
        <w:rPr>
          <w:sz w:val="22"/>
        </w:rPr>
      </w:pPr>
    </w:p>
    <w:p w:rsidR="00012172" w:rsidRDefault="00012172">
      <w:pPr>
        <w:jc w:val="both"/>
        <w:rPr>
          <w:rFonts w:ascii="Arial" w:hAnsi="Arial" w:cs="Arial"/>
          <w:sz w:val="22"/>
        </w:rPr>
      </w:pPr>
      <w:r>
        <w:rPr>
          <w:rFonts w:ascii="Arial" w:hAnsi="Arial" w:cs="Arial"/>
          <w:b/>
          <w:sz w:val="22"/>
        </w:rPr>
        <w:t>Kapela sv. Barbare, Gornja Rijeka</w:t>
      </w:r>
    </w:p>
    <w:p w:rsidR="00012172" w:rsidRDefault="00012172">
      <w:pPr>
        <w:rPr>
          <w:rFonts w:ascii="Arial" w:hAnsi="Arial" w:cs="Arial"/>
          <w:sz w:val="22"/>
        </w:rPr>
      </w:pPr>
      <w:r>
        <w:rPr>
          <w:rFonts w:ascii="Arial" w:hAnsi="Arial" w:cs="Arial"/>
          <w:sz w:val="22"/>
        </w:rPr>
        <w:t>Nalazila se podno utvrđenog grada Malog Kalnika na lokalitetu Pusta Barbara. Vjerojatno mu je bila dvorska kapela. Spominje se tokom, a biva napuštena krajem 18.st.</w:t>
      </w:r>
    </w:p>
    <w:p w:rsidR="00012172" w:rsidRDefault="00012172">
      <w:pPr>
        <w:rPr>
          <w:sz w:val="22"/>
        </w:rPr>
      </w:pPr>
    </w:p>
    <w:p w:rsidR="00012172" w:rsidRDefault="00012172">
      <w:pPr>
        <w:rPr>
          <w:sz w:val="22"/>
        </w:rPr>
      </w:pPr>
    </w:p>
    <w:p w:rsidR="00012172" w:rsidRDefault="00012172">
      <w:pPr>
        <w:jc w:val="both"/>
        <w:rPr>
          <w:rFonts w:ascii="Arial" w:hAnsi="Arial" w:cs="Arial"/>
          <w:sz w:val="22"/>
        </w:rPr>
      </w:pPr>
      <w:r>
        <w:rPr>
          <w:rFonts w:ascii="Arial" w:hAnsi="Arial" w:cs="Arial"/>
          <w:b/>
          <w:sz w:val="22"/>
        </w:rPr>
        <w:t>Selo Kolarec, povijesna graditeljska cjelina</w:t>
      </w:r>
    </w:p>
    <w:p w:rsidR="00012172" w:rsidRDefault="00012172">
      <w:pPr>
        <w:jc w:val="both"/>
        <w:rPr>
          <w:rFonts w:ascii="Arial" w:hAnsi="Arial" w:cs="Arial"/>
          <w:sz w:val="22"/>
        </w:rPr>
      </w:pPr>
      <w:r>
        <w:rPr>
          <w:rFonts w:ascii="Arial" w:hAnsi="Arial" w:cs="Arial"/>
          <w:sz w:val="22"/>
        </w:rPr>
        <w:t xml:space="preserve">Selo Kolarec nalazi se na prostoru općine Gornja Rijeka, a predstavlja vrijednu graditeljsku cjelinu koja je projektirana 1938.g. nakon što je selo opustošio požar. Obnova sela je trajala do </w:t>
      </w:r>
      <w:smartTag w:uri="urn:schemas-microsoft-com:office:smarttags" w:element="metricconverter">
        <w:smartTagPr>
          <w:attr w:name="ProductID" w:val="1941 g"/>
        </w:smartTagPr>
        <w:r>
          <w:rPr>
            <w:rFonts w:ascii="Arial" w:hAnsi="Arial" w:cs="Arial"/>
            <w:sz w:val="22"/>
          </w:rPr>
          <w:t>1941 g</w:t>
        </w:r>
      </w:smartTag>
      <w:r>
        <w:rPr>
          <w:rFonts w:ascii="Arial" w:hAnsi="Arial" w:cs="Arial"/>
          <w:sz w:val="22"/>
        </w:rPr>
        <w:t>.</w:t>
      </w:r>
    </w:p>
    <w:p w:rsidR="00012172" w:rsidRDefault="00012172">
      <w:pPr>
        <w:jc w:val="both"/>
        <w:rPr>
          <w:rFonts w:ascii="Arial" w:hAnsi="Arial" w:cs="Arial"/>
          <w:sz w:val="22"/>
        </w:rPr>
      </w:pPr>
      <w:r>
        <w:rPr>
          <w:rFonts w:ascii="Arial" w:hAnsi="Arial" w:cs="Arial"/>
          <w:sz w:val="22"/>
        </w:rPr>
        <w:t xml:space="preserve">Geografski je smješteno na jednom od južnih obronaka Kalnika, dobro je osunčano i provjetreno, a karakterizira ga klima sjeverozapadne Hrvatske.Kako je selo izgledalo prije </w:t>
      </w:r>
      <w:smartTag w:uri="urn:schemas-microsoft-com:office:smarttags" w:element="metricconverter">
        <w:smartTagPr>
          <w:attr w:name="ProductID" w:val="1938. g"/>
        </w:smartTagPr>
        <w:r>
          <w:rPr>
            <w:rFonts w:ascii="Arial" w:hAnsi="Arial" w:cs="Arial"/>
            <w:sz w:val="22"/>
          </w:rPr>
          <w:t>1938. g</w:t>
        </w:r>
      </w:smartTag>
      <w:r>
        <w:rPr>
          <w:rFonts w:ascii="Arial" w:hAnsi="Arial" w:cs="Arial"/>
          <w:sz w:val="22"/>
        </w:rPr>
        <w:t xml:space="preserve">. ne može se  točno opisati, no prema navodima seljaka i katastarskoj podlozi iz 1860.g., stambene i gospodarske zgrade bile su locirane bez ikakvog reda, na jednoj parceli bilo je više stambenih zrada, nije bilo izgrađene ceste zbog male udaljenosti između kuća i  nepravilne orijentacija kuća i gospodarskih zgrada. Kuće su bile izgrađene većinom od </w:t>
      </w:r>
      <w:r>
        <w:rPr>
          <w:rFonts w:ascii="Arial" w:hAnsi="Arial" w:cs="Arial"/>
          <w:sz w:val="22"/>
        </w:rPr>
        <w:lastRenderedPageBreak/>
        <w:t xml:space="preserve">drveta, pokrivene slamom, visine podrum+prizemlje ili samo prizemlje. Podovi u kućama bili su zemljani, dok su zidovi bili obojani vapnom. Iz svega navedenog može se zaključiti da su životni uvjeti  prije požara bili teški, a higijenski uvjeti loši. </w:t>
      </w:r>
    </w:p>
    <w:p w:rsidR="00012172" w:rsidRDefault="00012172">
      <w:pPr>
        <w:jc w:val="both"/>
        <w:rPr>
          <w:rFonts w:ascii="Arial" w:hAnsi="Arial" w:cs="Arial"/>
          <w:sz w:val="22"/>
        </w:rPr>
      </w:pPr>
      <w:r>
        <w:rPr>
          <w:rFonts w:ascii="Arial" w:hAnsi="Arial" w:cs="Arial"/>
          <w:sz w:val="22"/>
        </w:rPr>
        <w:t>Selo je zahvatio požar 18. srpnja 1938.g. Budući da je bilo ljeto, a svi seljaci su radili u polju, požar se brzo proširio, te je stradalo 23 stambene kuće, 115 gospodarskih zgrada zajedno sa poljoprivednim alatom. Obnovu sela organizirala je Hrvatska seljačka strana, kao i akciju prikupljanja pomoći. Gradnja izgorjelog sela započela je 23. kolovoza 1938.g., a prekinuta je u proljeće 1941.g. Glavni prostorni planer bio je graditelj Srećko Florschutz. On je projektirao kompletan eksterijer i interijer kuća, te vršio i nadzor nad gradnjom svih građevina.</w:t>
      </w:r>
    </w:p>
    <w:p w:rsidR="00012172" w:rsidRDefault="00012172">
      <w:pPr>
        <w:jc w:val="both"/>
        <w:rPr>
          <w:rFonts w:ascii="Arial" w:hAnsi="Arial" w:cs="Arial"/>
          <w:sz w:val="22"/>
        </w:rPr>
      </w:pPr>
      <w:r>
        <w:rPr>
          <w:rFonts w:ascii="Arial" w:hAnsi="Arial" w:cs="Arial"/>
          <w:sz w:val="22"/>
        </w:rPr>
        <w:t xml:space="preserve">Ukupno su obnovljene 24 kuće. Za svaku kuću formirana je posebna parcela, tako da je na parceli smješten jedan stambeni objekt i po potrebi vlasnika gospodarske zgrade. Velika novina u lociranju kuća bilo je uvođenje  građevinske linije stambenih kuća. Veličina kuća određivala se prema broju stanara, a u izgradnji su sudjelovali i vlasnici kuća. Za gradnju su korišteni tradicionalni materijali sjeverozapadne Hrvatske: drvo, cigla, kamen i crijep, a Srećko Florschutz koristio je i nov materijal za selo – beton.Prilikom obnove Kolarec je projektiran kao malo moderno selo te kao takvo ima rijetku vrijednost jer predstavlja jedinstven primjer total-dizajna ruralnog naselja na području Hrvatske. Graditelj Srećko Florschutz projektirao je selo s prepoznatljivim ambijentalnim detaljima prigorskog kraja (trijem, trokutasti ukras iznad vanjske strane prozora, raznolikosti krovova i kuća), te s vlastitim pečatom (nagib krovova, upotreba kontrafora, svođenje podruma …), a prilikom izvođenja uveo je i nove matrijale koji do tada nisu korišteni u izgradnji seoskih objekata. </w:t>
      </w:r>
    </w:p>
    <w:p w:rsidR="00012172" w:rsidRDefault="00012172">
      <w:pPr>
        <w:jc w:val="both"/>
        <w:rPr>
          <w:color w:val="0000FF"/>
          <w:sz w:val="22"/>
        </w:rPr>
      </w:pPr>
    </w:p>
    <w:p w:rsidR="00012172" w:rsidRDefault="00012172">
      <w:pPr>
        <w:jc w:val="both"/>
        <w:rPr>
          <w:rFonts w:ascii="Arial" w:hAnsi="Arial" w:cs="Arial"/>
          <w:b/>
          <w:bCs/>
          <w:sz w:val="22"/>
        </w:rPr>
      </w:pPr>
      <w:r>
        <w:rPr>
          <w:rFonts w:ascii="Arial" w:hAnsi="Arial" w:cs="Arial"/>
          <w:b/>
          <w:bCs/>
          <w:sz w:val="22"/>
        </w:rPr>
        <w:t>Drvena hiža, Kostanjevec Riječki</w:t>
      </w:r>
    </w:p>
    <w:p w:rsidR="00012172" w:rsidRDefault="00012172">
      <w:pPr>
        <w:jc w:val="both"/>
        <w:rPr>
          <w:rFonts w:ascii="Arial" w:hAnsi="Arial" w:cs="Arial"/>
          <w:sz w:val="22"/>
        </w:rPr>
      </w:pPr>
      <w:r>
        <w:rPr>
          <w:rFonts w:ascii="Arial" w:hAnsi="Arial" w:cs="Arial"/>
          <w:sz w:val="22"/>
        </w:rPr>
        <w:t>Tijekom 2005. godine krenulo se u realizaciju projekta etnografskog muzeja i prikaza uvjeta života stanovnika ruralnog Kalničkog kraja. Izgradnjom drvene hiže upućuje se na važnost čuvanja starih kultura i običaja.</w:t>
      </w:r>
    </w:p>
    <w:p w:rsidR="00012172" w:rsidRDefault="00012172">
      <w:pPr>
        <w:jc w:val="both"/>
        <w:rPr>
          <w:rFonts w:ascii="Arial" w:hAnsi="Arial" w:cs="Arial"/>
          <w:color w:val="0000FF"/>
          <w:sz w:val="22"/>
        </w:rPr>
      </w:pPr>
    </w:p>
    <w:p w:rsidR="00012172" w:rsidRDefault="00012172"/>
    <w:p w:rsidR="00012172" w:rsidRDefault="00012172"/>
    <w:p w:rsidR="00012172" w:rsidRDefault="00012172"/>
    <w:p w:rsidR="00012172" w:rsidRDefault="00012172">
      <w:pPr>
        <w:pStyle w:val="Opisslike"/>
        <w:rPr>
          <w:rFonts w:ascii="Times New Roman" w:hAnsi="Times New Roman"/>
          <w:b/>
          <w:bCs w:val="0"/>
          <w:sz w:val="22"/>
        </w:rPr>
      </w:pPr>
      <w:bookmarkStart w:id="25" w:name="_Toc132763258"/>
      <w:r>
        <w:rPr>
          <w:rFonts w:ascii="Times New Roman" w:hAnsi="Times New Roman"/>
          <w:b/>
          <w:bCs w:val="0"/>
          <w:sz w:val="22"/>
        </w:rPr>
        <w:t xml:space="preserve">Tablica </w:t>
      </w:r>
      <w:r>
        <w:rPr>
          <w:rFonts w:ascii="Times New Roman" w:hAnsi="Times New Roman"/>
          <w:b/>
          <w:bCs w:val="0"/>
          <w:sz w:val="22"/>
        </w:rPr>
        <w:fldChar w:fldCharType="begin"/>
      </w:r>
      <w:r>
        <w:rPr>
          <w:rFonts w:ascii="Times New Roman" w:hAnsi="Times New Roman"/>
          <w:b/>
          <w:bCs w:val="0"/>
          <w:sz w:val="22"/>
        </w:rPr>
        <w:instrText xml:space="preserve"> SEQ Tablica \* ARABIC </w:instrText>
      </w:r>
      <w:r>
        <w:rPr>
          <w:rFonts w:ascii="Times New Roman" w:hAnsi="Times New Roman"/>
          <w:b/>
          <w:bCs w:val="0"/>
          <w:sz w:val="22"/>
        </w:rPr>
        <w:fldChar w:fldCharType="separate"/>
      </w:r>
      <w:r w:rsidR="002B1815">
        <w:rPr>
          <w:rFonts w:ascii="Times New Roman" w:hAnsi="Times New Roman"/>
          <w:b/>
          <w:bCs w:val="0"/>
          <w:noProof/>
          <w:sz w:val="22"/>
        </w:rPr>
        <w:t>8</w:t>
      </w:r>
      <w:r>
        <w:rPr>
          <w:rFonts w:ascii="Times New Roman" w:hAnsi="Times New Roman"/>
          <w:b/>
          <w:bCs w:val="0"/>
          <w:sz w:val="22"/>
        </w:rPr>
        <w:fldChar w:fldCharType="end"/>
      </w:r>
      <w:r>
        <w:rPr>
          <w:rFonts w:ascii="Times New Roman" w:hAnsi="Times New Roman"/>
          <w:b/>
          <w:bCs w:val="0"/>
          <w:sz w:val="22"/>
        </w:rPr>
        <w:t>: Registrirani spomenik kulture</w:t>
      </w:r>
      <w:bookmarkEnd w:id="25"/>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62"/>
        <w:gridCol w:w="1884"/>
        <w:gridCol w:w="2419"/>
      </w:tblGrid>
      <w:tr w:rsidR="00012172">
        <w:tblPrEx>
          <w:tblCellMar>
            <w:top w:w="0" w:type="dxa"/>
            <w:bottom w:w="0" w:type="dxa"/>
          </w:tblCellMar>
        </w:tblPrEx>
        <w:trPr>
          <w:cantSplit/>
          <w:trHeight w:val="277"/>
          <w:tblHeader/>
        </w:trPr>
        <w:tc>
          <w:tcPr>
            <w:tcW w:w="3762" w:type="dxa"/>
            <w:tcBorders>
              <w:top w:val="double" w:sz="4" w:space="0" w:color="auto"/>
              <w:left w:val="double" w:sz="4" w:space="0" w:color="auto"/>
              <w:bottom w:val="double" w:sz="4" w:space="0" w:color="auto"/>
              <w:right w:val="double" w:sz="4" w:space="0" w:color="auto"/>
            </w:tcBorders>
          </w:tcPr>
          <w:p w:rsidR="00012172" w:rsidRDefault="00012172">
            <w:pPr>
              <w:rPr>
                <w:b/>
                <w:sz w:val="22"/>
              </w:rPr>
            </w:pPr>
            <w:r>
              <w:rPr>
                <w:b/>
                <w:sz w:val="22"/>
              </w:rPr>
              <w:t>Spomenik/element baštine</w:t>
            </w:r>
          </w:p>
        </w:tc>
        <w:tc>
          <w:tcPr>
            <w:tcW w:w="1884" w:type="dxa"/>
            <w:tcBorders>
              <w:top w:val="double" w:sz="4" w:space="0" w:color="auto"/>
              <w:left w:val="double" w:sz="4" w:space="0" w:color="auto"/>
              <w:bottom w:val="double" w:sz="4" w:space="0" w:color="auto"/>
              <w:right w:val="double" w:sz="4" w:space="0" w:color="auto"/>
            </w:tcBorders>
          </w:tcPr>
          <w:p w:rsidR="00012172" w:rsidRDefault="00012172">
            <w:pPr>
              <w:rPr>
                <w:b/>
                <w:sz w:val="22"/>
              </w:rPr>
            </w:pPr>
            <w:r>
              <w:rPr>
                <w:b/>
                <w:sz w:val="22"/>
              </w:rPr>
              <w:t>Lokalitet</w:t>
            </w:r>
          </w:p>
        </w:tc>
        <w:tc>
          <w:tcPr>
            <w:tcW w:w="2419" w:type="dxa"/>
            <w:tcBorders>
              <w:top w:val="double" w:sz="4" w:space="0" w:color="auto"/>
              <w:left w:val="double" w:sz="4" w:space="0" w:color="auto"/>
              <w:bottom w:val="double" w:sz="4" w:space="0" w:color="auto"/>
              <w:right w:val="double" w:sz="4" w:space="0" w:color="auto"/>
            </w:tcBorders>
          </w:tcPr>
          <w:p w:rsidR="00012172" w:rsidRDefault="00012172">
            <w:pPr>
              <w:rPr>
                <w:b/>
                <w:sz w:val="22"/>
              </w:rPr>
            </w:pPr>
            <w:r>
              <w:rPr>
                <w:b/>
                <w:sz w:val="22"/>
              </w:rPr>
              <w:t>Spomenički status</w:t>
            </w:r>
          </w:p>
        </w:tc>
      </w:tr>
      <w:tr w:rsidR="00012172">
        <w:tblPrEx>
          <w:tblCellMar>
            <w:top w:w="0" w:type="dxa"/>
            <w:bottom w:w="0" w:type="dxa"/>
          </w:tblCellMar>
        </w:tblPrEx>
        <w:trPr>
          <w:cantSplit/>
          <w:trHeight w:val="278"/>
        </w:trPr>
        <w:tc>
          <w:tcPr>
            <w:tcW w:w="3762" w:type="dxa"/>
            <w:tcBorders>
              <w:top w:val="single" w:sz="4" w:space="0" w:color="auto"/>
              <w:left w:val="double" w:sz="4" w:space="0" w:color="auto"/>
              <w:bottom w:val="single" w:sz="4" w:space="0" w:color="auto"/>
              <w:right w:val="single" w:sz="4" w:space="0" w:color="auto"/>
            </w:tcBorders>
            <w:vAlign w:val="center"/>
          </w:tcPr>
          <w:p w:rsidR="00012172" w:rsidRDefault="00012172">
            <w:pPr>
              <w:jc w:val="both"/>
              <w:rPr>
                <w:rFonts w:ascii="Arial" w:hAnsi="Arial" w:cs="Arial"/>
                <w:bCs/>
                <w:sz w:val="20"/>
                <w:szCs w:val="20"/>
              </w:rPr>
            </w:pPr>
            <w:r>
              <w:rPr>
                <w:rFonts w:ascii="Arial" w:hAnsi="Arial" w:cs="Arial"/>
                <w:bCs/>
                <w:sz w:val="20"/>
                <w:szCs w:val="20"/>
              </w:rPr>
              <w:t>Kompleks dvorca i perivoja Rubido-Erdody</w:t>
            </w:r>
          </w:p>
        </w:tc>
        <w:tc>
          <w:tcPr>
            <w:tcW w:w="1884" w:type="dxa"/>
            <w:tcBorders>
              <w:top w:val="single" w:sz="4" w:space="0" w:color="auto"/>
              <w:left w:val="single" w:sz="4" w:space="0" w:color="auto"/>
              <w:bottom w:val="single" w:sz="4" w:space="0" w:color="auto"/>
              <w:right w:val="single" w:sz="4" w:space="0" w:color="auto"/>
            </w:tcBorders>
            <w:vAlign w:val="center"/>
          </w:tcPr>
          <w:p w:rsidR="00012172" w:rsidRDefault="00012172">
            <w:pPr>
              <w:rPr>
                <w:rFonts w:ascii="Arial" w:hAnsi="Arial" w:cs="Arial"/>
                <w:bCs/>
                <w:sz w:val="20"/>
                <w:szCs w:val="20"/>
              </w:rPr>
            </w:pPr>
            <w:r>
              <w:rPr>
                <w:rFonts w:ascii="Arial" w:hAnsi="Arial" w:cs="Arial"/>
                <w:bCs/>
                <w:sz w:val="20"/>
                <w:szCs w:val="20"/>
              </w:rPr>
              <w:t>Gornja Rijeka</w:t>
            </w:r>
          </w:p>
        </w:tc>
        <w:tc>
          <w:tcPr>
            <w:tcW w:w="2419" w:type="dxa"/>
            <w:tcBorders>
              <w:top w:val="single" w:sz="4" w:space="0" w:color="auto"/>
              <w:left w:val="nil"/>
              <w:bottom w:val="single" w:sz="4" w:space="0" w:color="auto"/>
              <w:right w:val="double" w:sz="4" w:space="0" w:color="auto"/>
            </w:tcBorders>
            <w:vAlign w:val="center"/>
          </w:tcPr>
          <w:p w:rsidR="00012172" w:rsidRDefault="00012172">
            <w:pPr>
              <w:rPr>
                <w:rFonts w:ascii="Arial" w:hAnsi="Arial" w:cs="Arial"/>
                <w:bCs/>
                <w:sz w:val="20"/>
                <w:szCs w:val="20"/>
              </w:rPr>
            </w:pPr>
            <w:r>
              <w:rPr>
                <w:rFonts w:ascii="Arial" w:hAnsi="Arial" w:cs="Arial"/>
                <w:bCs/>
                <w:sz w:val="20"/>
                <w:szCs w:val="20"/>
              </w:rPr>
              <w:t>Kulturna dobra 1. kategorije</w:t>
            </w:r>
          </w:p>
        </w:tc>
      </w:tr>
      <w:tr w:rsidR="00012172">
        <w:tblPrEx>
          <w:tblCellMar>
            <w:top w:w="0" w:type="dxa"/>
            <w:bottom w:w="0" w:type="dxa"/>
          </w:tblCellMar>
        </w:tblPrEx>
        <w:trPr>
          <w:cantSplit/>
          <w:trHeight w:val="278"/>
        </w:trPr>
        <w:tc>
          <w:tcPr>
            <w:tcW w:w="3762" w:type="dxa"/>
            <w:tcBorders>
              <w:top w:val="single" w:sz="4" w:space="0" w:color="auto"/>
              <w:left w:val="double" w:sz="4" w:space="0" w:color="auto"/>
              <w:bottom w:val="double" w:sz="4" w:space="0" w:color="auto"/>
              <w:right w:val="single" w:sz="4" w:space="0" w:color="auto"/>
            </w:tcBorders>
            <w:vAlign w:val="center"/>
          </w:tcPr>
          <w:p w:rsidR="00012172" w:rsidRDefault="00012172">
            <w:pPr>
              <w:jc w:val="both"/>
              <w:rPr>
                <w:rFonts w:ascii="Arial" w:hAnsi="Arial" w:cs="Arial"/>
                <w:bCs/>
                <w:sz w:val="20"/>
                <w:szCs w:val="20"/>
              </w:rPr>
            </w:pPr>
            <w:r>
              <w:rPr>
                <w:rFonts w:ascii="Arial" w:hAnsi="Arial" w:cs="Arial"/>
                <w:bCs/>
                <w:sz w:val="20"/>
                <w:szCs w:val="20"/>
              </w:rPr>
              <w:t>Župna crkva B.D. Marije</w:t>
            </w:r>
          </w:p>
        </w:tc>
        <w:tc>
          <w:tcPr>
            <w:tcW w:w="1884" w:type="dxa"/>
            <w:tcBorders>
              <w:top w:val="single" w:sz="4" w:space="0" w:color="auto"/>
              <w:left w:val="single" w:sz="4" w:space="0" w:color="auto"/>
              <w:bottom w:val="double" w:sz="4" w:space="0" w:color="auto"/>
              <w:right w:val="single" w:sz="4" w:space="0" w:color="auto"/>
            </w:tcBorders>
            <w:vAlign w:val="center"/>
          </w:tcPr>
          <w:p w:rsidR="00012172" w:rsidRDefault="00012172">
            <w:pPr>
              <w:rPr>
                <w:rFonts w:ascii="Arial" w:hAnsi="Arial" w:cs="Arial"/>
                <w:bCs/>
                <w:sz w:val="20"/>
                <w:szCs w:val="20"/>
              </w:rPr>
            </w:pPr>
            <w:r>
              <w:rPr>
                <w:rFonts w:ascii="Arial" w:hAnsi="Arial" w:cs="Arial"/>
                <w:bCs/>
                <w:sz w:val="20"/>
                <w:szCs w:val="20"/>
              </w:rPr>
              <w:t>Gornja Rijeka</w:t>
            </w:r>
          </w:p>
        </w:tc>
        <w:tc>
          <w:tcPr>
            <w:tcW w:w="2419" w:type="dxa"/>
            <w:tcBorders>
              <w:top w:val="single" w:sz="4" w:space="0" w:color="auto"/>
              <w:left w:val="nil"/>
              <w:bottom w:val="double" w:sz="4" w:space="0" w:color="auto"/>
              <w:right w:val="double" w:sz="4" w:space="0" w:color="auto"/>
            </w:tcBorders>
            <w:vAlign w:val="center"/>
          </w:tcPr>
          <w:p w:rsidR="00012172" w:rsidRDefault="00012172">
            <w:pPr>
              <w:rPr>
                <w:rFonts w:ascii="Arial" w:hAnsi="Arial" w:cs="Arial"/>
                <w:bCs/>
                <w:sz w:val="20"/>
                <w:szCs w:val="20"/>
              </w:rPr>
            </w:pPr>
            <w:r>
              <w:rPr>
                <w:rFonts w:ascii="Arial" w:hAnsi="Arial" w:cs="Arial"/>
                <w:bCs/>
                <w:sz w:val="20"/>
                <w:szCs w:val="20"/>
              </w:rPr>
              <w:t>Kulturna dobra 2. kategorije</w:t>
            </w:r>
          </w:p>
        </w:tc>
      </w:tr>
    </w:tbl>
    <w:p w:rsidR="00012172" w:rsidRDefault="00012172">
      <w:pPr>
        <w:spacing w:line="360" w:lineRule="auto"/>
        <w:ind w:left="360"/>
        <w:rPr>
          <w:rFonts w:ascii="Arial" w:hAnsi="Arial"/>
          <w:sz w:val="22"/>
        </w:rPr>
      </w:pPr>
    </w:p>
    <w:p w:rsidR="00012172" w:rsidRDefault="00012172">
      <w:pPr>
        <w:jc w:val="both"/>
        <w:rPr>
          <w:rFonts w:ascii="Arial" w:hAnsi="Arial"/>
          <w:b/>
          <w:sz w:val="22"/>
          <w:szCs w:val="22"/>
        </w:rPr>
      </w:pPr>
    </w:p>
    <w:p w:rsidR="00012172" w:rsidRDefault="00012172">
      <w:pPr>
        <w:jc w:val="both"/>
        <w:rPr>
          <w:rFonts w:ascii="Arial" w:hAnsi="Arial"/>
          <w:b/>
          <w:sz w:val="22"/>
          <w:szCs w:val="22"/>
        </w:rPr>
      </w:pPr>
    </w:p>
    <w:p w:rsidR="00012172" w:rsidRDefault="00012172">
      <w:pPr>
        <w:jc w:val="both"/>
        <w:rPr>
          <w:b/>
          <w:szCs w:val="22"/>
        </w:rPr>
      </w:pPr>
      <w:r>
        <w:rPr>
          <w:b/>
          <w:szCs w:val="22"/>
        </w:rPr>
        <w:t>b) Prirodna baština</w:t>
      </w:r>
    </w:p>
    <w:p w:rsidR="00012172" w:rsidRDefault="00012172">
      <w:pPr>
        <w:rPr>
          <w:b/>
          <w:bCs/>
          <w:color w:val="FF0000"/>
        </w:rPr>
      </w:pPr>
    </w:p>
    <w:p w:rsidR="00012172" w:rsidRDefault="00012172">
      <w:pPr>
        <w:pStyle w:val="Uvuenotijeloteksta"/>
        <w:ind w:left="0" w:firstLine="348"/>
        <w:jc w:val="both"/>
        <w:rPr>
          <w:rFonts w:ascii="Arial" w:hAnsi="Arial" w:cs="Arial"/>
          <w:sz w:val="22"/>
        </w:rPr>
      </w:pPr>
      <w:r>
        <w:rPr>
          <w:rFonts w:ascii="Arial" w:hAnsi="Arial" w:cs="Arial"/>
          <w:sz w:val="22"/>
        </w:rPr>
        <w:t xml:space="preserve">Na području općine postoje dijelovi prirode koji su temeljem Zakona o zaštiti prirode izdvojeni kao vrijedni dijelovi prirode i zaštićeni u odgovarajućim  kategorijama. </w:t>
      </w:r>
    </w:p>
    <w:p w:rsidR="00012172" w:rsidRDefault="00012172">
      <w:pPr>
        <w:pStyle w:val="Uvuenotijeloteksta"/>
        <w:ind w:left="0" w:firstLine="348"/>
        <w:jc w:val="both"/>
        <w:rPr>
          <w:rFonts w:ascii="Arial" w:hAnsi="Arial" w:cs="Arial"/>
          <w:sz w:val="22"/>
        </w:rPr>
      </w:pPr>
      <w:r>
        <w:rPr>
          <w:rFonts w:ascii="Arial" w:hAnsi="Arial" w:cs="Arial"/>
          <w:sz w:val="22"/>
        </w:rPr>
        <w:t xml:space="preserve">Područje </w:t>
      </w:r>
      <w:r>
        <w:rPr>
          <w:rFonts w:ascii="Arial" w:hAnsi="Arial" w:cs="Arial"/>
          <w:b/>
          <w:bCs/>
          <w:sz w:val="22"/>
        </w:rPr>
        <w:t>Malog Kalnika</w:t>
      </w:r>
      <w:r>
        <w:rPr>
          <w:rFonts w:ascii="Arial" w:hAnsi="Arial" w:cs="Arial"/>
          <w:sz w:val="22"/>
        </w:rPr>
        <w:t xml:space="preserve"> iznad izohipse </w:t>
      </w:r>
      <w:smartTag w:uri="urn:schemas-microsoft-com:office:smarttags" w:element="metricconverter">
        <w:smartTagPr>
          <w:attr w:name="ProductID" w:val="410 m"/>
        </w:smartTagPr>
        <w:r>
          <w:rPr>
            <w:rFonts w:ascii="Arial" w:hAnsi="Arial" w:cs="Arial"/>
            <w:sz w:val="22"/>
          </w:rPr>
          <w:t>410 m</w:t>
        </w:r>
      </w:smartTag>
      <w:r>
        <w:rPr>
          <w:rFonts w:ascii="Arial" w:hAnsi="Arial" w:cs="Arial"/>
          <w:sz w:val="22"/>
        </w:rPr>
        <w:t xml:space="preserve"> proglašeno je 1985. godine posebnim </w:t>
      </w:r>
      <w:r>
        <w:rPr>
          <w:rFonts w:ascii="Arial" w:hAnsi="Arial" w:cs="Arial"/>
          <w:b/>
          <w:bCs/>
          <w:sz w:val="22"/>
        </w:rPr>
        <w:t>botaničkim rezervatom</w:t>
      </w:r>
      <w:r>
        <w:rPr>
          <w:rFonts w:ascii="Arial" w:hAnsi="Arial" w:cs="Arial"/>
          <w:sz w:val="22"/>
        </w:rPr>
        <w:t xml:space="preserve">. Rezervat se proteže površinom od </w:t>
      </w:r>
      <w:smartTag w:uri="urn:schemas-microsoft-com:office:smarttags" w:element="metricconverter">
        <w:smartTagPr>
          <w:attr w:name="ProductID" w:val="5,35 ha"/>
        </w:smartTagPr>
        <w:r>
          <w:rPr>
            <w:rFonts w:ascii="Arial" w:hAnsi="Arial" w:cs="Arial"/>
            <w:sz w:val="22"/>
          </w:rPr>
          <w:t>5,35 ha</w:t>
        </w:r>
      </w:smartTag>
      <w:r>
        <w:rPr>
          <w:rFonts w:ascii="Arial" w:hAnsi="Arial" w:cs="Arial"/>
          <w:sz w:val="22"/>
        </w:rPr>
        <w:t xml:space="preserve"> i upisan je u registar zaštićenih dijelova prirode Republike Hrvatske pod brojem 799. Sam rezervat Mali Kalnik je smješten unutar veće zaštićene cjeline značajnog krajobraza Kalnika (proteže se kroz Općine Kalnik, Gornja Rijeka i grad Križevci). </w:t>
      </w:r>
    </w:p>
    <w:p w:rsidR="00012172" w:rsidRDefault="008F6679">
      <w:pPr>
        <w:pStyle w:val="Uvuenotijeloteksta"/>
        <w:ind w:left="0" w:firstLine="348"/>
        <w:jc w:val="center"/>
        <w:rPr>
          <w:rFonts w:ascii="Arial" w:hAnsi="Arial" w:cs="Arial"/>
          <w:sz w:val="22"/>
        </w:rPr>
      </w:pPr>
      <w:r>
        <w:rPr>
          <w:rFonts w:ascii="Arial" w:hAnsi="Arial" w:cs="Arial"/>
          <w:noProof/>
          <w:sz w:val="22"/>
        </w:rPr>
        <w:lastRenderedPageBreak/>
        <w:drawing>
          <wp:inline distT="0" distB="0" distL="0" distR="0">
            <wp:extent cx="3314700" cy="2476500"/>
            <wp:effectExtent l="19050" t="19050" r="19050" b="19050"/>
            <wp:docPr id="9" name="Slika 9" descr="P101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100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4700" cy="2476500"/>
                    </a:xfrm>
                    <a:prstGeom prst="rect">
                      <a:avLst/>
                    </a:prstGeom>
                    <a:noFill/>
                    <a:ln w="19050" cmpd="dbl">
                      <a:solidFill>
                        <a:srgbClr val="000000"/>
                      </a:solidFill>
                      <a:miter lim="800000"/>
                      <a:headEnd/>
                      <a:tailEnd/>
                    </a:ln>
                    <a:effectLst/>
                  </pic:spPr>
                </pic:pic>
              </a:graphicData>
            </a:graphic>
          </wp:inline>
        </w:drawing>
      </w:r>
    </w:p>
    <w:p w:rsidR="00012172" w:rsidRDefault="00012172">
      <w:pPr>
        <w:pStyle w:val="Opisslike"/>
        <w:ind w:left="1416" w:firstLine="708"/>
        <w:rPr>
          <w:sz w:val="22"/>
        </w:rPr>
      </w:pPr>
      <w:bookmarkStart w:id="26" w:name="_Toc135185919"/>
      <w:r>
        <w:t xml:space="preserve">Slika </w:t>
      </w:r>
      <w:r>
        <w:fldChar w:fldCharType="begin"/>
      </w:r>
      <w:r>
        <w:instrText xml:space="preserve"> SEQ Slika \* ARABIC </w:instrText>
      </w:r>
      <w:r>
        <w:fldChar w:fldCharType="separate"/>
      </w:r>
      <w:r w:rsidR="002B1815">
        <w:rPr>
          <w:noProof/>
        </w:rPr>
        <w:t>7</w:t>
      </w:r>
      <w:r>
        <w:fldChar w:fldCharType="end"/>
      </w:r>
      <w:r>
        <w:t>. Mali Kalnik</w:t>
      </w:r>
      <w:bookmarkEnd w:id="26"/>
    </w:p>
    <w:p w:rsidR="00012172" w:rsidRDefault="00012172">
      <w:pPr>
        <w:pStyle w:val="Uvuenotijeloteksta"/>
        <w:ind w:left="0" w:firstLine="360"/>
        <w:jc w:val="both"/>
        <w:rPr>
          <w:rFonts w:ascii="Arial" w:hAnsi="Arial" w:cs="Arial"/>
          <w:sz w:val="22"/>
        </w:rPr>
      </w:pPr>
    </w:p>
    <w:p w:rsidR="00012172" w:rsidRDefault="00012172">
      <w:pPr>
        <w:pStyle w:val="Uvuenotijeloteksta"/>
        <w:ind w:left="0" w:firstLine="360"/>
        <w:jc w:val="both"/>
        <w:rPr>
          <w:rFonts w:ascii="Arial" w:hAnsi="Arial" w:cs="Arial"/>
          <w:sz w:val="22"/>
        </w:rPr>
      </w:pPr>
      <w:r>
        <w:rPr>
          <w:rFonts w:ascii="Arial" w:hAnsi="Arial" w:cs="Arial"/>
          <w:sz w:val="22"/>
        </w:rPr>
        <w:t>Cilj zaštite Malog Kalnika je očuvanje botaničkih vrijednosti sadržanih u vegetaciji stijena što je rezultat specifičnog reljefa, sastava tla (vapnenci), klime, ekspozicije i hidroloških odnosa, što se rezultira u prisutnosti nekih mediteranskih alpskih i pontskih biljaka. Botaničke vrijednosti Malog Kalnika nadopunjuju ostaci, ruševine srednjovjekovno utvrđenog Starog grada Mali Kalnik (smještene na najvišem grebenu razderane klisure). Sve to područje Malog Kalnika daje prirodnu, kulturno-povijesnu i znatnu turističku vrijednost (planinarenje, šetališne staze, kampiranje,…). Specifičnost pejzaža privlači posjetioce i istraživače.</w:t>
      </w:r>
    </w:p>
    <w:p w:rsidR="00012172" w:rsidRDefault="00012172">
      <w:pPr>
        <w:pStyle w:val="Uvuenotijeloteksta"/>
        <w:ind w:left="0" w:firstLine="360"/>
        <w:jc w:val="both"/>
        <w:rPr>
          <w:rFonts w:ascii="Arial" w:hAnsi="Arial" w:cs="Arial"/>
          <w:sz w:val="22"/>
        </w:rPr>
      </w:pPr>
      <w:r>
        <w:rPr>
          <w:rFonts w:ascii="Arial" w:hAnsi="Arial" w:cs="Arial"/>
          <w:sz w:val="22"/>
        </w:rPr>
        <w:t xml:space="preserve">U kategoriji </w:t>
      </w:r>
      <w:r>
        <w:rPr>
          <w:rFonts w:ascii="Arial" w:hAnsi="Arial" w:cs="Arial"/>
          <w:b/>
          <w:bCs/>
          <w:sz w:val="22"/>
        </w:rPr>
        <w:t>značajni krajobraz</w:t>
      </w:r>
      <w:r>
        <w:rPr>
          <w:rFonts w:ascii="Arial" w:hAnsi="Arial" w:cs="Arial"/>
          <w:sz w:val="22"/>
        </w:rPr>
        <w:t xml:space="preserve">, zaštićeno je područje </w:t>
      </w:r>
      <w:r>
        <w:rPr>
          <w:rFonts w:ascii="Arial" w:hAnsi="Arial" w:cs="Arial"/>
          <w:b/>
          <w:bCs/>
          <w:sz w:val="22"/>
        </w:rPr>
        <w:t>planine Kalnik</w:t>
      </w:r>
      <w:r>
        <w:rPr>
          <w:rFonts w:ascii="Arial" w:hAnsi="Arial" w:cs="Arial"/>
          <w:sz w:val="22"/>
        </w:rPr>
        <w:t>, odnosno njegovi najistaknutiji i najviši predjeli. Zaštićeno je 1985. godine i upisano u registar zaštičenih dijelova prirode Republike Hrvatske pod brojem 798. Značajni krajobraz zauzima površinu od</w:t>
      </w:r>
      <w:r>
        <w:rPr>
          <w:color w:val="FF00FF"/>
        </w:rPr>
        <w:t xml:space="preserve"> </w:t>
      </w:r>
      <w:smartTag w:uri="urn:schemas-microsoft-com:office:smarttags" w:element="metricconverter">
        <w:smartTagPr>
          <w:attr w:name="ProductID" w:val="4200 ha"/>
        </w:smartTagPr>
        <w:r>
          <w:rPr>
            <w:rFonts w:ascii="Arial" w:hAnsi="Arial" w:cs="Arial"/>
            <w:sz w:val="22"/>
          </w:rPr>
          <w:t>4200 ha</w:t>
        </w:r>
      </w:smartTag>
      <w:r>
        <w:rPr>
          <w:rFonts w:ascii="Arial" w:hAnsi="Arial" w:cs="Arial"/>
          <w:sz w:val="22"/>
        </w:rPr>
        <w:t xml:space="preserve"> te predstavlja najveće zaštičeno područje prirode na prostoru Županije. Karakteriziraju ga brojne raznolikosti reljefa, njegova specifična građa i posebnosti mikroklime što je rezultirano bogatstvom i specifičnošću biljnih zajednica koje rastu na tom lokalitetu (30-tak vrsta kaćunovica por. Orchidaceae). Vegetacija zaštićenog krajolika gotovo je u cijelosti istražena, a od zaštićenih biljnih vrsta u Republici Hrvatskoj, na Kalniku ih je nazočno 13.</w:t>
      </w:r>
    </w:p>
    <w:p w:rsidR="00012172" w:rsidRDefault="00012172">
      <w:pPr>
        <w:jc w:val="both"/>
        <w:rPr>
          <w:rFonts w:ascii="Arial" w:hAnsi="Arial" w:cs="Arial"/>
          <w:sz w:val="22"/>
        </w:rPr>
      </w:pPr>
      <w:r>
        <w:rPr>
          <w:rFonts w:ascii="Arial" w:hAnsi="Arial" w:cs="Arial"/>
          <w:bCs/>
          <w:sz w:val="22"/>
        </w:rPr>
        <w:t xml:space="preserve">U okolici naselja Gornja Rijeka, uadljen 800m od samog naselja, nalazi se slap Šopot. Slap nije iznimnih razmjera, svega </w:t>
      </w:r>
      <w:smartTag w:uri="urn:schemas-microsoft-com:office:smarttags" w:element="metricconverter">
        <w:smartTagPr>
          <w:attr w:name="ProductID" w:val="5 metara"/>
        </w:smartTagPr>
        <w:r>
          <w:rPr>
            <w:rFonts w:ascii="Arial" w:hAnsi="Arial" w:cs="Arial"/>
            <w:bCs/>
            <w:sz w:val="22"/>
          </w:rPr>
          <w:t>5 metara</w:t>
        </w:r>
      </w:smartTag>
      <w:r>
        <w:rPr>
          <w:rFonts w:ascii="Arial" w:hAnsi="Arial" w:cs="Arial"/>
          <w:bCs/>
          <w:sz w:val="22"/>
        </w:rPr>
        <w:t xml:space="preserve"> visine, ali za ovaj kraj predstavlja posebnost koja povećava krajobraznu, hidrološku i morfološku raznolikost kalničkog gorja. Geološke karakteristike stijenja po kojima slap protjeće osiguravaju zanimljivost i dinamiku korita slapa. Kombinacija stijenja, vode i južne ekspozicije planine Kalnik dovodi do posebnih mikroklimatskih uvjeta staništa koje osiguravaju uvjete života hidrofitima, higrofitima, vegetaciji stijena te ujedno i tipičnim flornim predstavnicima klimazonalmne šumske vegetacije ( </w:t>
      </w:r>
      <w:r>
        <w:rPr>
          <w:rFonts w:ascii="Arial" w:hAnsi="Arial" w:cs="Arial"/>
          <w:bCs/>
          <w:i/>
          <w:iCs/>
          <w:sz w:val="22"/>
        </w:rPr>
        <w:t>Querco - carpinetum croaticum</w:t>
      </w:r>
      <w:r>
        <w:rPr>
          <w:rFonts w:ascii="Arial" w:hAnsi="Arial" w:cs="Arial"/>
          <w:bCs/>
          <w:sz w:val="22"/>
        </w:rPr>
        <w:t xml:space="preserve"> = šuma hrasta kitnjaka i običnog graba). Neki od flornih predstavnika staništa slapa Sopot: </w:t>
      </w:r>
      <w:r>
        <w:rPr>
          <w:rFonts w:ascii="Arial" w:hAnsi="Arial" w:cs="Arial"/>
          <w:sz w:val="22"/>
        </w:rPr>
        <w:t>jelenak (</w:t>
      </w:r>
      <w:r>
        <w:rPr>
          <w:rFonts w:ascii="Arial" w:hAnsi="Arial" w:cs="Arial"/>
          <w:i/>
          <w:iCs/>
          <w:sz w:val="22"/>
        </w:rPr>
        <w:t>Phyllitis scolopendrium</w:t>
      </w:r>
      <w:r>
        <w:rPr>
          <w:rFonts w:ascii="Arial" w:hAnsi="Arial" w:cs="Arial"/>
          <w:sz w:val="22"/>
        </w:rPr>
        <w:t>), smeđa slezenica  (</w:t>
      </w:r>
      <w:r>
        <w:rPr>
          <w:rFonts w:ascii="Arial" w:hAnsi="Arial" w:cs="Arial"/>
          <w:i/>
          <w:iCs/>
          <w:sz w:val="22"/>
        </w:rPr>
        <w:t>Asplenium trichomanes</w:t>
      </w:r>
      <w:r>
        <w:rPr>
          <w:rFonts w:ascii="Arial" w:hAnsi="Arial" w:cs="Arial"/>
          <w:sz w:val="22"/>
        </w:rPr>
        <w:t>), ciklame (</w:t>
      </w:r>
      <w:r>
        <w:rPr>
          <w:rFonts w:ascii="Arial" w:hAnsi="Arial" w:cs="Arial"/>
          <w:i/>
          <w:iCs/>
          <w:sz w:val="22"/>
        </w:rPr>
        <w:t>Cyclamen purpurascens</w:t>
      </w:r>
      <w:r>
        <w:rPr>
          <w:rFonts w:ascii="Arial" w:hAnsi="Arial" w:cs="Arial"/>
          <w:sz w:val="22"/>
        </w:rPr>
        <w:t>), drijenak (</w:t>
      </w:r>
      <w:r>
        <w:rPr>
          <w:rFonts w:ascii="Arial" w:hAnsi="Arial" w:cs="Arial"/>
          <w:i/>
          <w:iCs/>
          <w:sz w:val="22"/>
        </w:rPr>
        <w:t>Cornus mas</w:t>
      </w:r>
      <w:r>
        <w:rPr>
          <w:rFonts w:ascii="Arial" w:hAnsi="Arial" w:cs="Arial"/>
          <w:sz w:val="22"/>
        </w:rPr>
        <w:t>), ljiljan zlatan (</w:t>
      </w:r>
      <w:r>
        <w:rPr>
          <w:rFonts w:ascii="Arial" w:hAnsi="Arial" w:cs="Arial"/>
          <w:i/>
          <w:iCs/>
          <w:sz w:val="22"/>
        </w:rPr>
        <w:t>Lilium martagon</w:t>
      </w:r>
      <w:r>
        <w:rPr>
          <w:rFonts w:ascii="Arial" w:hAnsi="Arial" w:cs="Arial"/>
          <w:sz w:val="22"/>
        </w:rPr>
        <w:t>), salamunov pečat (</w:t>
      </w:r>
      <w:r>
        <w:rPr>
          <w:rFonts w:ascii="Arial" w:hAnsi="Arial" w:cs="Arial"/>
          <w:i/>
          <w:iCs/>
          <w:sz w:val="22"/>
        </w:rPr>
        <w:t>Polygonatum multiflorum</w:t>
      </w:r>
      <w:r>
        <w:rPr>
          <w:rFonts w:ascii="Arial" w:hAnsi="Arial" w:cs="Arial"/>
          <w:sz w:val="22"/>
        </w:rPr>
        <w:t>) i dr.</w:t>
      </w:r>
    </w:p>
    <w:p w:rsidR="00012172" w:rsidRDefault="00012172">
      <w:pPr>
        <w:jc w:val="both"/>
        <w:rPr>
          <w:rFonts w:ascii="Arial" w:hAnsi="Arial" w:cs="Arial"/>
          <w:b/>
          <w:bCs/>
          <w:sz w:val="22"/>
        </w:rPr>
      </w:pPr>
    </w:p>
    <w:p w:rsidR="00012172" w:rsidRDefault="008F6679">
      <w:pPr>
        <w:jc w:val="center"/>
        <w:rPr>
          <w:rFonts w:ascii="Arial" w:hAnsi="Arial" w:cs="Arial"/>
          <w:sz w:val="22"/>
        </w:rPr>
      </w:pPr>
      <w:bookmarkStart w:id="27" w:name="_Toc95140582"/>
      <w:r>
        <w:rPr>
          <w:rFonts w:ascii="Arial" w:hAnsi="Arial" w:cs="Arial"/>
          <w:noProof/>
          <w:sz w:val="22"/>
        </w:rPr>
        <w:lastRenderedPageBreak/>
        <w:drawing>
          <wp:inline distT="0" distB="0" distL="0" distR="0">
            <wp:extent cx="3086100" cy="2311400"/>
            <wp:effectExtent l="19050" t="19050" r="19050" b="12700"/>
            <wp:docPr id="10" name="Slika 10" descr="P101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100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6100" cy="2311400"/>
                    </a:xfrm>
                    <a:prstGeom prst="rect">
                      <a:avLst/>
                    </a:prstGeom>
                    <a:noFill/>
                    <a:ln w="19050" cmpd="dbl">
                      <a:solidFill>
                        <a:srgbClr val="000000"/>
                      </a:solidFill>
                      <a:miter lim="800000"/>
                      <a:headEnd/>
                      <a:tailEnd/>
                    </a:ln>
                    <a:effectLst/>
                  </pic:spPr>
                </pic:pic>
              </a:graphicData>
            </a:graphic>
          </wp:inline>
        </w:drawing>
      </w:r>
    </w:p>
    <w:p w:rsidR="00012172" w:rsidRDefault="00012172">
      <w:pPr>
        <w:pStyle w:val="Opisslike"/>
        <w:ind w:left="1416" w:firstLine="708"/>
        <w:rPr>
          <w:b/>
          <w:bCs w:val="0"/>
          <w:sz w:val="22"/>
        </w:rPr>
      </w:pPr>
      <w:bookmarkStart w:id="28" w:name="_Toc135185920"/>
      <w:r>
        <w:rPr>
          <w:b/>
          <w:bCs w:val="0"/>
          <w:sz w:val="22"/>
        </w:rPr>
        <w:t xml:space="preserve">Slika </w:t>
      </w:r>
      <w:r>
        <w:rPr>
          <w:b/>
          <w:bCs w:val="0"/>
          <w:sz w:val="22"/>
        </w:rPr>
        <w:fldChar w:fldCharType="begin"/>
      </w:r>
      <w:r>
        <w:rPr>
          <w:b/>
          <w:bCs w:val="0"/>
          <w:sz w:val="22"/>
        </w:rPr>
        <w:instrText xml:space="preserve"> SEQ Slika \* ARABIC </w:instrText>
      </w:r>
      <w:r>
        <w:rPr>
          <w:b/>
          <w:bCs w:val="0"/>
          <w:sz w:val="22"/>
        </w:rPr>
        <w:fldChar w:fldCharType="separate"/>
      </w:r>
      <w:r w:rsidR="002B1815">
        <w:rPr>
          <w:b/>
          <w:bCs w:val="0"/>
          <w:noProof/>
          <w:sz w:val="22"/>
        </w:rPr>
        <w:t>8</w:t>
      </w:r>
      <w:r>
        <w:rPr>
          <w:b/>
          <w:bCs w:val="0"/>
          <w:sz w:val="22"/>
        </w:rPr>
        <w:fldChar w:fldCharType="end"/>
      </w:r>
      <w:r>
        <w:rPr>
          <w:b/>
          <w:bCs w:val="0"/>
          <w:sz w:val="22"/>
        </w:rPr>
        <w:t>: Slap</w:t>
      </w:r>
      <w:bookmarkEnd w:id="28"/>
    </w:p>
    <w:p w:rsidR="00012172" w:rsidRDefault="00012172"/>
    <w:p w:rsidR="00012172" w:rsidRDefault="00012172"/>
    <w:p w:rsidR="00012172" w:rsidRDefault="00012172">
      <w:pPr>
        <w:pStyle w:val="Naslov2"/>
        <w:rPr>
          <w:rFonts w:ascii="Times New Roman" w:hAnsi="Times New Roman" w:cs="Times New Roman"/>
        </w:rPr>
      </w:pPr>
      <w:r>
        <w:rPr>
          <w:rFonts w:ascii="Times New Roman" w:hAnsi="Times New Roman" w:cs="Times New Roman"/>
        </w:rPr>
        <w:t>1.1.3. Planski pokazatelji i obveze iz dokumenata prostornog uređenja šireg područja i ocjena postojećih prostornih planova</w:t>
      </w:r>
      <w:bookmarkEnd w:id="27"/>
      <w:r>
        <w:rPr>
          <w:rFonts w:ascii="Times New Roman" w:hAnsi="Times New Roman" w:cs="Times New Roman"/>
        </w:rPr>
        <w:t xml:space="preserve"> </w:t>
      </w:r>
    </w:p>
    <w:p w:rsidR="00012172" w:rsidRDefault="00012172">
      <w:pPr>
        <w:rPr>
          <w:rFonts w:ascii="Arial" w:hAnsi="Arial" w:cs="Arial"/>
          <w:sz w:val="22"/>
          <w:szCs w:val="22"/>
        </w:rPr>
      </w:pPr>
    </w:p>
    <w:p w:rsidR="00012172" w:rsidRDefault="00012172">
      <w:pPr>
        <w:pStyle w:val="Naslov3"/>
        <w:rPr>
          <w:rFonts w:ascii="Times New Roman" w:hAnsi="Times New Roman" w:cs="Times New Roman"/>
          <w:sz w:val="24"/>
        </w:rPr>
      </w:pPr>
      <w:bookmarkStart w:id="29" w:name="_Toc95140583"/>
      <w:r>
        <w:rPr>
          <w:rFonts w:ascii="Times New Roman" w:hAnsi="Times New Roman" w:cs="Times New Roman"/>
          <w:sz w:val="24"/>
        </w:rPr>
        <w:t>1.1.3.1. Obveze iz Programa prostornog uređenja Republike Hrvatske</w:t>
      </w:r>
      <w:bookmarkEnd w:id="29"/>
    </w:p>
    <w:p w:rsidR="00012172" w:rsidRDefault="00012172">
      <w:pPr>
        <w:rPr>
          <w:rFonts w:ascii="Arial" w:hAnsi="Arial" w:cs="Arial"/>
          <w:sz w:val="22"/>
        </w:rPr>
      </w:pPr>
      <w:r>
        <w:rPr>
          <w:rFonts w:ascii="Arial" w:hAnsi="Arial" w:cs="Arial"/>
          <w:sz w:val="22"/>
        </w:rPr>
        <w:t>Program prostornog uređenja Republike Hrvatske odredio je niz ciljeva i propisao mjere koje bi trebale</w:t>
      </w:r>
    </w:p>
    <w:p w:rsidR="00012172" w:rsidRDefault="00012172">
      <w:pPr>
        <w:numPr>
          <w:ilvl w:val="0"/>
          <w:numId w:val="32"/>
        </w:numPr>
        <w:rPr>
          <w:rFonts w:ascii="Arial" w:hAnsi="Arial" w:cs="Arial"/>
          <w:sz w:val="22"/>
        </w:rPr>
      </w:pPr>
      <w:r>
        <w:rPr>
          <w:rFonts w:ascii="Arial" w:hAnsi="Arial" w:cs="Arial"/>
          <w:sz w:val="22"/>
        </w:rPr>
        <w:t>Osigurati policentričan model prostornog razvoja države,</w:t>
      </w:r>
    </w:p>
    <w:p w:rsidR="00012172" w:rsidRDefault="00012172">
      <w:pPr>
        <w:numPr>
          <w:ilvl w:val="0"/>
          <w:numId w:val="32"/>
        </w:numPr>
        <w:rPr>
          <w:rFonts w:ascii="Arial" w:hAnsi="Arial" w:cs="Arial"/>
          <w:sz w:val="22"/>
        </w:rPr>
      </w:pPr>
      <w:r>
        <w:rPr>
          <w:rFonts w:ascii="Arial" w:hAnsi="Arial" w:cs="Arial"/>
          <w:sz w:val="22"/>
        </w:rPr>
        <w:t>Unaprijediti ukupnu prostorno – gospodarsku strukturu Hrvatske,</w:t>
      </w:r>
    </w:p>
    <w:p w:rsidR="00012172" w:rsidRDefault="00012172">
      <w:pPr>
        <w:numPr>
          <w:ilvl w:val="0"/>
          <w:numId w:val="32"/>
        </w:numPr>
        <w:rPr>
          <w:rFonts w:ascii="Arial" w:hAnsi="Arial" w:cs="Arial"/>
          <w:sz w:val="22"/>
        </w:rPr>
      </w:pPr>
      <w:r>
        <w:rPr>
          <w:rFonts w:ascii="Arial" w:hAnsi="Arial" w:cs="Arial"/>
          <w:sz w:val="22"/>
        </w:rPr>
        <w:t>Razviti infrastrukturne sustave na cijelom području države,</w:t>
      </w:r>
    </w:p>
    <w:p w:rsidR="00012172" w:rsidRDefault="00012172">
      <w:pPr>
        <w:numPr>
          <w:ilvl w:val="0"/>
          <w:numId w:val="32"/>
        </w:numPr>
        <w:rPr>
          <w:rFonts w:ascii="Arial" w:hAnsi="Arial" w:cs="Arial"/>
          <w:sz w:val="22"/>
        </w:rPr>
      </w:pPr>
      <w:r>
        <w:rPr>
          <w:rFonts w:ascii="Arial" w:hAnsi="Arial" w:cs="Arial"/>
          <w:sz w:val="22"/>
        </w:rPr>
        <w:t>Osigurati racionalno korištenje i zaštitu nacionalnih bogatstava,</w:t>
      </w:r>
    </w:p>
    <w:p w:rsidR="00012172" w:rsidRDefault="00012172">
      <w:pPr>
        <w:numPr>
          <w:ilvl w:val="0"/>
          <w:numId w:val="32"/>
        </w:numPr>
        <w:rPr>
          <w:rFonts w:ascii="Arial" w:hAnsi="Arial" w:cs="Arial"/>
          <w:sz w:val="22"/>
        </w:rPr>
      </w:pPr>
      <w:r>
        <w:rPr>
          <w:rFonts w:ascii="Arial" w:hAnsi="Arial" w:cs="Arial"/>
          <w:sz w:val="22"/>
        </w:rPr>
        <w:t>Razvojne ciljeve prilagoditi značajkama prostora,</w:t>
      </w:r>
    </w:p>
    <w:p w:rsidR="00012172" w:rsidRDefault="00012172">
      <w:pPr>
        <w:numPr>
          <w:ilvl w:val="0"/>
          <w:numId w:val="32"/>
        </w:numPr>
        <w:rPr>
          <w:rFonts w:ascii="Arial" w:hAnsi="Arial" w:cs="Arial"/>
          <w:sz w:val="22"/>
        </w:rPr>
      </w:pPr>
      <w:r>
        <w:rPr>
          <w:rFonts w:ascii="Arial" w:hAnsi="Arial" w:cs="Arial"/>
          <w:sz w:val="22"/>
        </w:rPr>
        <w:t>Odrediti prioritete djelovanja radi sprečavanja negativnih demografskih, gospodarskih i ekoloških procesa,</w:t>
      </w:r>
    </w:p>
    <w:p w:rsidR="00012172" w:rsidRDefault="00012172">
      <w:pPr>
        <w:numPr>
          <w:ilvl w:val="0"/>
          <w:numId w:val="12"/>
        </w:numPr>
        <w:rPr>
          <w:rFonts w:ascii="Arial" w:hAnsi="Arial" w:cs="Arial"/>
          <w:sz w:val="22"/>
          <w:szCs w:val="22"/>
        </w:rPr>
      </w:pPr>
      <w:r>
        <w:rPr>
          <w:rFonts w:ascii="Arial" w:hAnsi="Arial" w:cs="Arial"/>
          <w:sz w:val="22"/>
          <w:szCs w:val="22"/>
        </w:rPr>
        <w:t>Treba težiti ravnomjernijem razmještaju stanovništva uz korištenje, zaštitu i obnovu ruralnog u svrhu demografske obnove,</w:t>
      </w:r>
    </w:p>
    <w:p w:rsidR="00012172" w:rsidRDefault="00012172">
      <w:pPr>
        <w:numPr>
          <w:ilvl w:val="0"/>
          <w:numId w:val="12"/>
        </w:numPr>
        <w:rPr>
          <w:rFonts w:ascii="Arial" w:hAnsi="Arial" w:cs="Arial"/>
          <w:sz w:val="22"/>
          <w:szCs w:val="22"/>
        </w:rPr>
      </w:pPr>
      <w:r>
        <w:rPr>
          <w:rFonts w:ascii="Arial" w:hAnsi="Arial" w:cs="Arial"/>
          <w:sz w:val="22"/>
          <w:szCs w:val="22"/>
        </w:rPr>
        <w:t>Poticati optimalno korištenje postojećih građevinskih područja i zaustaviti njihova daljnja neopravdana širenja.</w:t>
      </w:r>
    </w:p>
    <w:p w:rsidR="00012172" w:rsidRDefault="00012172">
      <w:pPr>
        <w:rPr>
          <w:rFonts w:ascii="Arial" w:hAnsi="Arial" w:cs="Arial"/>
          <w:b/>
          <w:sz w:val="22"/>
          <w:szCs w:val="22"/>
        </w:rPr>
      </w:pPr>
    </w:p>
    <w:p w:rsidR="00012172" w:rsidRDefault="00012172">
      <w:pPr>
        <w:rPr>
          <w:rFonts w:ascii="Arial" w:hAnsi="Arial" w:cs="Arial"/>
          <w:b/>
          <w:sz w:val="22"/>
          <w:szCs w:val="22"/>
        </w:rPr>
      </w:pPr>
    </w:p>
    <w:p w:rsidR="00012172" w:rsidRDefault="00012172">
      <w:pPr>
        <w:pStyle w:val="Naslov6"/>
        <w:rPr>
          <w:rFonts w:ascii="Times New Roman" w:hAnsi="Times New Roman"/>
          <w:bCs w:val="0"/>
          <w:sz w:val="24"/>
          <w:szCs w:val="22"/>
        </w:rPr>
      </w:pPr>
      <w:r>
        <w:rPr>
          <w:rFonts w:ascii="Times New Roman" w:hAnsi="Times New Roman"/>
          <w:bCs w:val="0"/>
          <w:sz w:val="24"/>
          <w:szCs w:val="22"/>
        </w:rPr>
        <w:t>Infrastrukturni sustavi</w:t>
      </w:r>
    </w:p>
    <w:p w:rsidR="00012172" w:rsidRDefault="00012172"/>
    <w:p w:rsidR="00012172" w:rsidRDefault="00012172">
      <w:pPr>
        <w:rPr>
          <w:b/>
          <w:bCs/>
          <w:szCs w:val="22"/>
        </w:rPr>
      </w:pPr>
      <w:r>
        <w:rPr>
          <w:szCs w:val="22"/>
        </w:rPr>
        <w:t xml:space="preserve">- </w:t>
      </w:r>
      <w:r>
        <w:rPr>
          <w:b/>
          <w:bCs/>
          <w:szCs w:val="22"/>
        </w:rPr>
        <w:t>Prometni sustav</w:t>
      </w:r>
    </w:p>
    <w:p w:rsidR="00012172" w:rsidRDefault="00012172">
      <w:pPr>
        <w:jc w:val="both"/>
        <w:rPr>
          <w:rFonts w:ascii="Arial" w:hAnsi="Arial" w:cs="Arial"/>
          <w:sz w:val="22"/>
          <w:szCs w:val="22"/>
        </w:rPr>
      </w:pPr>
      <w:r>
        <w:rPr>
          <w:rFonts w:ascii="Arial" w:hAnsi="Arial" w:cs="Arial"/>
          <w:sz w:val="22"/>
          <w:szCs w:val="22"/>
        </w:rPr>
        <w:t>Cestovni promet</w:t>
      </w:r>
    </w:p>
    <w:p w:rsidR="00012172" w:rsidRDefault="00012172">
      <w:pPr>
        <w:jc w:val="both"/>
        <w:rPr>
          <w:rFonts w:ascii="Arial" w:hAnsi="Arial" w:cs="Arial"/>
          <w:sz w:val="22"/>
        </w:rPr>
      </w:pPr>
      <w:r>
        <w:rPr>
          <w:rFonts w:ascii="Arial" w:hAnsi="Arial" w:cs="Arial"/>
          <w:sz w:val="22"/>
        </w:rPr>
        <w:t xml:space="preserve">Kako bi se ostvarila što bolja prometna povezanost sa svim dijelovima države, ali i unutar same županije i općine Gornja Rijeka te postigla razina uslužnosti koju zahtijeva suvremeni promet, potrebno je što prije realizirati planove zacrtane Strategijom prometnog razvitka Republike Hrvatske. </w:t>
      </w:r>
    </w:p>
    <w:p w:rsidR="00012172" w:rsidRDefault="00012172">
      <w:pPr>
        <w:jc w:val="both"/>
        <w:rPr>
          <w:rFonts w:ascii="Arial" w:hAnsi="Arial" w:cs="Arial"/>
          <w:sz w:val="22"/>
          <w:szCs w:val="22"/>
        </w:rPr>
      </w:pPr>
      <w:r>
        <w:rPr>
          <w:rFonts w:ascii="Arial" w:hAnsi="Arial" w:cs="Arial"/>
          <w:sz w:val="22"/>
          <w:szCs w:val="22"/>
        </w:rPr>
        <w:t>Kako bi se ubrzao razvoj cestovnog prometa prioritet je unapređenje kvalitete cestovne mreže, uspostava važnih cestovnih pravaca, odnosno dopuna mreže državnih cesta. Kritične dionice i objekte potrebno je rješavati postupno.</w:t>
      </w:r>
    </w:p>
    <w:p w:rsidR="00012172" w:rsidRDefault="00012172">
      <w:pPr>
        <w:jc w:val="both"/>
        <w:rPr>
          <w:rFonts w:ascii="Arial" w:hAnsi="Arial" w:cs="Arial"/>
          <w:sz w:val="22"/>
          <w:szCs w:val="22"/>
        </w:rPr>
      </w:pPr>
      <w:r>
        <w:rPr>
          <w:rFonts w:ascii="Arial" w:hAnsi="Arial" w:cs="Arial"/>
          <w:sz w:val="22"/>
          <w:szCs w:val="22"/>
        </w:rPr>
        <w:t>Daljnjim širenjem građevinskog područja uzduž državne i županijske ceste doći će do sniženja kategorija cesta te je stoga potrebno spriječiti takvo daljnje širenje.</w:t>
      </w:r>
    </w:p>
    <w:p w:rsidR="00012172" w:rsidRDefault="00012172">
      <w:pPr>
        <w:pStyle w:val="Tijeloteksta-uvlaka3"/>
        <w:rPr>
          <w:rFonts w:ascii="Times New Roman" w:hAnsi="Times New Roman"/>
        </w:rPr>
      </w:pPr>
    </w:p>
    <w:p w:rsidR="00012172" w:rsidRDefault="00012172">
      <w:pPr>
        <w:jc w:val="both"/>
        <w:rPr>
          <w:rFonts w:ascii="Arial" w:hAnsi="Arial" w:cs="Arial"/>
          <w:sz w:val="22"/>
        </w:rPr>
      </w:pPr>
      <w:r>
        <w:rPr>
          <w:rFonts w:ascii="Arial" w:hAnsi="Arial" w:cs="Arial"/>
          <w:sz w:val="22"/>
        </w:rPr>
        <w:lastRenderedPageBreak/>
        <w:t>Telekomunikacije</w:t>
      </w:r>
    </w:p>
    <w:p w:rsidR="00012172" w:rsidRDefault="00012172">
      <w:pPr>
        <w:jc w:val="both"/>
        <w:rPr>
          <w:rFonts w:ascii="Arial" w:hAnsi="Arial" w:cs="Arial"/>
          <w:sz w:val="22"/>
        </w:rPr>
      </w:pPr>
      <w:r>
        <w:rPr>
          <w:rFonts w:ascii="Arial" w:hAnsi="Arial" w:cs="Arial"/>
          <w:sz w:val="22"/>
        </w:rPr>
        <w:t xml:space="preserve">Telekomunikacijski sustav na nivou Države je visoko razvijen. Kako bi se nastavio daljnji razvoj kabelske mreže potrebno je uz prometnu infrastrukturu osigurati koridore u koje će se polagati cijevi za uvlačenje TK kabela. Postojeću telekomunikacijsku mrežu treba održavati na dostignutoj razini posluživanja te je dopuniti na prostorima gdje još nije modernizirana. </w:t>
      </w:r>
    </w:p>
    <w:p w:rsidR="00012172" w:rsidRDefault="00012172">
      <w:pPr>
        <w:jc w:val="both"/>
        <w:rPr>
          <w:rFonts w:ascii="Arial" w:hAnsi="Arial" w:cs="Arial"/>
          <w:sz w:val="22"/>
        </w:rPr>
      </w:pPr>
    </w:p>
    <w:p w:rsidR="00012172" w:rsidRDefault="00012172">
      <w:pPr>
        <w:jc w:val="both"/>
        <w:rPr>
          <w:rFonts w:ascii="Arial" w:hAnsi="Arial" w:cs="Arial"/>
          <w:sz w:val="22"/>
        </w:rPr>
      </w:pPr>
    </w:p>
    <w:p w:rsidR="00012172" w:rsidRDefault="00012172">
      <w:pPr>
        <w:rPr>
          <w:rFonts w:ascii="Arial" w:hAnsi="Arial" w:cs="Arial"/>
          <w:b/>
          <w:bCs/>
          <w:sz w:val="22"/>
        </w:rPr>
      </w:pPr>
      <w:r>
        <w:rPr>
          <w:rFonts w:ascii="Arial" w:hAnsi="Arial" w:cs="Arial"/>
          <w:b/>
          <w:bCs/>
          <w:sz w:val="22"/>
        </w:rPr>
        <w:t>- Energetski sustav</w:t>
      </w:r>
    </w:p>
    <w:p w:rsidR="00012172" w:rsidRDefault="00012172">
      <w:pPr>
        <w:jc w:val="both"/>
        <w:rPr>
          <w:rFonts w:ascii="Arial" w:hAnsi="Arial" w:cs="Arial"/>
          <w:sz w:val="22"/>
        </w:rPr>
      </w:pPr>
      <w:r>
        <w:rPr>
          <w:rFonts w:ascii="Arial" w:hAnsi="Arial" w:cs="Arial"/>
          <w:sz w:val="22"/>
        </w:rPr>
        <w:t>Na nacionalnoj razini odvojeno se obrađuju sustavi za proizvodnju od sustava za prijenos energije. Planirane potrebe za energijom treba ostvariti modernizacijom, rekonstrukcijom te proširenjem postojećih objekata uz uvođenje nove tehnologije. Jedan od važnih ciljeva  je smanjenje gubitaka u energetskim sustavima te fiskalnim mjerama postizanje smanjenja potrošnje i korištenja energenata. Pored konvencionalnih treba poticati korištenje alternativnih izvora energije (sunce, vjetar, bioenergija), naročito za lokalne potrebe i izdvojene prostorno - funkcionalne cjeline.</w:t>
      </w:r>
    </w:p>
    <w:p w:rsidR="00012172" w:rsidRDefault="00012172">
      <w:pPr>
        <w:jc w:val="both"/>
        <w:rPr>
          <w:sz w:val="22"/>
          <w:szCs w:val="22"/>
        </w:rPr>
      </w:pPr>
    </w:p>
    <w:p w:rsidR="00012172" w:rsidRDefault="00012172">
      <w:pPr>
        <w:ind w:left="360"/>
        <w:jc w:val="both"/>
        <w:rPr>
          <w:rFonts w:ascii="Arial" w:hAnsi="Arial" w:cs="Arial"/>
          <w:sz w:val="22"/>
          <w:szCs w:val="22"/>
        </w:rPr>
      </w:pPr>
    </w:p>
    <w:p w:rsidR="00012172" w:rsidRDefault="00012172">
      <w:pPr>
        <w:jc w:val="both"/>
        <w:rPr>
          <w:rFonts w:ascii="Arial" w:hAnsi="Arial" w:cs="Arial"/>
          <w:b/>
          <w:sz w:val="22"/>
          <w:szCs w:val="22"/>
        </w:rPr>
      </w:pPr>
      <w:r>
        <w:rPr>
          <w:rFonts w:ascii="Arial" w:hAnsi="Arial" w:cs="Arial"/>
          <w:bCs/>
          <w:sz w:val="22"/>
          <w:szCs w:val="22"/>
        </w:rPr>
        <w:t xml:space="preserve">- </w:t>
      </w:r>
      <w:r>
        <w:rPr>
          <w:rFonts w:ascii="Arial" w:hAnsi="Arial" w:cs="Arial"/>
          <w:b/>
          <w:sz w:val="22"/>
          <w:szCs w:val="22"/>
        </w:rPr>
        <w:t>Vodnogospodarski sustav</w:t>
      </w:r>
    </w:p>
    <w:p w:rsidR="00012172" w:rsidRDefault="00012172">
      <w:pPr>
        <w:jc w:val="both"/>
        <w:rPr>
          <w:rFonts w:ascii="Arial" w:hAnsi="Arial" w:cs="Arial"/>
          <w:sz w:val="22"/>
        </w:rPr>
      </w:pPr>
      <w:r>
        <w:rPr>
          <w:rFonts w:ascii="Arial" w:hAnsi="Arial" w:cs="Arial"/>
          <w:sz w:val="22"/>
        </w:rPr>
        <w:t>Osnovni cilj Dugoročnog programa vodoopskrbe je osiguranje dovoljnih količina  kvalitetne vode za zadovoljenje potreba stanovništva i gospodarstva. Procjenom sveukupnih količina vode ustanovljeno je da Hrvatska ima dovoljne količine potencijalnih izvora pitke, kvalitetne vode.  Sve veća potrošnja vode skreće pozornost na nužnost zaštite i što učinkovitiju upotrebu sadašnjih izvorišta. Pri planiranju energetskog korištenja voda treba inzistirati na višenamjenskim sustavima kojima bi se ujedno riješili kompleksni vodnogospodarski problemi na slivovima velikih rijeka. Isto tako, osobitu pažnju treba posvetiti sustavnom navodnjavanju, u sklopu višenamjenskih rješenja kako bi se osigurala dovoljna količina vode.</w:t>
      </w:r>
    </w:p>
    <w:p w:rsidR="00012172" w:rsidRDefault="00012172">
      <w:pPr>
        <w:jc w:val="both"/>
        <w:rPr>
          <w:rFonts w:ascii="Arial" w:hAnsi="Arial" w:cs="Arial"/>
          <w:sz w:val="22"/>
        </w:rPr>
      </w:pPr>
      <w:r>
        <w:rPr>
          <w:rFonts w:ascii="Arial" w:hAnsi="Arial" w:cs="Arial"/>
          <w:sz w:val="22"/>
        </w:rPr>
        <w:t>Glede zaštite voda primarno je riješiti problem otpadnih voda i ostalog otpada koji čine dominantan izvor zagađenja. Izgradnja kanalizacijskog sustava čini prioritet kako za zaštitu podzemnih voda tako i za kontrolirano skupljanje pojedinačnih izvora zagađenja i dovođenje na lokaciju središnjeg uređaja za pročišćavanje zagađenih voda.</w:t>
      </w:r>
    </w:p>
    <w:p w:rsidR="00012172" w:rsidRDefault="00012172">
      <w:pPr>
        <w:jc w:val="both"/>
        <w:rPr>
          <w:rFonts w:ascii="Arial" w:hAnsi="Arial" w:cs="Arial"/>
          <w:b/>
          <w:sz w:val="22"/>
          <w:szCs w:val="22"/>
        </w:rPr>
      </w:pPr>
    </w:p>
    <w:p w:rsidR="00012172" w:rsidRDefault="00012172">
      <w:pPr>
        <w:jc w:val="both"/>
        <w:rPr>
          <w:rFonts w:ascii="Arial" w:hAnsi="Arial" w:cs="Arial"/>
          <w:bCs/>
          <w:sz w:val="22"/>
          <w:szCs w:val="22"/>
        </w:rPr>
      </w:pPr>
      <w:r>
        <w:rPr>
          <w:rFonts w:ascii="Arial" w:hAnsi="Arial" w:cs="Arial"/>
          <w:bCs/>
          <w:sz w:val="22"/>
          <w:szCs w:val="22"/>
        </w:rPr>
        <w:t xml:space="preserve">Vodoopskrbni  sustavi  se  trebaju  planirati  prema  konceptu  “održivog” gospodarenja  vodama  i upravljanja  vodoopskrbom,  a  zaštitnim  se  zonama  izvorišta  mora  posvetiti  puna  pozornost  te  je   potrebno  poduzeti  zahvate  kako  bi  ih  se  uključilo  u  sklop  vodogospodarskih  sustava  i  efikasno  provela  njihova  zaštita. </w:t>
      </w:r>
    </w:p>
    <w:p w:rsidR="00012172" w:rsidRDefault="00012172">
      <w:pPr>
        <w:jc w:val="both"/>
        <w:rPr>
          <w:rFonts w:ascii="Arial" w:hAnsi="Arial" w:cs="Arial"/>
          <w:sz w:val="22"/>
          <w:szCs w:val="22"/>
        </w:rPr>
      </w:pPr>
      <w:r>
        <w:rPr>
          <w:rFonts w:ascii="Arial" w:hAnsi="Arial" w:cs="Arial"/>
          <w:sz w:val="22"/>
          <w:szCs w:val="22"/>
        </w:rPr>
        <w:t>Prioritet izgradnje vodoopskrbnih  objekata  je što brže postizanje  ravnomjerne  vodoopskrbe,  a odnosi  se  na  rješenje  distribucije  u  okviru  minimuma  dopuštenih  gubitaka  vode  i  reduciranje  potrošnje  vode  na  stvarne  potrebe  komunalnog  standarda.</w:t>
      </w:r>
    </w:p>
    <w:p w:rsidR="00012172" w:rsidRDefault="00012172">
      <w:pPr>
        <w:rPr>
          <w:rFonts w:ascii="Arial" w:hAnsi="Arial" w:cs="Arial"/>
          <w:sz w:val="22"/>
          <w:szCs w:val="22"/>
        </w:rPr>
      </w:pPr>
    </w:p>
    <w:p w:rsidR="00012172" w:rsidRDefault="00012172">
      <w:pPr>
        <w:rPr>
          <w:rFonts w:ascii="Arial" w:hAnsi="Arial" w:cs="Arial"/>
          <w:sz w:val="22"/>
          <w:szCs w:val="22"/>
        </w:rPr>
      </w:pPr>
    </w:p>
    <w:p w:rsidR="00012172" w:rsidRDefault="00012172">
      <w:pPr>
        <w:pStyle w:val="Naslov6"/>
        <w:rPr>
          <w:rFonts w:cs="Arial"/>
          <w:szCs w:val="22"/>
        </w:rPr>
      </w:pPr>
      <w:r>
        <w:rPr>
          <w:rFonts w:cs="Arial"/>
          <w:szCs w:val="22"/>
        </w:rPr>
        <w:t>Zbrinjavanje otpada</w:t>
      </w:r>
    </w:p>
    <w:p w:rsidR="00012172" w:rsidRDefault="00012172">
      <w:pPr>
        <w:jc w:val="both"/>
        <w:rPr>
          <w:rFonts w:ascii="Arial" w:hAnsi="Arial" w:cs="Arial"/>
          <w:sz w:val="22"/>
        </w:rPr>
      </w:pPr>
      <w:r>
        <w:rPr>
          <w:rFonts w:ascii="Arial" w:hAnsi="Arial" w:cs="Arial"/>
          <w:sz w:val="22"/>
        </w:rPr>
        <w:t>Problematika zbrinjavanja otpada obuhvaća zbrinjavanje komunalnog i posebnog otpada i ima osobitu važnost s gledišta zaštite okoliša i prirodnih resursa, ali nedovoljno sagledano gospodarsko-razvojno značenje.</w:t>
      </w:r>
    </w:p>
    <w:p w:rsidR="00012172" w:rsidRDefault="00012172">
      <w:pPr>
        <w:jc w:val="both"/>
        <w:rPr>
          <w:rFonts w:ascii="Arial" w:hAnsi="Arial" w:cs="Arial"/>
          <w:sz w:val="22"/>
        </w:rPr>
      </w:pPr>
      <w:r>
        <w:rPr>
          <w:rFonts w:ascii="Arial" w:hAnsi="Arial" w:cs="Arial"/>
          <w:sz w:val="22"/>
        </w:rPr>
        <w:t>Mjere za organizirano i kontrolirano postupanje s otpadom obuhvaćaju: smanjenje nastanka otpada, mjere korištenja otpada i sigurno odlaganje neiskoristivog otpada sa svim prethodnim i pratećim mjerama i postupcima osiguranja od bilo koje vrste štetnog djelovanja.</w:t>
      </w:r>
    </w:p>
    <w:p w:rsidR="00012172" w:rsidRDefault="00012172">
      <w:pPr>
        <w:jc w:val="both"/>
        <w:rPr>
          <w:rFonts w:ascii="Arial" w:hAnsi="Arial" w:cs="Arial"/>
          <w:sz w:val="22"/>
        </w:rPr>
      </w:pPr>
      <w:r>
        <w:rPr>
          <w:rFonts w:ascii="Arial" w:hAnsi="Arial" w:cs="Arial"/>
          <w:sz w:val="22"/>
        </w:rPr>
        <w:t xml:space="preserve">Prioritet je gospodarenje otpadom i izgradnja sanitarnih odlagališta (deponija) umjesto neorganiziranih odlagališta koja su danas u upotrebi, s primjenom propisanih mjera sigurnosti i zaštite od štetnog djelovanja na okoliš. </w:t>
      </w:r>
    </w:p>
    <w:p w:rsidR="00012172" w:rsidRDefault="00012172">
      <w:pPr>
        <w:rPr>
          <w:rFonts w:ascii="Arial" w:hAnsi="Arial" w:cs="Arial"/>
          <w:sz w:val="22"/>
        </w:rPr>
      </w:pPr>
    </w:p>
    <w:p w:rsidR="00012172" w:rsidRDefault="00012172"/>
    <w:p w:rsidR="009A1682" w:rsidRDefault="009A1682"/>
    <w:p w:rsidR="009A1682" w:rsidRDefault="009A1682"/>
    <w:p w:rsidR="00012172" w:rsidRDefault="00012172">
      <w:pPr>
        <w:rPr>
          <w:b/>
          <w:szCs w:val="22"/>
        </w:rPr>
      </w:pPr>
      <w:r>
        <w:rPr>
          <w:b/>
          <w:szCs w:val="22"/>
        </w:rPr>
        <w:lastRenderedPageBreak/>
        <w:t>Gospodarske djelatnosti u prostoru</w:t>
      </w:r>
    </w:p>
    <w:p w:rsidR="00012172" w:rsidRDefault="00012172">
      <w:pPr>
        <w:pStyle w:val="Naslov6"/>
        <w:rPr>
          <w:rFonts w:cs="Arial"/>
          <w:szCs w:val="22"/>
        </w:rPr>
      </w:pPr>
      <w:r>
        <w:rPr>
          <w:rFonts w:cs="Arial"/>
          <w:szCs w:val="22"/>
        </w:rPr>
        <w:t>Šumarstvo</w:t>
      </w:r>
    </w:p>
    <w:p w:rsidR="00012172" w:rsidRDefault="00012172">
      <w:pPr>
        <w:pStyle w:val="Tijeloteksta3"/>
        <w:numPr>
          <w:ilvl w:val="0"/>
          <w:numId w:val="4"/>
        </w:numPr>
        <w:spacing w:after="0"/>
        <w:jc w:val="both"/>
        <w:rPr>
          <w:rFonts w:ascii="Arial" w:hAnsi="Arial" w:cs="Arial"/>
          <w:bCs/>
          <w:sz w:val="22"/>
          <w:szCs w:val="22"/>
        </w:rPr>
      </w:pPr>
      <w:r>
        <w:rPr>
          <w:rFonts w:ascii="Arial" w:hAnsi="Arial" w:cs="Arial"/>
          <w:bCs/>
          <w:sz w:val="22"/>
          <w:szCs w:val="22"/>
        </w:rPr>
        <w:t>U skladu s održivim razvojem treba svaku uništenu šumsku površinu obnoviti pošumljavanjem, zaštititi šume, kontinuirano pratiti stanje šuma i kartirati ih, preradu drva razvijati kao čistu industriju, te poticati razvoj urbanog šumarstva.</w:t>
      </w:r>
    </w:p>
    <w:p w:rsidR="00012172" w:rsidRDefault="00012172">
      <w:pPr>
        <w:pStyle w:val="Tijeloteksta3"/>
        <w:outlineLvl w:val="0"/>
        <w:rPr>
          <w:rFonts w:ascii="Arial" w:hAnsi="Arial" w:cs="Arial"/>
          <w:b/>
          <w:sz w:val="22"/>
          <w:szCs w:val="22"/>
        </w:rPr>
      </w:pPr>
    </w:p>
    <w:p w:rsidR="00012172" w:rsidRDefault="00012172">
      <w:pPr>
        <w:rPr>
          <w:rFonts w:ascii="Arial" w:hAnsi="Arial" w:cs="Arial"/>
          <w:b/>
          <w:bCs/>
          <w:sz w:val="22"/>
          <w:szCs w:val="22"/>
        </w:rPr>
      </w:pPr>
      <w:r>
        <w:rPr>
          <w:rFonts w:ascii="Arial" w:hAnsi="Arial" w:cs="Arial"/>
          <w:b/>
          <w:sz w:val="22"/>
          <w:szCs w:val="22"/>
        </w:rPr>
        <w:t>Poljodjelstvo</w:t>
      </w:r>
    </w:p>
    <w:p w:rsidR="00012172" w:rsidRDefault="00012172">
      <w:pPr>
        <w:pStyle w:val="Tijeloteksta3"/>
        <w:numPr>
          <w:ilvl w:val="0"/>
          <w:numId w:val="4"/>
        </w:numPr>
        <w:spacing w:after="0"/>
        <w:jc w:val="both"/>
        <w:rPr>
          <w:rFonts w:ascii="Arial" w:hAnsi="Arial" w:cs="Arial"/>
          <w:bCs/>
          <w:sz w:val="22"/>
          <w:szCs w:val="22"/>
        </w:rPr>
      </w:pPr>
      <w:r>
        <w:rPr>
          <w:rFonts w:ascii="Arial" w:hAnsi="Arial" w:cs="Arial"/>
          <w:bCs/>
          <w:sz w:val="22"/>
          <w:szCs w:val="22"/>
        </w:rPr>
        <w:t>Cilj transformacije poljodjelskog sektora je razvijanje suvremenog, djelotvornog, konkurentnog i ekološki čistog poljodjeljstva.</w:t>
      </w:r>
    </w:p>
    <w:p w:rsidR="00012172" w:rsidRDefault="00012172">
      <w:pPr>
        <w:pStyle w:val="Tijeloteksta3"/>
        <w:numPr>
          <w:ilvl w:val="0"/>
          <w:numId w:val="4"/>
        </w:numPr>
        <w:spacing w:after="0"/>
        <w:jc w:val="both"/>
        <w:rPr>
          <w:rFonts w:ascii="Arial" w:hAnsi="Arial" w:cs="Arial"/>
          <w:bCs/>
          <w:sz w:val="22"/>
          <w:szCs w:val="22"/>
        </w:rPr>
      </w:pPr>
      <w:r>
        <w:rPr>
          <w:rFonts w:ascii="Arial" w:hAnsi="Arial" w:cs="Arial"/>
          <w:bCs/>
          <w:sz w:val="22"/>
          <w:szCs w:val="22"/>
        </w:rPr>
        <w:t>U svrhu zaštite i očuvanja poljodjelskog resursa treba u dokumente prostornog uređenja uključiti racionalno korištenje poljoprivrednog zemljišta te smanjiti korištenje kvalitetnog zemljišta za nepoljodjelske svrhe, sanirati površinske kopove, te usmjeravati i poticati proizvodnju zdrave hrane.</w:t>
      </w:r>
    </w:p>
    <w:p w:rsidR="00012172" w:rsidRDefault="00012172">
      <w:pPr>
        <w:pStyle w:val="Tijeloteksta3"/>
        <w:numPr>
          <w:ilvl w:val="0"/>
          <w:numId w:val="4"/>
        </w:numPr>
        <w:spacing w:after="0"/>
        <w:jc w:val="both"/>
        <w:rPr>
          <w:rFonts w:ascii="Arial" w:hAnsi="Arial" w:cs="Arial"/>
          <w:bCs/>
          <w:sz w:val="22"/>
          <w:szCs w:val="22"/>
        </w:rPr>
      </w:pPr>
      <w:r>
        <w:rPr>
          <w:rFonts w:ascii="Arial" w:hAnsi="Arial" w:cs="Arial"/>
          <w:bCs/>
          <w:sz w:val="22"/>
          <w:szCs w:val="22"/>
        </w:rPr>
        <w:t>U cilju unapređenja korištenja tla potrebno je donjeti program i zakone koji potiču održivi razvitak, te uvesti novi pristup u utvrđivanju boniteta tla.</w:t>
      </w:r>
    </w:p>
    <w:p w:rsidR="00012172" w:rsidRDefault="00012172">
      <w:pPr>
        <w:pStyle w:val="Tijeloteksta3"/>
        <w:numPr>
          <w:ilvl w:val="0"/>
          <w:numId w:val="4"/>
        </w:numPr>
        <w:spacing w:after="0"/>
        <w:jc w:val="both"/>
        <w:rPr>
          <w:rFonts w:ascii="Arial" w:hAnsi="Arial" w:cs="Arial"/>
          <w:bCs/>
          <w:sz w:val="22"/>
          <w:szCs w:val="22"/>
        </w:rPr>
      </w:pPr>
      <w:r>
        <w:rPr>
          <w:rFonts w:ascii="Arial" w:hAnsi="Arial" w:cs="Arial"/>
          <w:bCs/>
          <w:sz w:val="22"/>
          <w:szCs w:val="22"/>
        </w:rPr>
        <w:t>Prioriteti djelovanja u svrhu gospodarskog razvitka poljodjelstva su: zaustavljane depopulacije, bolje iskorištavanje poljodjelskih površina, stimulacija određene proizvodnje i proširivanje kvalitetnih poljodjelskih površina.</w:t>
      </w:r>
    </w:p>
    <w:p w:rsidR="00012172" w:rsidRDefault="00012172">
      <w:pPr>
        <w:pStyle w:val="Tijeloteksta3"/>
        <w:rPr>
          <w:rFonts w:ascii="Arial" w:hAnsi="Arial" w:cs="Arial"/>
          <w:b/>
          <w:sz w:val="22"/>
          <w:szCs w:val="22"/>
        </w:rPr>
      </w:pPr>
    </w:p>
    <w:p w:rsidR="00012172" w:rsidRDefault="00012172">
      <w:pPr>
        <w:pStyle w:val="Naslov6"/>
        <w:rPr>
          <w:rFonts w:cs="Arial"/>
          <w:szCs w:val="22"/>
        </w:rPr>
      </w:pPr>
      <w:r>
        <w:rPr>
          <w:rFonts w:cs="Arial"/>
          <w:szCs w:val="22"/>
        </w:rPr>
        <w:t>Zaštita posebnih vrijednosti prostora i okoliša</w:t>
      </w:r>
    </w:p>
    <w:p w:rsidR="00012172" w:rsidRDefault="00012172">
      <w:pPr>
        <w:rPr>
          <w:rFonts w:ascii="Arial" w:hAnsi="Arial" w:cs="Arial"/>
          <w:sz w:val="22"/>
          <w:szCs w:val="22"/>
        </w:rPr>
      </w:pPr>
      <w:r>
        <w:rPr>
          <w:rFonts w:ascii="Arial" w:hAnsi="Arial" w:cs="Arial"/>
          <w:sz w:val="22"/>
          <w:szCs w:val="22"/>
        </w:rPr>
        <w:t>Radi učinkovitog planiranja nužno je  utvrditi:</w:t>
      </w:r>
    </w:p>
    <w:p w:rsidR="00012172" w:rsidRDefault="00012172">
      <w:pPr>
        <w:rPr>
          <w:rFonts w:ascii="Arial" w:hAnsi="Arial" w:cs="Arial"/>
          <w:sz w:val="22"/>
          <w:szCs w:val="22"/>
        </w:rPr>
      </w:pPr>
      <w:r>
        <w:rPr>
          <w:rFonts w:ascii="Arial" w:hAnsi="Arial" w:cs="Arial"/>
          <w:sz w:val="22"/>
          <w:szCs w:val="22"/>
        </w:rPr>
        <w:t>- dosadašnju opterećenost i  ugroženost prostora te prihvatljive kapacitete prostora (nosivi kapacitet)</w:t>
      </w:r>
    </w:p>
    <w:p w:rsidR="00012172" w:rsidRDefault="00012172">
      <w:pPr>
        <w:numPr>
          <w:ilvl w:val="0"/>
          <w:numId w:val="4"/>
        </w:numPr>
        <w:jc w:val="both"/>
        <w:rPr>
          <w:rFonts w:ascii="Arial" w:hAnsi="Arial" w:cs="Arial"/>
          <w:sz w:val="22"/>
          <w:szCs w:val="22"/>
        </w:rPr>
      </w:pPr>
      <w:r>
        <w:rPr>
          <w:rFonts w:ascii="Arial" w:hAnsi="Arial" w:cs="Arial"/>
          <w:sz w:val="22"/>
          <w:szCs w:val="22"/>
        </w:rPr>
        <w:t>opremeljenost tehničkom infrastrukturom  i nedostatke</w:t>
      </w:r>
    </w:p>
    <w:p w:rsidR="00012172" w:rsidRDefault="00012172">
      <w:pPr>
        <w:numPr>
          <w:ilvl w:val="0"/>
          <w:numId w:val="4"/>
        </w:numPr>
        <w:jc w:val="both"/>
        <w:rPr>
          <w:rFonts w:ascii="Arial" w:hAnsi="Arial" w:cs="Arial"/>
          <w:sz w:val="22"/>
          <w:szCs w:val="22"/>
        </w:rPr>
      </w:pPr>
      <w:r>
        <w:rPr>
          <w:rFonts w:ascii="Arial" w:hAnsi="Arial" w:cs="Arial"/>
          <w:sz w:val="22"/>
          <w:szCs w:val="22"/>
        </w:rPr>
        <w:t>prirodne i stvorene vrijednosti koje treba zaštiti</w:t>
      </w:r>
    </w:p>
    <w:p w:rsidR="00012172" w:rsidRDefault="00012172">
      <w:pPr>
        <w:numPr>
          <w:ilvl w:val="0"/>
          <w:numId w:val="4"/>
        </w:numPr>
        <w:jc w:val="both"/>
        <w:rPr>
          <w:rFonts w:ascii="Arial" w:hAnsi="Arial" w:cs="Arial"/>
          <w:sz w:val="22"/>
        </w:rPr>
      </w:pPr>
      <w:r>
        <w:rPr>
          <w:rFonts w:ascii="Arial" w:hAnsi="Arial" w:cs="Arial"/>
          <w:sz w:val="22"/>
          <w:szCs w:val="22"/>
        </w:rPr>
        <w:t xml:space="preserve">propise, sporazume i  konvencije koji vrijede za određeno </w:t>
      </w:r>
      <w:r>
        <w:rPr>
          <w:rFonts w:ascii="Arial" w:hAnsi="Arial" w:cs="Arial"/>
          <w:sz w:val="22"/>
        </w:rPr>
        <w:t>područje i određeni tip prostora-resursa.</w:t>
      </w:r>
    </w:p>
    <w:p w:rsidR="00012172" w:rsidRDefault="00012172">
      <w:pPr>
        <w:jc w:val="both"/>
        <w:rPr>
          <w:rFonts w:ascii="Arial" w:hAnsi="Arial" w:cs="Arial"/>
          <w:sz w:val="22"/>
        </w:rPr>
      </w:pPr>
    </w:p>
    <w:p w:rsidR="00012172" w:rsidRDefault="00012172">
      <w:pPr>
        <w:jc w:val="both"/>
        <w:rPr>
          <w:rFonts w:ascii="Arial" w:hAnsi="Arial" w:cs="Arial"/>
          <w:sz w:val="22"/>
          <w:szCs w:val="22"/>
        </w:rPr>
      </w:pPr>
      <w:r>
        <w:rPr>
          <w:rFonts w:ascii="Arial" w:hAnsi="Arial" w:cs="Arial"/>
          <w:sz w:val="22"/>
          <w:szCs w:val="22"/>
        </w:rPr>
        <w:t>U planiranju razvoja nužan je pažljiv izbor razvojnih programa i tehnologija koje će očuvati kvalitetu prostora i okoliša, a razvoj planirati u granicama prihvatljivog opterećenja  prostora, neprihvaćanjem zastarjelih i štetnih tehnologija te dosljednim provođenjem načela održivog razvitka.</w:t>
      </w:r>
    </w:p>
    <w:p w:rsidR="00012172" w:rsidRDefault="00012172">
      <w:pPr>
        <w:jc w:val="both"/>
        <w:rPr>
          <w:rFonts w:ascii="Arial" w:hAnsi="Arial" w:cs="Arial"/>
          <w:sz w:val="22"/>
          <w:szCs w:val="22"/>
        </w:rPr>
      </w:pPr>
    </w:p>
    <w:p w:rsidR="00012172" w:rsidRDefault="00012172">
      <w:pPr>
        <w:jc w:val="both"/>
        <w:rPr>
          <w:rFonts w:ascii="Arial" w:hAnsi="Arial" w:cs="Arial"/>
          <w:sz w:val="22"/>
          <w:szCs w:val="22"/>
        </w:rPr>
      </w:pPr>
      <w:r>
        <w:rPr>
          <w:rFonts w:ascii="Arial" w:hAnsi="Arial" w:cs="Arial"/>
          <w:sz w:val="22"/>
          <w:szCs w:val="22"/>
        </w:rPr>
        <w:t>Zbrinjavanje opasnog otpada  ustrojava se na razini države, a komunalnog otpada na lokalnoj razini. Prioritet je smanjenje sadašnjih, neorganiziranih odlagališta s primarnom zaštitom voda, poljoprivrednog zemljišta i naselja.</w:t>
      </w:r>
    </w:p>
    <w:p w:rsidR="00012172" w:rsidRDefault="00012172">
      <w:pPr>
        <w:rPr>
          <w:color w:val="0000FF"/>
        </w:rPr>
      </w:pPr>
    </w:p>
    <w:p w:rsidR="00012172" w:rsidRDefault="00012172">
      <w:pPr>
        <w:pStyle w:val="Naslov6"/>
        <w:rPr>
          <w:rFonts w:ascii="Times New Roman" w:hAnsi="Times New Roman"/>
          <w:sz w:val="24"/>
          <w:szCs w:val="22"/>
        </w:rPr>
      </w:pPr>
    </w:p>
    <w:p w:rsidR="00012172" w:rsidRDefault="00012172">
      <w:pPr>
        <w:pStyle w:val="Naslov6"/>
        <w:rPr>
          <w:rFonts w:cs="Arial"/>
          <w:szCs w:val="22"/>
        </w:rPr>
      </w:pPr>
      <w:r>
        <w:rPr>
          <w:rFonts w:cs="Arial"/>
          <w:szCs w:val="22"/>
        </w:rPr>
        <w:t>Zaštita prirodne baštine</w:t>
      </w:r>
    </w:p>
    <w:p w:rsidR="00012172" w:rsidRDefault="00012172">
      <w:pPr>
        <w:jc w:val="both"/>
        <w:rPr>
          <w:rFonts w:ascii="Arial" w:hAnsi="Arial" w:cs="Arial"/>
          <w:sz w:val="22"/>
          <w:szCs w:val="22"/>
        </w:rPr>
      </w:pPr>
      <w:r>
        <w:rPr>
          <w:rFonts w:ascii="Arial" w:hAnsi="Arial" w:cs="Arial"/>
          <w:sz w:val="22"/>
          <w:szCs w:val="22"/>
        </w:rPr>
        <w:t xml:space="preserve">Osnovni cilj je uspostaviti  cjelovitu zaštitu prirodnih vrijednosti kroz istraživanje i sustavno vrednovanje prostora, novelaciju dokumenata prostornog uređenja (sustav mjera zaštite i korištenje prostora), unaprjeđivanje pravne osnovice te organizacijsko i stručno osposobljavanje službe zaštite. </w:t>
      </w:r>
    </w:p>
    <w:p w:rsidR="00012172" w:rsidRDefault="00012172">
      <w:pPr>
        <w:rPr>
          <w:rFonts w:ascii="Arial" w:hAnsi="Arial" w:cs="Arial"/>
          <w:sz w:val="22"/>
        </w:rPr>
      </w:pPr>
    </w:p>
    <w:p w:rsidR="00012172" w:rsidRDefault="00012172">
      <w:pPr>
        <w:pStyle w:val="Tijeloteksta"/>
        <w:numPr>
          <w:ilvl w:val="0"/>
          <w:numId w:val="6"/>
        </w:numPr>
        <w:spacing w:after="0"/>
        <w:jc w:val="both"/>
        <w:rPr>
          <w:rFonts w:ascii="Arial" w:hAnsi="Arial" w:cs="Arial"/>
          <w:sz w:val="22"/>
          <w:szCs w:val="22"/>
        </w:rPr>
      </w:pPr>
      <w:r>
        <w:rPr>
          <w:rFonts w:ascii="Arial" w:hAnsi="Arial" w:cs="Arial"/>
          <w:sz w:val="22"/>
          <w:szCs w:val="22"/>
        </w:rPr>
        <w:t>Potrebno je  definirati  predjele/lokalitete koje je nužno evidentirati, vrednovati i odgovarajuće zaštititi</w:t>
      </w:r>
    </w:p>
    <w:p w:rsidR="00012172" w:rsidRDefault="00012172">
      <w:pPr>
        <w:pStyle w:val="Tijeloteksta"/>
        <w:numPr>
          <w:ilvl w:val="0"/>
          <w:numId w:val="5"/>
        </w:numPr>
        <w:spacing w:after="0"/>
        <w:jc w:val="both"/>
        <w:rPr>
          <w:rFonts w:ascii="Arial" w:hAnsi="Arial" w:cs="Arial"/>
          <w:sz w:val="22"/>
          <w:szCs w:val="22"/>
        </w:rPr>
      </w:pPr>
      <w:r>
        <w:rPr>
          <w:rFonts w:ascii="Arial" w:hAnsi="Arial" w:cs="Arial"/>
          <w:sz w:val="22"/>
          <w:szCs w:val="22"/>
        </w:rPr>
        <w:t>Sprječavati aktivnosti koje uzrokuju degradaciju i smanjenje raznovrsnosti biljnog i životinjskog svijeta (bioraznovrsnosti)</w:t>
      </w:r>
    </w:p>
    <w:p w:rsidR="00012172" w:rsidRDefault="00012172">
      <w:pPr>
        <w:rPr>
          <w:rFonts w:ascii="Arial" w:hAnsi="Arial" w:cs="Arial"/>
          <w:sz w:val="22"/>
        </w:rPr>
      </w:pPr>
    </w:p>
    <w:p w:rsidR="00012172" w:rsidRDefault="00012172">
      <w:pPr>
        <w:pStyle w:val="Naslov6"/>
        <w:rPr>
          <w:rFonts w:cs="Arial"/>
          <w:szCs w:val="22"/>
        </w:rPr>
      </w:pPr>
      <w:r>
        <w:rPr>
          <w:rFonts w:cs="Arial"/>
          <w:szCs w:val="22"/>
        </w:rPr>
        <w:t>Zaštita graditeljske baštine</w:t>
      </w:r>
    </w:p>
    <w:p w:rsidR="00012172" w:rsidRDefault="00012172">
      <w:pPr>
        <w:numPr>
          <w:ilvl w:val="0"/>
          <w:numId w:val="8"/>
        </w:numPr>
        <w:jc w:val="both"/>
        <w:rPr>
          <w:rFonts w:ascii="Arial" w:hAnsi="Arial" w:cs="Arial"/>
          <w:sz w:val="22"/>
          <w:szCs w:val="22"/>
        </w:rPr>
      </w:pPr>
      <w:r>
        <w:rPr>
          <w:rFonts w:ascii="Arial" w:hAnsi="Arial" w:cs="Arial"/>
          <w:sz w:val="22"/>
          <w:szCs w:val="22"/>
        </w:rPr>
        <w:t xml:space="preserve">potrebno je stvarati modele revitalizacije ruralnih cjelina primjenom integralnih oblika zaštite sa naglaskom na stvaranju pozitivnog odnosa prema zavičajnim vrijednostima i poticanja brige za nacionalnu baštinu. </w:t>
      </w:r>
    </w:p>
    <w:p w:rsidR="00012172" w:rsidRDefault="00012172">
      <w:pPr>
        <w:pStyle w:val="Tijeloteksta"/>
        <w:rPr>
          <w:rFonts w:ascii="Arial" w:hAnsi="Arial" w:cs="Arial"/>
          <w:i/>
          <w:color w:val="0000FF"/>
          <w:sz w:val="22"/>
          <w:szCs w:val="22"/>
        </w:rPr>
      </w:pPr>
    </w:p>
    <w:p w:rsidR="00012172" w:rsidRDefault="00012172">
      <w:pPr>
        <w:pStyle w:val="Naslov4"/>
        <w:spacing w:before="0" w:after="0"/>
        <w:rPr>
          <w:rFonts w:cs="Arial"/>
          <w:sz w:val="22"/>
          <w:szCs w:val="22"/>
          <w:lang w:val="hr-HR"/>
        </w:rPr>
      </w:pPr>
      <w:r>
        <w:rPr>
          <w:rFonts w:cs="Arial"/>
          <w:sz w:val="22"/>
          <w:szCs w:val="22"/>
          <w:lang w:val="hr-HR"/>
        </w:rPr>
        <w:t>Krajolik</w:t>
      </w:r>
    </w:p>
    <w:p w:rsidR="00012172" w:rsidRDefault="00012172">
      <w:pPr>
        <w:pStyle w:val="Tijeloteksta"/>
        <w:numPr>
          <w:ilvl w:val="0"/>
          <w:numId w:val="7"/>
        </w:numPr>
        <w:spacing w:after="0"/>
        <w:jc w:val="both"/>
        <w:rPr>
          <w:rFonts w:ascii="Arial" w:hAnsi="Arial" w:cs="Arial"/>
          <w:sz w:val="22"/>
          <w:szCs w:val="22"/>
        </w:rPr>
      </w:pPr>
      <w:r>
        <w:rPr>
          <w:rFonts w:ascii="Arial" w:hAnsi="Arial" w:cs="Arial"/>
          <w:sz w:val="22"/>
          <w:szCs w:val="22"/>
        </w:rPr>
        <w:t>Prirodne krajolike treba očuvati u što većoj mjeri, a područja narušenih prirodnih i estetskih vrijednosti sanirati odgovarajućim mjerama (sprečavanje bespravne izgradnje, odlaganja otpada, izbjegavanje  geometrijskih regulacija vodotoka)</w:t>
      </w:r>
    </w:p>
    <w:p w:rsidR="00012172" w:rsidRDefault="00012172">
      <w:pPr>
        <w:pStyle w:val="Tijeloteksta"/>
        <w:numPr>
          <w:ilvl w:val="0"/>
          <w:numId w:val="7"/>
        </w:numPr>
        <w:spacing w:after="0"/>
        <w:jc w:val="both"/>
        <w:rPr>
          <w:rFonts w:ascii="Arial" w:hAnsi="Arial" w:cs="Arial"/>
          <w:sz w:val="22"/>
          <w:szCs w:val="22"/>
        </w:rPr>
      </w:pPr>
      <w:r>
        <w:rPr>
          <w:rFonts w:ascii="Arial" w:hAnsi="Arial" w:cs="Arial"/>
          <w:sz w:val="22"/>
          <w:szCs w:val="22"/>
        </w:rPr>
        <w:t>Obvezno sanirati štetne posljedice velikih rudarskih i graditeljskih radova, osobito površinskih kopova (npr. usporednom biološkom rekultivacijom).</w:t>
      </w:r>
    </w:p>
    <w:p w:rsidR="00012172" w:rsidRDefault="00012172">
      <w:pPr>
        <w:pStyle w:val="Tijeloteksta"/>
        <w:numPr>
          <w:ilvl w:val="0"/>
          <w:numId w:val="7"/>
        </w:numPr>
        <w:spacing w:after="0"/>
        <w:jc w:val="both"/>
        <w:rPr>
          <w:rFonts w:ascii="Arial" w:hAnsi="Arial" w:cs="Arial"/>
          <w:sz w:val="22"/>
          <w:szCs w:val="22"/>
        </w:rPr>
      </w:pPr>
      <w:r>
        <w:rPr>
          <w:rFonts w:ascii="Arial" w:hAnsi="Arial" w:cs="Arial"/>
          <w:sz w:val="22"/>
          <w:szCs w:val="22"/>
        </w:rPr>
        <w:t>Planirati infrastrukturu na način da se koriste postojeći koridori i formiraju zajednički za više vodova i to tako da izbjegavaju šume, poljoprivredno zemljište, da ne razaraju  cjelovitost prirodnih i stvorenih struktura, uz provedbu načela i mjera zaštite okoliša.</w:t>
      </w:r>
    </w:p>
    <w:p w:rsidR="00012172" w:rsidRDefault="00012172">
      <w:pPr>
        <w:rPr>
          <w:rFonts w:ascii="Arial" w:hAnsi="Arial" w:cs="Arial"/>
          <w:color w:val="0000FF"/>
          <w:sz w:val="22"/>
          <w:szCs w:val="22"/>
        </w:rPr>
      </w:pPr>
    </w:p>
    <w:p w:rsidR="00012172" w:rsidRDefault="00012172">
      <w:pPr>
        <w:rPr>
          <w:rFonts w:ascii="Arial" w:hAnsi="Arial" w:cs="Arial"/>
          <w:sz w:val="22"/>
          <w:szCs w:val="22"/>
        </w:rPr>
      </w:pPr>
    </w:p>
    <w:p w:rsidR="00012172" w:rsidRDefault="00012172">
      <w:pPr>
        <w:rPr>
          <w:rFonts w:ascii="Arial" w:hAnsi="Arial" w:cs="Arial"/>
          <w:b/>
          <w:sz w:val="22"/>
          <w:szCs w:val="22"/>
        </w:rPr>
      </w:pPr>
      <w:r>
        <w:rPr>
          <w:rFonts w:ascii="Arial" w:hAnsi="Arial" w:cs="Arial"/>
          <w:b/>
          <w:sz w:val="22"/>
          <w:szCs w:val="22"/>
        </w:rPr>
        <w:t>Obveze iz Prostornog plana Koprivničko-križevačke županije</w:t>
      </w:r>
    </w:p>
    <w:p w:rsidR="00012172" w:rsidRDefault="00012172">
      <w:pPr>
        <w:jc w:val="both"/>
        <w:rPr>
          <w:rFonts w:ascii="Arial" w:hAnsi="Arial" w:cs="Arial"/>
          <w:sz w:val="22"/>
          <w:szCs w:val="22"/>
        </w:rPr>
      </w:pPr>
      <w:r>
        <w:rPr>
          <w:rFonts w:ascii="Arial" w:hAnsi="Arial" w:cs="Arial"/>
          <w:sz w:val="22"/>
          <w:szCs w:val="22"/>
        </w:rPr>
        <w:t xml:space="preserve">Prostorni plan uređenja općine Gornja Rijeka kao plan nižeg reda detaljnije razrađuje sustav naselja, namjenu i uvjete korištenje prostora, prostorno-gospodarske strukture i infrastrukturne koridore utvrđene Prostornim planom Koprivničko-križevačke županije. </w:t>
      </w:r>
    </w:p>
    <w:p w:rsidR="00012172" w:rsidRDefault="00012172">
      <w:pPr>
        <w:jc w:val="both"/>
        <w:rPr>
          <w:rFonts w:ascii="Arial" w:hAnsi="Arial" w:cs="Arial"/>
          <w:sz w:val="22"/>
          <w:szCs w:val="22"/>
        </w:rPr>
      </w:pPr>
    </w:p>
    <w:p w:rsidR="00012172" w:rsidRDefault="00012172">
      <w:pPr>
        <w:jc w:val="both"/>
        <w:rPr>
          <w:rFonts w:ascii="Arial" w:hAnsi="Arial" w:cs="Arial"/>
          <w:sz w:val="22"/>
          <w:szCs w:val="22"/>
        </w:rPr>
      </w:pPr>
      <w:r>
        <w:rPr>
          <w:rFonts w:ascii="Arial" w:hAnsi="Arial" w:cs="Arial"/>
          <w:sz w:val="22"/>
          <w:szCs w:val="22"/>
        </w:rPr>
        <w:t xml:space="preserve">Uvjeti određivanja građevinskog područja: </w:t>
      </w:r>
    </w:p>
    <w:p w:rsidR="00012172" w:rsidRDefault="00012172">
      <w:pPr>
        <w:tabs>
          <w:tab w:val="num" w:pos="1800"/>
        </w:tabs>
        <w:jc w:val="both"/>
        <w:rPr>
          <w:rFonts w:ascii="Arial" w:hAnsi="Arial" w:cs="Arial"/>
          <w:sz w:val="22"/>
          <w:szCs w:val="22"/>
        </w:rPr>
      </w:pPr>
      <w:r>
        <w:rPr>
          <w:rFonts w:ascii="Arial" w:hAnsi="Arial" w:cs="Arial"/>
          <w:sz w:val="22"/>
          <w:szCs w:val="22"/>
        </w:rPr>
        <w:t>- Građevinska područja treba razlučiti na izgrađena i neizgrađena te analizom ustanoviti potrebe i mogućnosti širenja građevinskog područja za svako naselje, kao i potrebe za njegovo smanjenje.</w:t>
      </w:r>
    </w:p>
    <w:p w:rsidR="00012172" w:rsidRDefault="00012172">
      <w:pPr>
        <w:jc w:val="both"/>
        <w:rPr>
          <w:rFonts w:ascii="Arial" w:hAnsi="Arial" w:cs="Arial"/>
          <w:sz w:val="22"/>
          <w:szCs w:val="22"/>
        </w:rPr>
      </w:pPr>
      <w:r>
        <w:rPr>
          <w:rFonts w:ascii="Arial" w:hAnsi="Arial" w:cs="Arial"/>
          <w:sz w:val="22"/>
          <w:szCs w:val="22"/>
        </w:rPr>
        <w:t>-</w:t>
      </w:r>
      <w:r>
        <w:rPr>
          <w:rFonts w:ascii="Arial" w:hAnsi="Arial" w:cs="Arial"/>
          <w:b/>
          <w:bCs/>
          <w:sz w:val="22"/>
          <w:szCs w:val="22"/>
        </w:rPr>
        <w:t xml:space="preserve"> </w:t>
      </w:r>
      <w:r>
        <w:rPr>
          <w:rFonts w:ascii="Arial" w:hAnsi="Arial" w:cs="Arial"/>
          <w:sz w:val="22"/>
          <w:szCs w:val="22"/>
        </w:rPr>
        <w:t>U</w:t>
      </w:r>
      <w:r>
        <w:rPr>
          <w:rFonts w:ascii="Arial" w:hAnsi="Arial" w:cs="Arial"/>
          <w:bCs/>
          <w:sz w:val="22"/>
          <w:szCs w:val="22"/>
        </w:rPr>
        <w:t xml:space="preserve">tvrditi </w:t>
      </w:r>
      <w:r>
        <w:rPr>
          <w:rFonts w:ascii="Arial" w:hAnsi="Arial" w:cs="Arial"/>
          <w:sz w:val="22"/>
          <w:szCs w:val="22"/>
        </w:rPr>
        <w:t xml:space="preserve"> eventualnu obvezu izrade prostornih planova užeg područja te načine usmjeravanja  izgradnje u pojedina područja.</w:t>
      </w:r>
    </w:p>
    <w:p w:rsidR="00012172" w:rsidRDefault="00012172">
      <w:pPr>
        <w:tabs>
          <w:tab w:val="num" w:pos="1429"/>
        </w:tabs>
        <w:jc w:val="both"/>
        <w:rPr>
          <w:rFonts w:ascii="Arial" w:hAnsi="Arial" w:cs="Arial"/>
          <w:sz w:val="22"/>
          <w:szCs w:val="22"/>
        </w:rPr>
      </w:pPr>
      <w:r>
        <w:rPr>
          <w:rFonts w:ascii="Arial" w:hAnsi="Arial" w:cs="Arial"/>
          <w:sz w:val="22"/>
          <w:szCs w:val="22"/>
        </w:rPr>
        <w:t xml:space="preserve">- Utvrđivanje veličine građevinskih područja </w:t>
      </w:r>
    </w:p>
    <w:p w:rsidR="00012172" w:rsidRDefault="00012172">
      <w:pPr>
        <w:jc w:val="both"/>
        <w:rPr>
          <w:rFonts w:ascii="Arial" w:hAnsi="Arial" w:cs="Arial"/>
          <w:sz w:val="22"/>
          <w:szCs w:val="22"/>
        </w:rPr>
      </w:pPr>
      <w:r>
        <w:rPr>
          <w:rFonts w:ascii="Arial" w:hAnsi="Arial" w:cs="Arial"/>
          <w:sz w:val="22"/>
          <w:szCs w:val="22"/>
        </w:rPr>
        <w:t>- Osobito pozorno treba preispitati mogućnosti minimaliziranja građevinskog područja uz državne i županijske ceste, veličinu i lokaciju zona planiranih za gospodarsku namjenu, potrebu i dinamiku izrade planova užeg područja.</w:t>
      </w:r>
    </w:p>
    <w:p w:rsidR="00012172" w:rsidRDefault="00012172">
      <w:pPr>
        <w:rPr>
          <w:rFonts w:ascii="Arial" w:hAnsi="Arial" w:cs="Arial"/>
          <w:color w:val="FF6600"/>
          <w:sz w:val="22"/>
          <w:szCs w:val="22"/>
        </w:rPr>
      </w:pPr>
    </w:p>
    <w:p w:rsidR="00012172" w:rsidRDefault="00012172">
      <w:pPr>
        <w:rPr>
          <w:rFonts w:ascii="Arial" w:hAnsi="Arial" w:cs="Arial"/>
          <w:sz w:val="22"/>
          <w:szCs w:val="22"/>
        </w:rPr>
      </w:pPr>
    </w:p>
    <w:p w:rsidR="00012172" w:rsidRDefault="00012172">
      <w:pPr>
        <w:rPr>
          <w:b/>
          <w:sz w:val="26"/>
          <w:szCs w:val="22"/>
        </w:rPr>
      </w:pPr>
      <w:r>
        <w:rPr>
          <w:b/>
          <w:sz w:val="26"/>
          <w:szCs w:val="22"/>
        </w:rPr>
        <w:t>1.1.3.1. Ocjena postojećih planova</w:t>
      </w:r>
    </w:p>
    <w:p w:rsidR="00012172" w:rsidRDefault="00012172">
      <w:pPr>
        <w:jc w:val="both"/>
        <w:rPr>
          <w:szCs w:val="22"/>
        </w:rPr>
      </w:pPr>
    </w:p>
    <w:p w:rsidR="00012172" w:rsidRDefault="00012172">
      <w:pPr>
        <w:jc w:val="both"/>
        <w:rPr>
          <w:rFonts w:ascii="Arial" w:hAnsi="Arial" w:cs="Arial"/>
          <w:b/>
          <w:bCs/>
          <w:sz w:val="22"/>
          <w:szCs w:val="22"/>
        </w:rPr>
      </w:pPr>
      <w:r>
        <w:rPr>
          <w:rFonts w:ascii="Arial" w:hAnsi="Arial" w:cs="Arial"/>
          <w:b/>
          <w:bCs/>
          <w:sz w:val="22"/>
          <w:szCs w:val="22"/>
        </w:rPr>
        <w:t>a) Prostorni plan (bivše) općine Križevci</w:t>
      </w:r>
    </w:p>
    <w:p w:rsidR="00012172" w:rsidRDefault="00012172">
      <w:pPr>
        <w:jc w:val="both"/>
        <w:rPr>
          <w:szCs w:val="22"/>
        </w:rPr>
      </w:pPr>
    </w:p>
    <w:p w:rsidR="00012172" w:rsidRDefault="00012172">
      <w:pPr>
        <w:numPr>
          <w:ilvl w:val="0"/>
          <w:numId w:val="25"/>
        </w:numPr>
        <w:jc w:val="both"/>
        <w:rPr>
          <w:rFonts w:ascii="Arial" w:hAnsi="Arial"/>
          <w:sz w:val="22"/>
        </w:rPr>
      </w:pPr>
      <w:r>
        <w:rPr>
          <w:rFonts w:ascii="Arial" w:hAnsi="Arial"/>
          <w:sz w:val="22"/>
        </w:rPr>
        <w:t xml:space="preserve">Osnovni koncept prostornog razvitka bivše općine Križevci zasnivao se na ubrzanom privrednom rastu i promjeni gospodarske strukture u pravcu jačanja industrije i unutar nje propulzivnih grana, modernizaciji postojećih proizvodnih i uslužnih kapaciteta, te podizanju učinkovitosti poljodjeljske proizvodnje. Poljodjeljstvo bi trebalo činiti najznačajniju oblast gospodarstva, a šumarstvo je ocijenjeno kao djelatnost s dobrim mogućnostima razvitka. Gornja Rijeka označena je kao lokalno središte.        </w:t>
      </w:r>
    </w:p>
    <w:p w:rsidR="00012172" w:rsidRDefault="00012172">
      <w:pPr>
        <w:jc w:val="both"/>
        <w:rPr>
          <w:rFonts w:ascii="Arial" w:hAnsi="Arial"/>
          <w:sz w:val="22"/>
        </w:rPr>
      </w:pPr>
      <w:r>
        <w:rPr>
          <w:rFonts w:ascii="Arial" w:hAnsi="Arial"/>
          <w:sz w:val="22"/>
        </w:rPr>
        <w:t>Prostorni plan bivše općine Križevci u uvodnom  dijelu konstatira da je gospodarska osnova općine  prvenstveno u njenoj industriji. Pri tome niti jedna industrijska djelatnost nije nastala iskorištavanjem posebnog položaja i prirodnih  bogatstava, te bi se mogla razvijati i u bilo kojoj drugoj općini. Planirani razvoj bivše općine Križevci stoga je koncipiran na onim gospodarskim  djelatnostima koje će potpunije iskorištavati vlastite prirodne izvore i prednosti, prije svega poljodjeljske površine i šumsko bogatstvo. I dalje će se raditi na promjeni gospodarske strukture u pravcu modernizacije, razvijat će se poljodjeljstvo, šumarstvo, trgovina, obrt, te ugostiteljstvo i turizam. Oslonac industrije bit će u metaloprerađivačkoj , drvoprerađivačkoj i prehrambenoj industriji.</w:t>
      </w:r>
    </w:p>
    <w:p w:rsidR="00012172" w:rsidRDefault="00012172">
      <w:pPr>
        <w:numPr>
          <w:ilvl w:val="12"/>
          <w:numId w:val="0"/>
        </w:numPr>
        <w:rPr>
          <w:rFonts w:ascii="Arial" w:hAnsi="Arial"/>
          <w:u w:val="single"/>
        </w:rPr>
      </w:pPr>
    </w:p>
    <w:p w:rsidR="00012172" w:rsidRDefault="00012172">
      <w:pPr>
        <w:numPr>
          <w:ilvl w:val="0"/>
          <w:numId w:val="25"/>
        </w:numPr>
        <w:jc w:val="both"/>
        <w:rPr>
          <w:rFonts w:ascii="Arial" w:hAnsi="Arial"/>
          <w:sz w:val="22"/>
        </w:rPr>
      </w:pPr>
      <w:r>
        <w:rPr>
          <w:rFonts w:ascii="Arial" w:hAnsi="Arial"/>
          <w:sz w:val="22"/>
        </w:rPr>
        <w:t>Temeljni dokument Prostornog plana bivše općine Križevci dopunjen je granicama građevinskih područja 1982. i 1983.godine (I.i II. faza), te 1986. godine i provedbenim odredbama 1990.godine.</w:t>
      </w:r>
    </w:p>
    <w:p w:rsidR="00012172" w:rsidRDefault="00012172">
      <w:pPr>
        <w:numPr>
          <w:ilvl w:val="0"/>
          <w:numId w:val="25"/>
        </w:numPr>
        <w:jc w:val="both"/>
        <w:rPr>
          <w:rFonts w:ascii="Arial" w:hAnsi="Arial"/>
          <w:sz w:val="22"/>
        </w:rPr>
      </w:pPr>
    </w:p>
    <w:p w:rsidR="00012172" w:rsidRDefault="00012172">
      <w:pPr>
        <w:numPr>
          <w:ilvl w:val="0"/>
          <w:numId w:val="25"/>
        </w:numPr>
        <w:jc w:val="both"/>
        <w:rPr>
          <w:rFonts w:ascii="Arial" w:hAnsi="Arial"/>
          <w:sz w:val="22"/>
        </w:rPr>
      </w:pPr>
      <w:r>
        <w:rPr>
          <w:rFonts w:ascii="Arial" w:hAnsi="Arial"/>
          <w:sz w:val="22"/>
        </w:rPr>
        <w:lastRenderedPageBreak/>
        <w:t>Temeljem analize izgrađenosti građevinskih područja naselja općine Križevci utvrđeno je da su površine predviđene za građevinska područja naselja na području općine Križevci za većinu naselja predimenzionirane. U svrhu ostvarivanja povoljnijeg odnosa izgrađenog i neizgrađenog dijela naselja potrebno je smanjiti granice građevinskih područja za sva naselja koji ulaze u III. kategoriju izgrađenosti (50% neizgrađenog područja naselja), te preispitati granice građevinskih područja za sva naselja koji ulaze u II. kategoriju izgrađenosti (30% neizgrađenog područja naselja). U planu se prognozirao poraast broja stanovnika u naselju Gornja Rijeka, a u ostalim naseljima pad. Gornja Riijeka je imala prvi stupanj centraliteta.</w:t>
      </w:r>
    </w:p>
    <w:p w:rsidR="00012172" w:rsidRDefault="00012172">
      <w:pPr>
        <w:jc w:val="both"/>
        <w:rPr>
          <w:rFonts w:ascii="Arial" w:hAnsi="Arial"/>
          <w:sz w:val="22"/>
        </w:rPr>
      </w:pPr>
    </w:p>
    <w:p w:rsidR="00012172" w:rsidRDefault="00012172">
      <w:pPr>
        <w:numPr>
          <w:ilvl w:val="0"/>
          <w:numId w:val="25"/>
        </w:numPr>
        <w:jc w:val="both"/>
        <w:rPr>
          <w:rFonts w:ascii="Arial" w:hAnsi="Arial" w:cs="Arial"/>
          <w:sz w:val="22"/>
          <w:szCs w:val="22"/>
        </w:rPr>
      </w:pPr>
      <w:r>
        <w:rPr>
          <w:rFonts w:ascii="Arial" w:hAnsi="Arial"/>
          <w:sz w:val="22"/>
        </w:rPr>
        <w:t xml:space="preserve">Imajući u vidu činjenicu da je prostor čitave bivše općine Križevci izrazito depopulacijsko područje, nameće se potreba da se u sklopu daljnjih radova na segmentu prostornog uređenja izvrši ponovno sagledavanje svih granica građevinskih područja, te izvrši njihovo smanjivanje u skladu sa realnim stanjem na terenu. </w:t>
      </w:r>
    </w:p>
    <w:p w:rsidR="00012172" w:rsidRDefault="00012172">
      <w:pPr>
        <w:rPr>
          <w:rFonts w:ascii="Arial" w:hAnsi="Arial" w:cs="Arial"/>
          <w:sz w:val="22"/>
          <w:szCs w:val="22"/>
        </w:rPr>
      </w:pPr>
    </w:p>
    <w:p w:rsidR="00012172" w:rsidRDefault="00012172">
      <w:pPr>
        <w:rPr>
          <w:rFonts w:ascii="Arial" w:hAnsi="Arial" w:cs="Arial"/>
          <w:b/>
          <w:sz w:val="22"/>
          <w:szCs w:val="22"/>
        </w:rPr>
      </w:pPr>
      <w:r>
        <w:rPr>
          <w:rFonts w:ascii="Arial" w:hAnsi="Arial" w:cs="Arial"/>
          <w:b/>
          <w:sz w:val="22"/>
          <w:szCs w:val="22"/>
        </w:rPr>
        <w:t>b) Prostorni plan Koprivničko-križevačke županije</w:t>
      </w:r>
    </w:p>
    <w:p w:rsidR="00012172" w:rsidRDefault="00012172">
      <w:pPr>
        <w:jc w:val="both"/>
        <w:rPr>
          <w:rFonts w:ascii="Arial" w:hAnsi="Arial" w:cs="Arial"/>
          <w:sz w:val="22"/>
        </w:rPr>
      </w:pPr>
      <w:r>
        <w:rPr>
          <w:rFonts w:ascii="Arial" w:hAnsi="Arial" w:cs="Arial"/>
          <w:sz w:val="22"/>
        </w:rPr>
        <w:t xml:space="preserve">Županijski prostorni plan usvojen je 20. srpnja 2001. na 2. sjednici Županijske skupštine Koprivničko-križevačke županije (Službeni glasnik Koprivničko-križevačke županije broj 8/01 i 5/04). Prostornim planom Županije određena su načela prostornog uređenja i utvrđeni ciljevi prostornog razvoja te organizacija, zaštita, korištenje i namjena prostora Županije. Prostorni plan Županije sadrži prostornu i gospodarsku strukturu Županije, sustav središnjih naselja regionalnog značenja, sustav razvojne regionalne infrastrukture, osnove za uređenje i zaštitu prostora, prostorna mjerila i smjernice za gospodarski razvoj, za očuvanje i unapređenje prirodnih, kulturno-povijesnih i krajobraznih vrijednosti, mjere za unapređenje i zaštitu okoliša te druge elemente od važnosti za Županiju.  Gornja Rijeka ima status većeg lokalnog središta. </w:t>
      </w:r>
    </w:p>
    <w:p w:rsidR="00012172" w:rsidRDefault="00012172">
      <w:pPr>
        <w:jc w:val="both"/>
        <w:rPr>
          <w:rFonts w:ascii="Arial" w:hAnsi="Arial" w:cs="Arial"/>
          <w:sz w:val="22"/>
        </w:rPr>
      </w:pPr>
    </w:p>
    <w:p w:rsidR="00012172" w:rsidRDefault="00012172">
      <w:pPr>
        <w:jc w:val="both"/>
        <w:rPr>
          <w:rFonts w:ascii="Arial" w:hAnsi="Arial" w:cs="Arial"/>
          <w:sz w:val="22"/>
        </w:rPr>
      </w:pPr>
      <w:r>
        <w:rPr>
          <w:rFonts w:ascii="Arial" w:hAnsi="Arial" w:cs="Arial"/>
          <w:sz w:val="22"/>
        </w:rPr>
        <w:t>Prostorni plan Koprivničko-križevačke županije na snazi je od 2001. godine i kroz troipolgodišnje razdoblje provedbe javljali su se  problemi vezani uz slijedeću problematiku:</w:t>
      </w:r>
    </w:p>
    <w:p w:rsidR="00012172" w:rsidRDefault="00012172">
      <w:pPr>
        <w:numPr>
          <w:ilvl w:val="0"/>
          <w:numId w:val="30"/>
        </w:numPr>
        <w:jc w:val="both"/>
        <w:rPr>
          <w:rFonts w:ascii="Arial" w:hAnsi="Arial" w:cs="Arial"/>
          <w:b/>
          <w:bCs/>
          <w:sz w:val="22"/>
        </w:rPr>
      </w:pPr>
      <w:r>
        <w:rPr>
          <w:rFonts w:ascii="Arial" w:hAnsi="Arial" w:cs="Arial"/>
          <w:b/>
          <w:bCs/>
          <w:sz w:val="22"/>
        </w:rPr>
        <w:t>trase brzih cesta Vrbovec-Koprivnica-Gola i Podravske brze ceste Varaždin-Koprivnica-Đurđevac-Osijek</w:t>
      </w:r>
    </w:p>
    <w:p w:rsidR="00012172" w:rsidRDefault="00012172">
      <w:pPr>
        <w:numPr>
          <w:ilvl w:val="0"/>
          <w:numId w:val="30"/>
        </w:numPr>
        <w:jc w:val="both"/>
        <w:rPr>
          <w:rFonts w:ascii="Arial" w:hAnsi="Arial" w:cs="Arial"/>
          <w:b/>
          <w:bCs/>
          <w:sz w:val="22"/>
        </w:rPr>
      </w:pPr>
      <w:r>
        <w:rPr>
          <w:rFonts w:ascii="Arial" w:hAnsi="Arial" w:cs="Arial"/>
          <w:b/>
          <w:bCs/>
          <w:sz w:val="22"/>
        </w:rPr>
        <w:t>zbrinjavanje otpada</w:t>
      </w:r>
      <w:r>
        <w:rPr>
          <w:rFonts w:ascii="Arial" w:hAnsi="Arial" w:cs="Arial"/>
          <w:sz w:val="22"/>
        </w:rPr>
        <w:t xml:space="preserve">; uvrštavanje regionalnog odlagališta otpada u Prostorni plan Koprivničko-križevačke županije </w:t>
      </w:r>
    </w:p>
    <w:p w:rsidR="00012172" w:rsidRDefault="00012172">
      <w:pPr>
        <w:numPr>
          <w:ilvl w:val="0"/>
          <w:numId w:val="30"/>
        </w:numPr>
        <w:jc w:val="both"/>
        <w:rPr>
          <w:rFonts w:ascii="Arial" w:hAnsi="Arial" w:cs="Arial"/>
          <w:sz w:val="22"/>
        </w:rPr>
      </w:pPr>
      <w:r>
        <w:rPr>
          <w:rFonts w:ascii="Arial" w:hAnsi="Arial" w:cs="Arial"/>
          <w:b/>
          <w:bCs/>
          <w:sz w:val="22"/>
        </w:rPr>
        <w:t>eksploatacija mineralnih sirovina</w:t>
      </w:r>
      <w:r>
        <w:rPr>
          <w:rFonts w:ascii="Arial" w:hAnsi="Arial" w:cs="Arial"/>
          <w:sz w:val="22"/>
        </w:rPr>
        <w:t>; na temelju velikog broja zahtjeva za eksploataciju uz dravsko i drugo područje, a u nedostatku prostornih planova nižeg reda koji bi pobliže razradili pojedine segmente prostornog planiranja, ukazuje se potreba izrade Izmjena i dopuna Prostornog plana Koprivničko-križevačke županije te s tim u svezi propisivanja izrade SUO i za manje kapacitete eksploatacije mineralnih sirovina (sukladno članku 11. Pravilnika o procjeni utjecaja na okoliš), kao svojevrsna mjera umanjenja ogromnog pritiska na okoliš.</w:t>
      </w:r>
    </w:p>
    <w:p w:rsidR="00012172" w:rsidRDefault="00012172">
      <w:pPr>
        <w:numPr>
          <w:ilvl w:val="0"/>
          <w:numId w:val="30"/>
        </w:numPr>
        <w:jc w:val="both"/>
        <w:rPr>
          <w:rFonts w:ascii="Arial" w:hAnsi="Arial" w:cs="Arial"/>
          <w:sz w:val="22"/>
        </w:rPr>
      </w:pPr>
      <w:r>
        <w:rPr>
          <w:rFonts w:ascii="Arial" w:hAnsi="Arial" w:cs="Arial"/>
          <w:b/>
          <w:bCs/>
          <w:sz w:val="22"/>
        </w:rPr>
        <w:t>objekti u funkciji poljoprivredne proizvodnje</w:t>
      </w:r>
      <w:r>
        <w:rPr>
          <w:rFonts w:ascii="Arial" w:hAnsi="Arial" w:cs="Arial"/>
          <w:sz w:val="22"/>
        </w:rPr>
        <w:t>; Prostorni plan Koprivničko-križevačke županije  nametnuo je u nekim segmentima prestroge uvjete za izgradnju objekata za uzgoj stoke (farmi), pa se potencijalni investitori susreću sa problemima kod realizacije projekata u ovom izrazito stočarski usmjerenom području.</w:t>
      </w:r>
    </w:p>
    <w:p w:rsidR="00012172" w:rsidRDefault="00012172">
      <w:pPr>
        <w:jc w:val="both"/>
        <w:rPr>
          <w:rFonts w:ascii="Arial" w:hAnsi="Arial" w:cs="Arial"/>
          <w:sz w:val="22"/>
        </w:rPr>
      </w:pPr>
    </w:p>
    <w:p w:rsidR="00012172" w:rsidRDefault="00012172">
      <w:pPr>
        <w:numPr>
          <w:ilvl w:val="0"/>
          <w:numId w:val="30"/>
        </w:numPr>
        <w:jc w:val="both"/>
        <w:rPr>
          <w:rFonts w:ascii="Arial" w:hAnsi="Arial" w:cs="Arial"/>
          <w:bCs/>
          <w:sz w:val="22"/>
        </w:rPr>
      </w:pPr>
      <w:r>
        <w:rPr>
          <w:rFonts w:ascii="Arial" w:hAnsi="Arial" w:cs="Arial"/>
          <w:sz w:val="22"/>
        </w:rPr>
        <w:t xml:space="preserve">Jedan od ciljeva prostornog razvoja županijskog značaja u smislu očuvanja vrijednih dijelova okoliša i ekološke stabilnosti općenito je i izrada </w:t>
      </w:r>
      <w:r>
        <w:rPr>
          <w:rFonts w:ascii="Arial" w:hAnsi="Arial" w:cs="Arial"/>
          <w:i/>
          <w:sz w:val="22"/>
        </w:rPr>
        <w:t>Prostornih planova područja</w:t>
      </w:r>
      <w:r>
        <w:rPr>
          <w:rFonts w:ascii="Arial" w:hAnsi="Arial" w:cs="Arial"/>
          <w:sz w:val="22"/>
        </w:rPr>
        <w:t xml:space="preserve"> </w:t>
      </w:r>
      <w:r>
        <w:rPr>
          <w:rFonts w:ascii="Arial" w:hAnsi="Arial" w:cs="Arial"/>
          <w:i/>
          <w:sz w:val="22"/>
        </w:rPr>
        <w:t>posebnih obilježja</w:t>
      </w:r>
      <w:r>
        <w:rPr>
          <w:rFonts w:ascii="Arial" w:hAnsi="Arial" w:cs="Arial"/>
          <w:sz w:val="22"/>
        </w:rPr>
        <w:t xml:space="preserve"> (</w:t>
      </w:r>
      <w:r>
        <w:rPr>
          <w:rFonts w:ascii="Arial" w:hAnsi="Arial" w:cs="Arial"/>
          <w:b/>
          <w:sz w:val="22"/>
        </w:rPr>
        <w:t>PPPPO</w:t>
      </w:r>
      <w:r>
        <w:rPr>
          <w:rFonts w:ascii="Arial" w:hAnsi="Arial" w:cs="Arial"/>
          <w:sz w:val="22"/>
        </w:rPr>
        <w:t>). Kako je naznačeno Županijskim prostornim planom, jedan dio područja planiranih za izradu PPPPO-a</w:t>
      </w:r>
      <w:r>
        <w:rPr>
          <w:rFonts w:ascii="Arial" w:hAnsi="Arial" w:cs="Arial"/>
          <w:i/>
          <w:sz w:val="22"/>
        </w:rPr>
        <w:t xml:space="preserve"> </w:t>
      </w:r>
      <w:r>
        <w:rPr>
          <w:rFonts w:ascii="Arial" w:hAnsi="Arial" w:cs="Arial"/>
          <w:sz w:val="22"/>
        </w:rPr>
        <w:t xml:space="preserve"> nalazi se i na području Općine Gornja Rijeka (kartografski prikaz br. 3 - Uvjeti korištenja, uređenja i zaštite prostora). Odnosi se na područje posebnog botaničkog rezervata </w:t>
      </w:r>
      <w:r>
        <w:rPr>
          <w:rFonts w:ascii="Arial" w:hAnsi="Arial" w:cs="Arial"/>
          <w:b/>
          <w:sz w:val="22"/>
        </w:rPr>
        <w:t>Mali Kalnik</w:t>
      </w:r>
      <w:r>
        <w:rPr>
          <w:rFonts w:ascii="Arial" w:hAnsi="Arial" w:cs="Arial"/>
          <w:sz w:val="22"/>
        </w:rPr>
        <w:t xml:space="preserve"> koji se nalazi unutar područja značajnog krajobraza </w:t>
      </w:r>
      <w:r>
        <w:rPr>
          <w:rFonts w:ascii="Arial" w:hAnsi="Arial" w:cs="Arial"/>
          <w:b/>
          <w:sz w:val="22"/>
        </w:rPr>
        <w:t xml:space="preserve">Kalnik. </w:t>
      </w:r>
      <w:r>
        <w:rPr>
          <w:rFonts w:ascii="Arial" w:hAnsi="Arial" w:cs="Arial"/>
          <w:bCs/>
          <w:sz w:val="22"/>
        </w:rPr>
        <w:t>Spomenuta područja su pogodna za izletnički, športsko-rekreacijski i edukativni turizam uz nezaobilaznu ponudu tradicijske hrane i kulture.</w:t>
      </w:r>
    </w:p>
    <w:p w:rsidR="00012172" w:rsidRDefault="00012172">
      <w:pPr>
        <w:jc w:val="both"/>
        <w:rPr>
          <w:bCs/>
          <w:color w:val="FF0000"/>
        </w:rPr>
      </w:pPr>
    </w:p>
    <w:p w:rsidR="00012172" w:rsidRDefault="00012172">
      <w:pPr>
        <w:numPr>
          <w:ilvl w:val="0"/>
          <w:numId w:val="30"/>
        </w:numPr>
        <w:jc w:val="both"/>
        <w:rPr>
          <w:rFonts w:ascii="Arial" w:hAnsi="Arial" w:cs="Arial"/>
          <w:bCs/>
          <w:sz w:val="22"/>
        </w:rPr>
      </w:pPr>
      <w:r>
        <w:rPr>
          <w:rFonts w:ascii="Arial" w:hAnsi="Arial" w:cs="Arial"/>
          <w:sz w:val="22"/>
        </w:rPr>
        <w:lastRenderedPageBreak/>
        <w:t>U Prostornom planu područja posebnih obilježja za Kalnik odredit će se organizacija prostora, mjere korištenja i mogućnosti razvoja, uređenja i zaštite tog područja s aktivnostima koje imaju prednost, mjere za unapređenje i zaštitu okoliša. Naročiti naglasak je na očuvanju prirodnih – ekoloških  vrijednosti ovog područja i  revitalizaciji oštećenih dijelova okoliša (npr. kamenolomi, odlagališta otpada i sl.) kao i održivom sagledavanju gospodarskog razvoja ruralnog područja.</w:t>
      </w:r>
    </w:p>
    <w:p w:rsidR="00012172" w:rsidRDefault="00012172">
      <w:pPr>
        <w:jc w:val="both"/>
        <w:rPr>
          <w:rFonts w:ascii="Arial" w:hAnsi="Arial" w:cs="Arial"/>
          <w:sz w:val="22"/>
        </w:rPr>
      </w:pPr>
    </w:p>
    <w:p w:rsidR="00012172" w:rsidRDefault="00012172">
      <w:pPr>
        <w:jc w:val="both"/>
        <w:rPr>
          <w:rFonts w:ascii="Arial" w:hAnsi="Arial" w:cs="Arial"/>
          <w:sz w:val="22"/>
        </w:rPr>
      </w:pPr>
    </w:p>
    <w:p w:rsidR="00012172" w:rsidRDefault="00012172">
      <w:pPr>
        <w:numPr>
          <w:ilvl w:val="0"/>
          <w:numId w:val="3"/>
        </w:numPr>
        <w:jc w:val="both"/>
        <w:rPr>
          <w:rFonts w:ascii="Arial" w:hAnsi="Arial" w:cs="Arial"/>
          <w:b/>
          <w:bCs/>
          <w:sz w:val="22"/>
        </w:rPr>
      </w:pPr>
      <w:r>
        <w:rPr>
          <w:rFonts w:ascii="Arial" w:hAnsi="Arial" w:cs="Arial"/>
          <w:b/>
          <w:bCs/>
          <w:sz w:val="22"/>
        </w:rPr>
        <w:t>Plan uređenja Gornja Rijeka</w:t>
      </w:r>
    </w:p>
    <w:p w:rsidR="00012172" w:rsidRDefault="00012172">
      <w:pPr>
        <w:jc w:val="both"/>
        <w:rPr>
          <w:rFonts w:ascii="Arial" w:hAnsi="Arial" w:cs="Arial"/>
          <w:sz w:val="22"/>
        </w:rPr>
      </w:pPr>
      <w:r>
        <w:rPr>
          <w:rFonts w:ascii="Arial" w:hAnsi="Arial" w:cs="Arial"/>
          <w:sz w:val="22"/>
        </w:rPr>
        <w:t xml:space="preserve">Plan uređenja  Gornja Rijeka obuhvaća naselje Gornja Rijeka i Deklešanec. Građevinsko područje naselja Gornja Rijeka je predimenzionirano. Jedna od planiranih stambenih zona koja će se zadržati novim planom je sjeverno od osnovne škole. Zaobilaznica Gornje Rijeke planirana je južno od dvorca, a izlazila bi na postojeću državnu cestu iza Kostanjevca. </w:t>
      </w:r>
      <w:r w:rsidR="009A1682">
        <w:rPr>
          <w:rFonts w:ascii="Arial" w:hAnsi="Arial" w:cs="Arial"/>
          <w:sz w:val="22"/>
        </w:rPr>
        <w:t xml:space="preserve">Ovim PPUO osiguran je koridor za novi ulični iu cestovni koridor. </w:t>
      </w:r>
      <w:r>
        <w:rPr>
          <w:rFonts w:ascii="Arial" w:hAnsi="Arial" w:cs="Arial"/>
          <w:sz w:val="22"/>
        </w:rPr>
        <w:t xml:space="preserve">U planu je posebno označena zona afirmiranih vinograda odnosno vikend zona. Dvorac Gornja Rijeka označen je kao vrijedno povijesno nasljeđe. Prostor južno od dvorca označen je kao vodozaštitno područje. Planom je predviđena trasa kanalizacije i lokacija uređaja za pročišćavanje na potoku Reka južno od Gornje Rijeke. </w:t>
      </w:r>
    </w:p>
    <w:p w:rsidR="00012172" w:rsidRDefault="00012172">
      <w:pPr>
        <w:jc w:val="both"/>
        <w:rPr>
          <w:rFonts w:ascii="Arial" w:hAnsi="Arial" w:cs="Arial"/>
          <w:b/>
          <w:bCs/>
          <w:sz w:val="22"/>
        </w:rPr>
      </w:pPr>
    </w:p>
    <w:p w:rsidR="00012172" w:rsidRDefault="00012172">
      <w:pPr>
        <w:pStyle w:val="Naslov2"/>
        <w:jc w:val="both"/>
        <w:rPr>
          <w:rFonts w:ascii="Times New Roman" w:hAnsi="Times New Roman" w:cs="Times New Roman"/>
        </w:rPr>
      </w:pPr>
      <w:bookmarkStart w:id="30" w:name="_Toc95140584"/>
      <w:r>
        <w:rPr>
          <w:rFonts w:ascii="Times New Roman" w:hAnsi="Times New Roman" w:cs="Times New Roman"/>
        </w:rPr>
        <w:t>1.1.4. Ocjena stanja, mogućnosti i ograničenja razvoja u odnosu na demografske i gospodarske podatke te prostorne pokazatelje</w:t>
      </w:r>
      <w:bookmarkEnd w:id="30"/>
      <w:r>
        <w:rPr>
          <w:rFonts w:ascii="Times New Roman" w:hAnsi="Times New Roman" w:cs="Times New Roman"/>
        </w:rPr>
        <w:t xml:space="preserve"> </w:t>
      </w:r>
    </w:p>
    <w:p w:rsidR="00012172" w:rsidRDefault="00012172"/>
    <w:p w:rsidR="00012172" w:rsidRDefault="00012172">
      <w:pPr>
        <w:jc w:val="both"/>
        <w:rPr>
          <w:rFonts w:ascii="Arial" w:hAnsi="Arial" w:cs="Arial"/>
          <w:sz w:val="22"/>
          <w:szCs w:val="22"/>
        </w:rPr>
      </w:pPr>
    </w:p>
    <w:p w:rsidR="00012172" w:rsidRDefault="00012172">
      <w:pPr>
        <w:jc w:val="both"/>
        <w:rPr>
          <w:rFonts w:ascii="Arial" w:hAnsi="Arial" w:cs="Arial"/>
          <w:sz w:val="22"/>
          <w:szCs w:val="22"/>
        </w:rPr>
      </w:pPr>
      <w:r>
        <w:rPr>
          <w:rFonts w:ascii="Arial" w:hAnsi="Arial" w:cs="Arial"/>
          <w:sz w:val="22"/>
          <w:szCs w:val="22"/>
        </w:rPr>
        <w:t xml:space="preserve">Ograničavajući čimbenici razvoja Općine Gornja Rijeka su demografski, gospodarski i prostorni. </w:t>
      </w:r>
    </w:p>
    <w:p w:rsidR="00012172" w:rsidRDefault="00012172">
      <w:pPr>
        <w:jc w:val="both"/>
        <w:rPr>
          <w:rFonts w:ascii="Arial" w:hAnsi="Arial" w:cs="Arial"/>
          <w:sz w:val="22"/>
          <w:szCs w:val="22"/>
        </w:rPr>
      </w:pPr>
    </w:p>
    <w:p w:rsidR="00012172" w:rsidRDefault="00012172">
      <w:pPr>
        <w:jc w:val="both"/>
        <w:rPr>
          <w:rFonts w:ascii="Arial" w:hAnsi="Arial" w:cs="Arial"/>
          <w:sz w:val="22"/>
          <w:szCs w:val="22"/>
        </w:rPr>
      </w:pPr>
    </w:p>
    <w:p w:rsidR="00012172" w:rsidRDefault="00012172">
      <w:pPr>
        <w:jc w:val="both"/>
        <w:rPr>
          <w:rFonts w:ascii="Arial" w:hAnsi="Arial" w:cs="Arial"/>
          <w:b/>
          <w:szCs w:val="22"/>
        </w:rPr>
      </w:pPr>
      <w:r>
        <w:rPr>
          <w:rFonts w:ascii="Arial" w:hAnsi="Arial" w:cs="Arial"/>
          <w:b/>
          <w:szCs w:val="22"/>
        </w:rPr>
        <w:t>Demografski čimbenici</w:t>
      </w:r>
    </w:p>
    <w:p w:rsidR="00012172" w:rsidRDefault="00012172">
      <w:pPr>
        <w:jc w:val="both"/>
        <w:rPr>
          <w:rFonts w:ascii="Arial" w:hAnsi="Arial" w:cs="Arial"/>
          <w:sz w:val="22"/>
        </w:rPr>
      </w:pPr>
      <w:r>
        <w:rPr>
          <w:rFonts w:ascii="Arial" w:hAnsi="Arial" w:cs="Arial"/>
          <w:sz w:val="22"/>
        </w:rPr>
        <w:t xml:space="preserve">Kao posljedica nepovoljnog prostorno-gospodarskog razvoja demografski čimbenici su osnovni ograničavajući čimbenik. To se prije svega ogleda u prirodnom padu broja stanovnika, emigraciji, dobno-spolnoj i obrazovnoj strukturi. Visoka prosječna starost od 40,1 godina jedan je od ograničavajućih čimbenika daljeg razvitka (nepovoljnija od županijskog prosjeka). Prosječna starost žena iznosi čak 42,6 godina (Županija 41,7), a muškaraca 37,7 godina (Županija 37,7). Udio stanovništva koje ulazi u radni kontingent iznosi 60.3% (62,9% u Županiji). Depopulacija ovog prostora odraz je prije svega gotovo polustoljetne emigracije stanovništva koja još uvijek traje. Posljedica toga je nepovoljna dobno-spolna struktura stanovništva, koja se manifestira na prirodno kretanje stanovništva i strukturu aktivnog stanovništva. </w:t>
      </w:r>
    </w:p>
    <w:p w:rsidR="00012172" w:rsidRDefault="00012172">
      <w:pPr>
        <w:jc w:val="both"/>
        <w:rPr>
          <w:rFonts w:ascii="Arial" w:hAnsi="Arial" w:cs="Arial"/>
          <w:sz w:val="22"/>
        </w:rPr>
      </w:pPr>
    </w:p>
    <w:p w:rsidR="00012172" w:rsidRDefault="00012172">
      <w:pPr>
        <w:jc w:val="both"/>
        <w:rPr>
          <w:rFonts w:ascii="Arial" w:hAnsi="Arial" w:cs="Arial"/>
          <w:sz w:val="22"/>
        </w:rPr>
      </w:pPr>
      <w:r>
        <w:rPr>
          <w:rFonts w:ascii="Arial" w:hAnsi="Arial" w:cs="Arial"/>
          <w:sz w:val="22"/>
        </w:rPr>
        <w:t>Ovo područje bilježi prirodni pad stanovnika, a 2004. godine zabilježen je prirodni prirast (+5). Uzrok tome je najveći broj rođenih od formiranja Općine.</w:t>
      </w:r>
    </w:p>
    <w:p w:rsidR="00012172" w:rsidRDefault="00012172">
      <w:pPr>
        <w:jc w:val="both"/>
        <w:rPr>
          <w:szCs w:val="22"/>
        </w:rPr>
      </w:pPr>
    </w:p>
    <w:p w:rsidR="00012172" w:rsidRDefault="00012172">
      <w:pPr>
        <w:jc w:val="both"/>
        <w:rPr>
          <w:rFonts w:ascii="Arial" w:hAnsi="Arial" w:cs="Arial"/>
          <w:sz w:val="22"/>
          <w:szCs w:val="22"/>
        </w:rPr>
      </w:pPr>
      <w:r>
        <w:rPr>
          <w:rFonts w:ascii="Arial" w:hAnsi="Arial" w:cs="Arial"/>
          <w:sz w:val="22"/>
          <w:szCs w:val="22"/>
        </w:rPr>
        <w:t xml:space="preserve">Dobno-spolni sastav stanovništva Općine pokazuje veliki nesrazmjer starog i mladog stanovništva. U budućnosti će se to odraziti na prirodno kretanje i broj radno sposobnog stanovništva. Radni kontingent će biti sve manji. U mlađim dobnim skupinama i u radnom kontingentu prevladava muško stanovništvo (veća emigracija mlađeg ženskog stanovništva), a iznad 55 godina prevladava žensko stanovništvo. </w:t>
      </w:r>
    </w:p>
    <w:p w:rsidR="00012172" w:rsidRDefault="00012172">
      <w:pPr>
        <w:jc w:val="both"/>
        <w:rPr>
          <w:szCs w:val="22"/>
        </w:rPr>
      </w:pPr>
    </w:p>
    <w:p w:rsidR="00012172" w:rsidRDefault="00012172">
      <w:pPr>
        <w:pStyle w:val="Opisslike"/>
        <w:rPr>
          <w:rFonts w:ascii="Times New Roman" w:hAnsi="Times New Roman"/>
          <w:b/>
          <w:sz w:val="24"/>
          <w:szCs w:val="22"/>
        </w:rPr>
      </w:pPr>
    </w:p>
    <w:p w:rsidR="00012172" w:rsidRDefault="00012172">
      <w:pPr>
        <w:jc w:val="both"/>
        <w:rPr>
          <w:rFonts w:ascii="Arial" w:hAnsi="Arial" w:cs="Arial"/>
          <w:sz w:val="22"/>
          <w:szCs w:val="22"/>
        </w:rPr>
      </w:pPr>
      <w:r>
        <w:rPr>
          <w:rFonts w:ascii="Arial" w:hAnsi="Arial" w:cs="Arial"/>
          <w:sz w:val="22"/>
          <w:szCs w:val="22"/>
        </w:rPr>
        <w:t xml:space="preserve">Najveći udio ima stanovništvo s nezavršenom osnovnom školom (35,0 %), zatim sa završenom srednjom i osnovnom školom (33,0%) i najmanji udio je s višom i visokom stručnom spremom  (3,0%). </w:t>
      </w:r>
    </w:p>
    <w:p w:rsidR="00012172" w:rsidRDefault="00012172"/>
    <w:p w:rsidR="00012172" w:rsidRDefault="00012172">
      <w:pPr>
        <w:pStyle w:val="Opisslike"/>
        <w:rPr>
          <w:b/>
          <w:bCs w:val="0"/>
          <w:sz w:val="22"/>
        </w:rPr>
      </w:pPr>
      <w:bookmarkStart w:id="31" w:name="_Toc132763259"/>
      <w:r>
        <w:rPr>
          <w:b/>
          <w:bCs w:val="0"/>
          <w:sz w:val="22"/>
        </w:rPr>
        <w:t xml:space="preserve">Tablica </w:t>
      </w:r>
      <w:r>
        <w:rPr>
          <w:b/>
          <w:bCs w:val="0"/>
          <w:sz w:val="22"/>
        </w:rPr>
        <w:fldChar w:fldCharType="begin"/>
      </w:r>
      <w:r>
        <w:rPr>
          <w:b/>
          <w:bCs w:val="0"/>
          <w:sz w:val="22"/>
        </w:rPr>
        <w:instrText xml:space="preserve"> SEQ Tablica \* ARABIC </w:instrText>
      </w:r>
      <w:r>
        <w:rPr>
          <w:b/>
          <w:bCs w:val="0"/>
          <w:sz w:val="22"/>
        </w:rPr>
        <w:fldChar w:fldCharType="separate"/>
      </w:r>
      <w:r w:rsidR="002B1815">
        <w:rPr>
          <w:b/>
          <w:bCs w:val="0"/>
          <w:noProof/>
          <w:sz w:val="22"/>
        </w:rPr>
        <w:t>9</w:t>
      </w:r>
      <w:r>
        <w:rPr>
          <w:b/>
          <w:bCs w:val="0"/>
          <w:sz w:val="22"/>
        </w:rPr>
        <w:fldChar w:fldCharType="end"/>
      </w:r>
      <w:r>
        <w:rPr>
          <w:b/>
          <w:bCs w:val="0"/>
          <w:sz w:val="22"/>
        </w:rPr>
        <w:t>: Prirodno kretanje broja stanovnika U Općini Gornja Rijeka</w:t>
      </w:r>
      <w:bookmarkEnd w:id="31"/>
    </w:p>
    <w:tbl>
      <w:tblPr>
        <w:tblW w:w="738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760"/>
        <w:gridCol w:w="960"/>
        <w:gridCol w:w="960"/>
        <w:gridCol w:w="936"/>
        <w:gridCol w:w="902"/>
        <w:gridCol w:w="902"/>
        <w:gridCol w:w="960"/>
      </w:tblGrid>
      <w:tr w:rsidR="00012172">
        <w:trPr>
          <w:trHeight w:val="255"/>
        </w:trPr>
        <w:tc>
          <w:tcPr>
            <w:tcW w:w="1760" w:type="dxa"/>
            <w:noWrap/>
          </w:tcPr>
          <w:p w:rsidR="00012172" w:rsidRDefault="00012172">
            <w:pPr>
              <w:jc w:val="center"/>
              <w:rPr>
                <w:rFonts w:ascii="Arial" w:hAnsi="Arial" w:cs="Arial"/>
                <w:bCs/>
                <w:sz w:val="20"/>
                <w:szCs w:val="20"/>
              </w:rPr>
            </w:pPr>
            <w:r>
              <w:rPr>
                <w:rFonts w:ascii="Arial" w:hAnsi="Arial" w:cs="Arial"/>
                <w:bCs/>
                <w:sz w:val="20"/>
                <w:szCs w:val="20"/>
              </w:rPr>
              <w:t>godina</w:t>
            </w:r>
          </w:p>
        </w:tc>
        <w:tc>
          <w:tcPr>
            <w:tcW w:w="960" w:type="dxa"/>
            <w:noWrap/>
          </w:tcPr>
          <w:p w:rsidR="00012172" w:rsidRDefault="00012172">
            <w:pPr>
              <w:jc w:val="center"/>
              <w:rPr>
                <w:rFonts w:ascii="Arial" w:hAnsi="Arial" w:cs="Arial"/>
                <w:bCs/>
                <w:sz w:val="20"/>
                <w:szCs w:val="20"/>
              </w:rPr>
            </w:pPr>
            <w:r>
              <w:rPr>
                <w:rFonts w:ascii="Arial" w:hAnsi="Arial" w:cs="Arial"/>
                <w:bCs/>
                <w:sz w:val="20"/>
                <w:szCs w:val="20"/>
              </w:rPr>
              <w:t>1999.</w:t>
            </w:r>
          </w:p>
        </w:tc>
        <w:tc>
          <w:tcPr>
            <w:tcW w:w="960" w:type="dxa"/>
            <w:noWrap/>
          </w:tcPr>
          <w:p w:rsidR="00012172" w:rsidRDefault="00012172">
            <w:pPr>
              <w:jc w:val="center"/>
              <w:rPr>
                <w:rFonts w:ascii="Arial" w:hAnsi="Arial" w:cs="Arial"/>
                <w:bCs/>
                <w:sz w:val="20"/>
                <w:szCs w:val="20"/>
              </w:rPr>
            </w:pPr>
            <w:r>
              <w:rPr>
                <w:rFonts w:ascii="Arial" w:hAnsi="Arial" w:cs="Arial"/>
                <w:bCs/>
                <w:sz w:val="20"/>
                <w:szCs w:val="20"/>
              </w:rPr>
              <w:t>2000.</w:t>
            </w:r>
          </w:p>
        </w:tc>
        <w:tc>
          <w:tcPr>
            <w:tcW w:w="936" w:type="dxa"/>
          </w:tcPr>
          <w:p w:rsidR="00012172" w:rsidRDefault="00012172">
            <w:pPr>
              <w:jc w:val="center"/>
              <w:rPr>
                <w:rFonts w:ascii="Arial" w:hAnsi="Arial" w:cs="Arial"/>
                <w:bCs/>
                <w:sz w:val="20"/>
                <w:szCs w:val="20"/>
              </w:rPr>
            </w:pPr>
            <w:r>
              <w:rPr>
                <w:rFonts w:ascii="Arial" w:hAnsi="Arial" w:cs="Arial"/>
                <w:bCs/>
                <w:sz w:val="20"/>
                <w:szCs w:val="20"/>
              </w:rPr>
              <w:t>2001.</w:t>
            </w:r>
          </w:p>
        </w:tc>
        <w:tc>
          <w:tcPr>
            <w:tcW w:w="902" w:type="dxa"/>
          </w:tcPr>
          <w:p w:rsidR="00012172" w:rsidRDefault="00012172">
            <w:pPr>
              <w:jc w:val="center"/>
              <w:rPr>
                <w:rFonts w:ascii="Arial" w:hAnsi="Arial" w:cs="Arial"/>
                <w:bCs/>
                <w:sz w:val="20"/>
                <w:szCs w:val="20"/>
              </w:rPr>
            </w:pPr>
            <w:r>
              <w:rPr>
                <w:rFonts w:ascii="Arial" w:hAnsi="Arial" w:cs="Arial"/>
                <w:bCs/>
                <w:sz w:val="20"/>
                <w:szCs w:val="20"/>
              </w:rPr>
              <w:t>2002.</w:t>
            </w:r>
          </w:p>
        </w:tc>
        <w:tc>
          <w:tcPr>
            <w:tcW w:w="902" w:type="dxa"/>
          </w:tcPr>
          <w:p w:rsidR="00012172" w:rsidRDefault="00012172">
            <w:pPr>
              <w:jc w:val="center"/>
              <w:rPr>
                <w:rFonts w:ascii="Arial" w:hAnsi="Arial" w:cs="Arial"/>
                <w:bCs/>
                <w:sz w:val="20"/>
                <w:szCs w:val="20"/>
              </w:rPr>
            </w:pPr>
            <w:r>
              <w:rPr>
                <w:rFonts w:ascii="Arial" w:hAnsi="Arial" w:cs="Arial"/>
                <w:bCs/>
                <w:sz w:val="20"/>
                <w:szCs w:val="20"/>
              </w:rPr>
              <w:t>2003.</w:t>
            </w:r>
          </w:p>
        </w:tc>
        <w:tc>
          <w:tcPr>
            <w:tcW w:w="960" w:type="dxa"/>
            <w:noWrap/>
          </w:tcPr>
          <w:p w:rsidR="00012172" w:rsidRDefault="00012172">
            <w:pPr>
              <w:jc w:val="center"/>
              <w:rPr>
                <w:rFonts w:ascii="Arial" w:hAnsi="Arial" w:cs="Arial"/>
                <w:bCs/>
                <w:sz w:val="20"/>
                <w:szCs w:val="20"/>
              </w:rPr>
            </w:pPr>
            <w:r>
              <w:rPr>
                <w:rFonts w:ascii="Arial" w:hAnsi="Arial" w:cs="Arial"/>
                <w:bCs/>
                <w:sz w:val="20"/>
                <w:szCs w:val="20"/>
              </w:rPr>
              <w:t>2004.</w:t>
            </w:r>
          </w:p>
        </w:tc>
      </w:tr>
      <w:tr w:rsidR="00012172">
        <w:trPr>
          <w:trHeight w:val="270"/>
        </w:trPr>
        <w:tc>
          <w:tcPr>
            <w:tcW w:w="1760" w:type="dxa"/>
            <w:noWrap/>
          </w:tcPr>
          <w:p w:rsidR="00012172" w:rsidRDefault="00012172">
            <w:pPr>
              <w:jc w:val="center"/>
              <w:rPr>
                <w:rFonts w:ascii="Arial" w:hAnsi="Arial" w:cs="Arial"/>
                <w:bCs/>
                <w:sz w:val="20"/>
                <w:szCs w:val="20"/>
              </w:rPr>
            </w:pPr>
            <w:r>
              <w:rPr>
                <w:rFonts w:ascii="Arial" w:hAnsi="Arial" w:cs="Arial"/>
                <w:bCs/>
                <w:sz w:val="20"/>
                <w:szCs w:val="20"/>
              </w:rPr>
              <w:t>rođeni</w:t>
            </w:r>
          </w:p>
        </w:tc>
        <w:tc>
          <w:tcPr>
            <w:tcW w:w="960" w:type="dxa"/>
            <w:noWrap/>
          </w:tcPr>
          <w:p w:rsidR="00012172" w:rsidRDefault="00012172">
            <w:pPr>
              <w:jc w:val="center"/>
              <w:rPr>
                <w:rFonts w:ascii="Arial" w:hAnsi="Arial" w:cs="Arial"/>
                <w:bCs/>
                <w:sz w:val="20"/>
                <w:szCs w:val="20"/>
              </w:rPr>
            </w:pPr>
            <w:r>
              <w:rPr>
                <w:rFonts w:ascii="Arial" w:hAnsi="Arial" w:cs="Arial"/>
                <w:bCs/>
                <w:sz w:val="20"/>
                <w:szCs w:val="20"/>
              </w:rPr>
              <w:t>29</w:t>
            </w:r>
          </w:p>
        </w:tc>
        <w:tc>
          <w:tcPr>
            <w:tcW w:w="960" w:type="dxa"/>
            <w:noWrap/>
          </w:tcPr>
          <w:p w:rsidR="00012172" w:rsidRDefault="00012172">
            <w:pPr>
              <w:jc w:val="center"/>
              <w:rPr>
                <w:rFonts w:ascii="Arial" w:hAnsi="Arial" w:cs="Arial"/>
                <w:bCs/>
                <w:sz w:val="20"/>
                <w:szCs w:val="20"/>
              </w:rPr>
            </w:pPr>
            <w:r>
              <w:rPr>
                <w:rFonts w:ascii="Arial" w:hAnsi="Arial" w:cs="Arial"/>
                <w:bCs/>
                <w:sz w:val="20"/>
                <w:szCs w:val="20"/>
              </w:rPr>
              <w:t>21</w:t>
            </w:r>
          </w:p>
        </w:tc>
        <w:tc>
          <w:tcPr>
            <w:tcW w:w="936" w:type="dxa"/>
          </w:tcPr>
          <w:p w:rsidR="00012172" w:rsidRDefault="00012172">
            <w:pPr>
              <w:jc w:val="center"/>
              <w:rPr>
                <w:rFonts w:ascii="Arial" w:hAnsi="Arial" w:cs="Arial"/>
                <w:bCs/>
                <w:sz w:val="20"/>
                <w:szCs w:val="20"/>
              </w:rPr>
            </w:pPr>
            <w:r>
              <w:rPr>
                <w:rFonts w:ascii="Arial" w:hAnsi="Arial" w:cs="Arial"/>
                <w:bCs/>
                <w:sz w:val="20"/>
                <w:szCs w:val="20"/>
              </w:rPr>
              <w:t>25</w:t>
            </w:r>
          </w:p>
        </w:tc>
        <w:tc>
          <w:tcPr>
            <w:tcW w:w="902" w:type="dxa"/>
          </w:tcPr>
          <w:p w:rsidR="00012172" w:rsidRDefault="00012172">
            <w:pPr>
              <w:jc w:val="center"/>
              <w:rPr>
                <w:rFonts w:ascii="Arial" w:hAnsi="Arial" w:cs="Arial"/>
                <w:bCs/>
                <w:sz w:val="20"/>
                <w:szCs w:val="20"/>
              </w:rPr>
            </w:pPr>
            <w:r>
              <w:rPr>
                <w:rFonts w:ascii="Arial" w:hAnsi="Arial" w:cs="Arial"/>
                <w:bCs/>
                <w:sz w:val="20"/>
                <w:szCs w:val="20"/>
              </w:rPr>
              <w:t>17</w:t>
            </w:r>
          </w:p>
        </w:tc>
        <w:tc>
          <w:tcPr>
            <w:tcW w:w="902" w:type="dxa"/>
          </w:tcPr>
          <w:p w:rsidR="00012172" w:rsidRDefault="00012172">
            <w:pPr>
              <w:jc w:val="center"/>
              <w:rPr>
                <w:rFonts w:ascii="Arial" w:hAnsi="Arial" w:cs="Arial"/>
                <w:bCs/>
                <w:sz w:val="20"/>
                <w:szCs w:val="20"/>
              </w:rPr>
            </w:pPr>
            <w:r>
              <w:rPr>
                <w:rFonts w:ascii="Arial" w:hAnsi="Arial" w:cs="Arial"/>
                <w:bCs/>
                <w:sz w:val="20"/>
                <w:szCs w:val="20"/>
              </w:rPr>
              <w:t>21</w:t>
            </w:r>
          </w:p>
        </w:tc>
        <w:tc>
          <w:tcPr>
            <w:tcW w:w="960" w:type="dxa"/>
            <w:noWrap/>
          </w:tcPr>
          <w:p w:rsidR="00012172" w:rsidRDefault="00012172">
            <w:pPr>
              <w:jc w:val="center"/>
              <w:rPr>
                <w:rFonts w:ascii="Arial" w:hAnsi="Arial" w:cs="Arial"/>
                <w:bCs/>
                <w:sz w:val="20"/>
                <w:szCs w:val="20"/>
              </w:rPr>
            </w:pPr>
            <w:r>
              <w:rPr>
                <w:rFonts w:ascii="Arial" w:hAnsi="Arial" w:cs="Arial"/>
                <w:bCs/>
                <w:sz w:val="20"/>
                <w:szCs w:val="20"/>
              </w:rPr>
              <w:t>32</w:t>
            </w:r>
          </w:p>
        </w:tc>
      </w:tr>
      <w:tr w:rsidR="00012172">
        <w:trPr>
          <w:trHeight w:val="285"/>
        </w:trPr>
        <w:tc>
          <w:tcPr>
            <w:tcW w:w="1760" w:type="dxa"/>
            <w:noWrap/>
          </w:tcPr>
          <w:p w:rsidR="00012172" w:rsidRDefault="00012172">
            <w:pPr>
              <w:jc w:val="center"/>
              <w:rPr>
                <w:rFonts w:ascii="Arial" w:hAnsi="Arial" w:cs="Arial"/>
                <w:bCs/>
                <w:sz w:val="20"/>
                <w:szCs w:val="20"/>
              </w:rPr>
            </w:pPr>
            <w:r>
              <w:rPr>
                <w:rFonts w:ascii="Arial" w:hAnsi="Arial" w:cs="Arial"/>
                <w:bCs/>
                <w:sz w:val="20"/>
                <w:szCs w:val="20"/>
              </w:rPr>
              <w:t>umrli</w:t>
            </w:r>
          </w:p>
        </w:tc>
        <w:tc>
          <w:tcPr>
            <w:tcW w:w="960" w:type="dxa"/>
            <w:noWrap/>
          </w:tcPr>
          <w:p w:rsidR="00012172" w:rsidRDefault="00012172">
            <w:pPr>
              <w:jc w:val="center"/>
              <w:rPr>
                <w:rFonts w:ascii="Arial" w:hAnsi="Arial" w:cs="Arial"/>
                <w:bCs/>
                <w:sz w:val="20"/>
                <w:szCs w:val="20"/>
              </w:rPr>
            </w:pPr>
            <w:r>
              <w:rPr>
                <w:rFonts w:ascii="Arial" w:hAnsi="Arial" w:cs="Arial"/>
                <w:bCs/>
                <w:sz w:val="20"/>
                <w:szCs w:val="20"/>
              </w:rPr>
              <w:t>42</w:t>
            </w:r>
          </w:p>
        </w:tc>
        <w:tc>
          <w:tcPr>
            <w:tcW w:w="960" w:type="dxa"/>
            <w:noWrap/>
          </w:tcPr>
          <w:p w:rsidR="00012172" w:rsidRDefault="00012172">
            <w:pPr>
              <w:jc w:val="center"/>
              <w:rPr>
                <w:rFonts w:ascii="Arial" w:hAnsi="Arial" w:cs="Arial"/>
                <w:bCs/>
                <w:sz w:val="20"/>
                <w:szCs w:val="20"/>
              </w:rPr>
            </w:pPr>
            <w:r>
              <w:rPr>
                <w:rFonts w:ascii="Arial" w:hAnsi="Arial" w:cs="Arial"/>
                <w:bCs/>
                <w:sz w:val="20"/>
                <w:szCs w:val="20"/>
              </w:rPr>
              <w:t>34</w:t>
            </w:r>
          </w:p>
        </w:tc>
        <w:tc>
          <w:tcPr>
            <w:tcW w:w="936" w:type="dxa"/>
          </w:tcPr>
          <w:p w:rsidR="00012172" w:rsidRDefault="00012172">
            <w:pPr>
              <w:jc w:val="center"/>
              <w:rPr>
                <w:rFonts w:ascii="Arial" w:hAnsi="Arial" w:cs="Arial"/>
                <w:bCs/>
                <w:sz w:val="20"/>
                <w:szCs w:val="20"/>
              </w:rPr>
            </w:pPr>
            <w:r>
              <w:rPr>
                <w:rFonts w:ascii="Arial" w:hAnsi="Arial" w:cs="Arial"/>
                <w:bCs/>
                <w:sz w:val="20"/>
                <w:szCs w:val="20"/>
              </w:rPr>
              <w:t>30</w:t>
            </w:r>
          </w:p>
        </w:tc>
        <w:tc>
          <w:tcPr>
            <w:tcW w:w="902" w:type="dxa"/>
          </w:tcPr>
          <w:p w:rsidR="00012172" w:rsidRDefault="00012172">
            <w:pPr>
              <w:jc w:val="center"/>
              <w:rPr>
                <w:rFonts w:ascii="Arial" w:hAnsi="Arial" w:cs="Arial"/>
                <w:bCs/>
                <w:sz w:val="20"/>
                <w:szCs w:val="20"/>
              </w:rPr>
            </w:pPr>
            <w:r>
              <w:rPr>
                <w:rFonts w:ascii="Arial" w:hAnsi="Arial" w:cs="Arial"/>
                <w:bCs/>
                <w:sz w:val="20"/>
                <w:szCs w:val="20"/>
              </w:rPr>
              <w:t>31</w:t>
            </w:r>
          </w:p>
        </w:tc>
        <w:tc>
          <w:tcPr>
            <w:tcW w:w="902" w:type="dxa"/>
          </w:tcPr>
          <w:p w:rsidR="00012172" w:rsidRDefault="00012172">
            <w:pPr>
              <w:jc w:val="center"/>
              <w:rPr>
                <w:rFonts w:ascii="Arial" w:hAnsi="Arial" w:cs="Arial"/>
                <w:bCs/>
                <w:sz w:val="20"/>
                <w:szCs w:val="20"/>
              </w:rPr>
            </w:pPr>
            <w:r>
              <w:rPr>
                <w:rFonts w:ascii="Arial" w:hAnsi="Arial" w:cs="Arial"/>
                <w:bCs/>
                <w:sz w:val="20"/>
                <w:szCs w:val="20"/>
              </w:rPr>
              <w:t>24</w:t>
            </w:r>
          </w:p>
        </w:tc>
        <w:tc>
          <w:tcPr>
            <w:tcW w:w="960" w:type="dxa"/>
            <w:noWrap/>
          </w:tcPr>
          <w:p w:rsidR="00012172" w:rsidRDefault="00012172">
            <w:pPr>
              <w:jc w:val="center"/>
              <w:rPr>
                <w:rFonts w:ascii="Arial" w:hAnsi="Arial" w:cs="Arial"/>
                <w:bCs/>
                <w:sz w:val="20"/>
                <w:szCs w:val="20"/>
              </w:rPr>
            </w:pPr>
            <w:r>
              <w:rPr>
                <w:rFonts w:ascii="Arial" w:hAnsi="Arial" w:cs="Arial"/>
                <w:bCs/>
                <w:sz w:val="20"/>
                <w:szCs w:val="20"/>
              </w:rPr>
              <w:t>27</w:t>
            </w:r>
          </w:p>
        </w:tc>
      </w:tr>
      <w:tr w:rsidR="00012172">
        <w:trPr>
          <w:trHeight w:val="270"/>
        </w:trPr>
        <w:tc>
          <w:tcPr>
            <w:tcW w:w="1760" w:type="dxa"/>
            <w:noWrap/>
          </w:tcPr>
          <w:p w:rsidR="00012172" w:rsidRDefault="00012172">
            <w:pPr>
              <w:jc w:val="center"/>
              <w:rPr>
                <w:rFonts w:ascii="Arial" w:hAnsi="Arial" w:cs="Arial"/>
                <w:bCs/>
                <w:sz w:val="20"/>
                <w:szCs w:val="20"/>
              </w:rPr>
            </w:pPr>
            <w:r>
              <w:rPr>
                <w:rFonts w:ascii="Arial" w:hAnsi="Arial" w:cs="Arial"/>
                <w:bCs/>
                <w:sz w:val="20"/>
                <w:szCs w:val="20"/>
              </w:rPr>
              <w:t>prirodno kretanje</w:t>
            </w:r>
          </w:p>
        </w:tc>
        <w:tc>
          <w:tcPr>
            <w:tcW w:w="960" w:type="dxa"/>
            <w:noWrap/>
            <w:vAlign w:val="center"/>
          </w:tcPr>
          <w:p w:rsidR="00012172" w:rsidRDefault="00012172">
            <w:pPr>
              <w:jc w:val="center"/>
              <w:rPr>
                <w:rFonts w:ascii="Arial" w:hAnsi="Arial" w:cs="Arial"/>
                <w:bCs/>
                <w:sz w:val="20"/>
                <w:szCs w:val="20"/>
              </w:rPr>
            </w:pPr>
            <w:r>
              <w:rPr>
                <w:rFonts w:ascii="Arial" w:hAnsi="Arial" w:cs="Arial"/>
                <w:bCs/>
                <w:sz w:val="20"/>
                <w:szCs w:val="20"/>
              </w:rPr>
              <w:t>-13</w:t>
            </w:r>
          </w:p>
        </w:tc>
        <w:tc>
          <w:tcPr>
            <w:tcW w:w="960" w:type="dxa"/>
            <w:noWrap/>
            <w:vAlign w:val="center"/>
          </w:tcPr>
          <w:p w:rsidR="00012172" w:rsidRDefault="00012172">
            <w:pPr>
              <w:jc w:val="center"/>
              <w:rPr>
                <w:rFonts w:ascii="Arial" w:hAnsi="Arial" w:cs="Arial"/>
                <w:bCs/>
                <w:sz w:val="20"/>
                <w:szCs w:val="20"/>
              </w:rPr>
            </w:pPr>
            <w:r>
              <w:rPr>
                <w:rFonts w:ascii="Arial" w:hAnsi="Arial" w:cs="Arial"/>
                <w:bCs/>
                <w:sz w:val="20"/>
                <w:szCs w:val="20"/>
              </w:rPr>
              <w:t>-13</w:t>
            </w:r>
          </w:p>
        </w:tc>
        <w:tc>
          <w:tcPr>
            <w:tcW w:w="936" w:type="dxa"/>
          </w:tcPr>
          <w:p w:rsidR="00012172" w:rsidRDefault="00012172">
            <w:pPr>
              <w:jc w:val="center"/>
              <w:rPr>
                <w:rFonts w:ascii="Arial" w:hAnsi="Arial" w:cs="Arial"/>
                <w:bCs/>
                <w:sz w:val="20"/>
                <w:szCs w:val="20"/>
              </w:rPr>
            </w:pPr>
            <w:r>
              <w:rPr>
                <w:rFonts w:ascii="Arial" w:hAnsi="Arial" w:cs="Arial"/>
                <w:bCs/>
                <w:sz w:val="20"/>
                <w:szCs w:val="20"/>
              </w:rPr>
              <w:t>-5</w:t>
            </w:r>
          </w:p>
        </w:tc>
        <w:tc>
          <w:tcPr>
            <w:tcW w:w="902" w:type="dxa"/>
          </w:tcPr>
          <w:p w:rsidR="00012172" w:rsidRDefault="00012172">
            <w:pPr>
              <w:jc w:val="center"/>
              <w:rPr>
                <w:rFonts w:ascii="Arial" w:hAnsi="Arial" w:cs="Arial"/>
                <w:bCs/>
                <w:sz w:val="20"/>
                <w:szCs w:val="20"/>
              </w:rPr>
            </w:pPr>
            <w:r>
              <w:rPr>
                <w:rFonts w:ascii="Arial" w:hAnsi="Arial" w:cs="Arial"/>
                <w:bCs/>
                <w:sz w:val="20"/>
                <w:szCs w:val="20"/>
              </w:rPr>
              <w:t>-14</w:t>
            </w:r>
          </w:p>
        </w:tc>
        <w:tc>
          <w:tcPr>
            <w:tcW w:w="902" w:type="dxa"/>
          </w:tcPr>
          <w:p w:rsidR="00012172" w:rsidRDefault="00012172">
            <w:pPr>
              <w:jc w:val="center"/>
              <w:rPr>
                <w:rFonts w:ascii="Arial" w:hAnsi="Arial" w:cs="Arial"/>
                <w:bCs/>
                <w:sz w:val="20"/>
                <w:szCs w:val="20"/>
              </w:rPr>
            </w:pPr>
            <w:r>
              <w:rPr>
                <w:rFonts w:ascii="Arial" w:hAnsi="Arial" w:cs="Arial"/>
                <w:bCs/>
                <w:sz w:val="20"/>
                <w:szCs w:val="20"/>
              </w:rPr>
              <w:t>-3</w:t>
            </w:r>
          </w:p>
        </w:tc>
        <w:tc>
          <w:tcPr>
            <w:tcW w:w="960" w:type="dxa"/>
            <w:noWrap/>
            <w:vAlign w:val="center"/>
          </w:tcPr>
          <w:p w:rsidR="00012172" w:rsidRDefault="00012172">
            <w:pPr>
              <w:jc w:val="center"/>
              <w:rPr>
                <w:rFonts w:ascii="Arial" w:hAnsi="Arial" w:cs="Arial"/>
                <w:bCs/>
                <w:sz w:val="20"/>
                <w:szCs w:val="20"/>
              </w:rPr>
            </w:pPr>
            <w:r>
              <w:rPr>
                <w:rFonts w:ascii="Arial" w:hAnsi="Arial" w:cs="Arial"/>
                <w:bCs/>
                <w:sz w:val="20"/>
                <w:szCs w:val="20"/>
              </w:rPr>
              <w:t>5</w:t>
            </w:r>
          </w:p>
        </w:tc>
      </w:tr>
    </w:tbl>
    <w:p w:rsidR="00012172" w:rsidRDefault="00012172">
      <w:pPr>
        <w:rPr>
          <w:rFonts w:ascii="Arial" w:hAnsi="Arial" w:cs="Arial"/>
          <w:sz w:val="22"/>
          <w:szCs w:val="22"/>
        </w:rPr>
      </w:pPr>
      <w:r>
        <w:rPr>
          <w:rFonts w:ascii="Arial" w:hAnsi="Arial" w:cs="Arial"/>
          <w:sz w:val="22"/>
          <w:szCs w:val="22"/>
        </w:rPr>
        <w:t xml:space="preserve">Izvori : Prethodna priopćenja DZS </w:t>
      </w:r>
    </w:p>
    <w:p w:rsidR="00012172" w:rsidRDefault="00012172">
      <w:pPr>
        <w:pStyle w:val="Opisslike"/>
        <w:rPr>
          <w:b/>
          <w:sz w:val="22"/>
          <w:szCs w:val="22"/>
        </w:rPr>
      </w:pPr>
    </w:p>
    <w:p w:rsidR="00012172" w:rsidRDefault="00012172"/>
    <w:p w:rsidR="00012172" w:rsidRDefault="00012172">
      <w:pPr>
        <w:pStyle w:val="Opisslike"/>
        <w:rPr>
          <w:b/>
          <w:sz w:val="22"/>
        </w:rPr>
      </w:pPr>
      <w:bookmarkStart w:id="32" w:name="_Toc132763260"/>
      <w:r>
        <w:rPr>
          <w:b/>
          <w:sz w:val="22"/>
        </w:rPr>
        <w:t xml:space="preserve">Tablica </w:t>
      </w:r>
      <w:r>
        <w:rPr>
          <w:b/>
          <w:sz w:val="22"/>
        </w:rPr>
        <w:fldChar w:fldCharType="begin"/>
      </w:r>
      <w:r>
        <w:rPr>
          <w:b/>
          <w:sz w:val="22"/>
        </w:rPr>
        <w:instrText xml:space="preserve"> SEQ Tablica \* ARABIC </w:instrText>
      </w:r>
      <w:r>
        <w:rPr>
          <w:b/>
          <w:sz w:val="22"/>
        </w:rPr>
        <w:fldChar w:fldCharType="separate"/>
      </w:r>
      <w:r w:rsidR="002B1815">
        <w:rPr>
          <w:b/>
          <w:noProof/>
          <w:sz w:val="22"/>
        </w:rPr>
        <w:t>10</w:t>
      </w:r>
      <w:r>
        <w:rPr>
          <w:b/>
          <w:sz w:val="22"/>
        </w:rPr>
        <w:fldChar w:fldCharType="end"/>
      </w:r>
      <w:r>
        <w:rPr>
          <w:b/>
          <w:sz w:val="22"/>
        </w:rPr>
        <w:t>: Usporedba kontingenata stanovništva 2001. općine Gornja Rijeka i Koprivničko-križevačke županije</w:t>
      </w:r>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
        <w:gridCol w:w="743"/>
        <w:gridCol w:w="995"/>
        <w:gridCol w:w="923"/>
        <w:gridCol w:w="1232"/>
        <w:gridCol w:w="923"/>
        <w:gridCol w:w="1195"/>
        <w:gridCol w:w="1009"/>
        <w:gridCol w:w="1232"/>
      </w:tblGrid>
      <w:tr w:rsidR="00012172">
        <w:tc>
          <w:tcPr>
            <w:tcW w:w="1036" w:type="dxa"/>
            <w:vAlign w:val="center"/>
          </w:tcPr>
          <w:p w:rsidR="00012172" w:rsidRDefault="00012172">
            <w:pPr>
              <w:jc w:val="center"/>
              <w:rPr>
                <w:rFonts w:ascii="Arial" w:hAnsi="Arial" w:cs="Arial"/>
                <w:sz w:val="22"/>
                <w:szCs w:val="22"/>
              </w:rPr>
            </w:pPr>
          </w:p>
        </w:tc>
        <w:tc>
          <w:tcPr>
            <w:tcW w:w="743" w:type="dxa"/>
            <w:vAlign w:val="center"/>
          </w:tcPr>
          <w:p w:rsidR="00012172" w:rsidRDefault="00012172">
            <w:pPr>
              <w:jc w:val="center"/>
              <w:rPr>
                <w:rFonts w:ascii="Arial" w:hAnsi="Arial" w:cs="Arial"/>
                <w:sz w:val="22"/>
                <w:szCs w:val="22"/>
              </w:rPr>
            </w:pPr>
            <w:r>
              <w:rPr>
                <w:rFonts w:ascii="Arial" w:hAnsi="Arial" w:cs="Arial"/>
                <w:sz w:val="22"/>
                <w:szCs w:val="22"/>
              </w:rPr>
              <w:t>spol</w:t>
            </w:r>
          </w:p>
        </w:tc>
        <w:tc>
          <w:tcPr>
            <w:tcW w:w="995" w:type="dxa"/>
            <w:vAlign w:val="center"/>
          </w:tcPr>
          <w:p w:rsidR="00012172" w:rsidRDefault="00012172">
            <w:pPr>
              <w:jc w:val="center"/>
              <w:rPr>
                <w:rFonts w:ascii="Arial" w:hAnsi="Arial" w:cs="Arial"/>
                <w:sz w:val="22"/>
                <w:szCs w:val="22"/>
              </w:rPr>
            </w:pPr>
            <w:r>
              <w:rPr>
                <w:rFonts w:ascii="Arial" w:hAnsi="Arial" w:cs="Arial"/>
                <w:sz w:val="22"/>
                <w:szCs w:val="22"/>
              </w:rPr>
              <w:t>ukupno</w:t>
            </w:r>
          </w:p>
        </w:tc>
        <w:tc>
          <w:tcPr>
            <w:tcW w:w="923" w:type="dxa"/>
            <w:vAlign w:val="center"/>
          </w:tcPr>
          <w:p w:rsidR="00012172" w:rsidRDefault="00012172">
            <w:pPr>
              <w:jc w:val="center"/>
              <w:rPr>
                <w:rFonts w:ascii="Arial" w:hAnsi="Arial" w:cs="Arial"/>
                <w:sz w:val="22"/>
                <w:szCs w:val="22"/>
              </w:rPr>
            </w:pPr>
            <w:r>
              <w:rPr>
                <w:rFonts w:ascii="Arial" w:hAnsi="Arial" w:cs="Arial"/>
                <w:sz w:val="22"/>
                <w:szCs w:val="22"/>
              </w:rPr>
              <w:t>0-19 godina</w:t>
            </w:r>
          </w:p>
        </w:tc>
        <w:tc>
          <w:tcPr>
            <w:tcW w:w="1232" w:type="dxa"/>
            <w:vAlign w:val="center"/>
          </w:tcPr>
          <w:p w:rsidR="00012172" w:rsidRDefault="00012172">
            <w:pPr>
              <w:jc w:val="center"/>
              <w:rPr>
                <w:rFonts w:ascii="Arial" w:hAnsi="Arial" w:cs="Arial"/>
                <w:sz w:val="22"/>
                <w:szCs w:val="22"/>
              </w:rPr>
            </w:pPr>
            <w:r>
              <w:rPr>
                <w:rFonts w:ascii="Arial" w:hAnsi="Arial" w:cs="Arial"/>
                <w:sz w:val="22"/>
                <w:szCs w:val="22"/>
              </w:rPr>
              <w:t>Radni kontingent</w:t>
            </w:r>
          </w:p>
          <w:p w:rsidR="00012172" w:rsidRDefault="00012172">
            <w:pPr>
              <w:jc w:val="center"/>
              <w:rPr>
                <w:rFonts w:ascii="Arial" w:hAnsi="Arial" w:cs="Arial"/>
                <w:sz w:val="22"/>
                <w:szCs w:val="22"/>
              </w:rPr>
            </w:pPr>
            <w:r>
              <w:rPr>
                <w:rFonts w:ascii="Arial" w:hAnsi="Arial" w:cs="Arial"/>
                <w:sz w:val="22"/>
                <w:szCs w:val="22"/>
              </w:rPr>
              <w:t>žene</w:t>
            </w:r>
          </w:p>
          <w:p w:rsidR="00012172" w:rsidRDefault="00012172">
            <w:pPr>
              <w:jc w:val="center"/>
              <w:rPr>
                <w:rFonts w:ascii="Arial" w:hAnsi="Arial" w:cs="Arial"/>
                <w:sz w:val="22"/>
                <w:szCs w:val="22"/>
              </w:rPr>
            </w:pPr>
            <w:r>
              <w:rPr>
                <w:rFonts w:ascii="Arial" w:hAnsi="Arial" w:cs="Arial"/>
                <w:sz w:val="22"/>
                <w:szCs w:val="22"/>
              </w:rPr>
              <w:t>(15-59)</w:t>
            </w:r>
          </w:p>
          <w:p w:rsidR="00012172" w:rsidRDefault="00012172">
            <w:pPr>
              <w:jc w:val="center"/>
              <w:rPr>
                <w:rFonts w:ascii="Arial" w:hAnsi="Arial" w:cs="Arial"/>
                <w:sz w:val="22"/>
                <w:szCs w:val="22"/>
              </w:rPr>
            </w:pPr>
            <w:r>
              <w:rPr>
                <w:rFonts w:ascii="Arial" w:hAnsi="Arial" w:cs="Arial"/>
                <w:sz w:val="22"/>
                <w:szCs w:val="22"/>
              </w:rPr>
              <w:t>muški</w:t>
            </w:r>
          </w:p>
          <w:p w:rsidR="00012172" w:rsidRDefault="00012172">
            <w:pPr>
              <w:jc w:val="center"/>
              <w:rPr>
                <w:rFonts w:ascii="Arial" w:hAnsi="Arial" w:cs="Arial"/>
                <w:sz w:val="22"/>
                <w:szCs w:val="22"/>
              </w:rPr>
            </w:pPr>
            <w:r>
              <w:rPr>
                <w:rFonts w:ascii="Arial" w:hAnsi="Arial" w:cs="Arial"/>
                <w:sz w:val="22"/>
                <w:szCs w:val="22"/>
              </w:rPr>
              <w:t>(15-65)</w:t>
            </w:r>
          </w:p>
        </w:tc>
        <w:tc>
          <w:tcPr>
            <w:tcW w:w="923" w:type="dxa"/>
            <w:vAlign w:val="center"/>
          </w:tcPr>
          <w:p w:rsidR="00012172" w:rsidRDefault="00012172">
            <w:pPr>
              <w:jc w:val="center"/>
              <w:rPr>
                <w:rFonts w:ascii="Arial" w:hAnsi="Arial" w:cs="Arial"/>
                <w:sz w:val="22"/>
                <w:szCs w:val="22"/>
              </w:rPr>
            </w:pPr>
            <w:r>
              <w:rPr>
                <w:rFonts w:ascii="Arial" w:hAnsi="Arial" w:cs="Arial"/>
                <w:sz w:val="22"/>
                <w:szCs w:val="22"/>
              </w:rPr>
              <w:t>60 i više godina</w:t>
            </w:r>
          </w:p>
        </w:tc>
        <w:tc>
          <w:tcPr>
            <w:tcW w:w="1195" w:type="dxa"/>
            <w:vAlign w:val="center"/>
          </w:tcPr>
          <w:p w:rsidR="00012172" w:rsidRDefault="00012172">
            <w:pPr>
              <w:jc w:val="center"/>
              <w:rPr>
                <w:rFonts w:ascii="Arial" w:hAnsi="Arial" w:cs="Arial"/>
                <w:sz w:val="22"/>
                <w:szCs w:val="22"/>
              </w:rPr>
            </w:pPr>
            <w:r>
              <w:rPr>
                <w:rFonts w:ascii="Arial" w:hAnsi="Arial" w:cs="Arial"/>
                <w:sz w:val="22"/>
                <w:szCs w:val="22"/>
              </w:rPr>
              <w:t>Prosječna starost</w:t>
            </w:r>
          </w:p>
        </w:tc>
        <w:tc>
          <w:tcPr>
            <w:tcW w:w="1009" w:type="dxa"/>
            <w:vAlign w:val="center"/>
          </w:tcPr>
          <w:p w:rsidR="00012172" w:rsidRDefault="00012172">
            <w:pPr>
              <w:jc w:val="center"/>
              <w:rPr>
                <w:rFonts w:ascii="Arial" w:hAnsi="Arial" w:cs="Arial"/>
                <w:sz w:val="22"/>
                <w:szCs w:val="22"/>
              </w:rPr>
            </w:pPr>
            <w:r>
              <w:rPr>
                <w:rFonts w:ascii="Arial" w:hAnsi="Arial" w:cs="Arial"/>
                <w:sz w:val="22"/>
                <w:szCs w:val="22"/>
              </w:rPr>
              <w:t>Indeks starenja</w:t>
            </w:r>
          </w:p>
        </w:tc>
        <w:tc>
          <w:tcPr>
            <w:tcW w:w="1232" w:type="dxa"/>
            <w:vAlign w:val="center"/>
          </w:tcPr>
          <w:p w:rsidR="00012172" w:rsidRDefault="00012172">
            <w:pPr>
              <w:jc w:val="center"/>
              <w:rPr>
                <w:rFonts w:ascii="Arial" w:hAnsi="Arial" w:cs="Arial"/>
                <w:sz w:val="22"/>
                <w:szCs w:val="22"/>
              </w:rPr>
            </w:pPr>
            <w:r>
              <w:rPr>
                <w:rFonts w:ascii="Arial" w:hAnsi="Arial" w:cs="Arial"/>
                <w:sz w:val="22"/>
                <w:szCs w:val="22"/>
              </w:rPr>
              <w:t>Koeficijent starosti</w:t>
            </w:r>
          </w:p>
        </w:tc>
      </w:tr>
      <w:tr w:rsidR="00012172">
        <w:tc>
          <w:tcPr>
            <w:tcW w:w="1036" w:type="dxa"/>
          </w:tcPr>
          <w:p w:rsidR="00012172" w:rsidRDefault="00012172">
            <w:pPr>
              <w:jc w:val="both"/>
              <w:rPr>
                <w:rFonts w:ascii="Arial" w:hAnsi="Arial" w:cs="Arial"/>
                <w:sz w:val="22"/>
                <w:szCs w:val="22"/>
              </w:rPr>
            </w:pPr>
            <w:r>
              <w:rPr>
                <w:rFonts w:ascii="Arial" w:hAnsi="Arial" w:cs="Arial"/>
                <w:sz w:val="22"/>
                <w:szCs w:val="22"/>
              </w:rPr>
              <w:t>županija</w:t>
            </w:r>
          </w:p>
        </w:tc>
        <w:tc>
          <w:tcPr>
            <w:tcW w:w="743" w:type="dxa"/>
            <w:vAlign w:val="center"/>
          </w:tcPr>
          <w:p w:rsidR="00012172" w:rsidRDefault="00012172">
            <w:pPr>
              <w:jc w:val="center"/>
              <w:rPr>
                <w:rFonts w:ascii="Arial" w:hAnsi="Arial" w:cs="Arial"/>
                <w:sz w:val="22"/>
                <w:szCs w:val="22"/>
              </w:rPr>
            </w:pPr>
            <w:r>
              <w:rPr>
                <w:rFonts w:ascii="Verdana" w:hAnsi="Verdana"/>
                <w:color w:val="000000"/>
                <w:sz w:val="20"/>
                <w:szCs w:val="20"/>
              </w:rPr>
              <w:t>sv.</w:t>
            </w:r>
          </w:p>
        </w:tc>
        <w:tc>
          <w:tcPr>
            <w:tcW w:w="995" w:type="dxa"/>
          </w:tcPr>
          <w:p w:rsidR="00012172" w:rsidRDefault="00012172">
            <w:pPr>
              <w:jc w:val="center"/>
              <w:rPr>
                <w:rFonts w:ascii="Arial" w:hAnsi="Arial" w:cs="Arial"/>
                <w:sz w:val="22"/>
                <w:szCs w:val="22"/>
              </w:rPr>
            </w:pPr>
            <w:r>
              <w:rPr>
                <w:rFonts w:ascii="Verdana" w:hAnsi="Verdana"/>
                <w:color w:val="000000"/>
                <w:sz w:val="20"/>
                <w:szCs w:val="20"/>
              </w:rPr>
              <w:t>124467</w:t>
            </w:r>
          </w:p>
        </w:tc>
        <w:tc>
          <w:tcPr>
            <w:tcW w:w="923" w:type="dxa"/>
          </w:tcPr>
          <w:p w:rsidR="00012172" w:rsidRDefault="00012172">
            <w:pPr>
              <w:jc w:val="center"/>
              <w:rPr>
                <w:rFonts w:ascii="Arial" w:hAnsi="Arial" w:cs="Arial"/>
                <w:sz w:val="22"/>
                <w:szCs w:val="22"/>
              </w:rPr>
            </w:pPr>
            <w:r>
              <w:rPr>
                <w:rFonts w:ascii="Verdana" w:hAnsi="Verdana"/>
                <w:color w:val="000000"/>
                <w:sz w:val="20"/>
                <w:szCs w:val="20"/>
              </w:rPr>
              <w:t>29438</w:t>
            </w:r>
          </w:p>
        </w:tc>
        <w:tc>
          <w:tcPr>
            <w:tcW w:w="1232" w:type="dxa"/>
          </w:tcPr>
          <w:p w:rsidR="00012172" w:rsidRDefault="00012172">
            <w:pPr>
              <w:jc w:val="center"/>
              <w:rPr>
                <w:rFonts w:ascii="Arial" w:hAnsi="Arial" w:cs="Arial"/>
                <w:sz w:val="22"/>
                <w:szCs w:val="22"/>
              </w:rPr>
            </w:pPr>
            <w:r>
              <w:rPr>
                <w:rFonts w:ascii="Verdana" w:hAnsi="Verdana"/>
                <w:color w:val="000000"/>
                <w:sz w:val="20"/>
                <w:szCs w:val="20"/>
              </w:rPr>
              <w:t>78410</w:t>
            </w:r>
          </w:p>
        </w:tc>
        <w:tc>
          <w:tcPr>
            <w:tcW w:w="923" w:type="dxa"/>
          </w:tcPr>
          <w:p w:rsidR="00012172" w:rsidRDefault="00012172">
            <w:pPr>
              <w:jc w:val="center"/>
              <w:rPr>
                <w:rFonts w:ascii="Arial" w:hAnsi="Arial" w:cs="Arial"/>
                <w:sz w:val="22"/>
                <w:szCs w:val="22"/>
              </w:rPr>
            </w:pPr>
            <w:r>
              <w:rPr>
                <w:rFonts w:ascii="Verdana" w:hAnsi="Verdana"/>
                <w:color w:val="000000"/>
                <w:sz w:val="20"/>
                <w:szCs w:val="20"/>
              </w:rPr>
              <w:t>27802</w:t>
            </w:r>
          </w:p>
        </w:tc>
        <w:tc>
          <w:tcPr>
            <w:tcW w:w="1195" w:type="dxa"/>
          </w:tcPr>
          <w:p w:rsidR="00012172" w:rsidRDefault="00012172">
            <w:pPr>
              <w:jc w:val="center"/>
              <w:rPr>
                <w:rFonts w:ascii="Arial" w:hAnsi="Arial" w:cs="Arial"/>
                <w:sz w:val="22"/>
                <w:szCs w:val="22"/>
              </w:rPr>
            </w:pPr>
            <w:r>
              <w:rPr>
                <w:rFonts w:ascii="Verdana" w:hAnsi="Verdana"/>
                <w:color w:val="000000"/>
                <w:sz w:val="20"/>
                <w:szCs w:val="20"/>
              </w:rPr>
              <w:t>39,7</w:t>
            </w:r>
          </w:p>
        </w:tc>
        <w:tc>
          <w:tcPr>
            <w:tcW w:w="1009" w:type="dxa"/>
          </w:tcPr>
          <w:p w:rsidR="00012172" w:rsidRDefault="00012172">
            <w:pPr>
              <w:jc w:val="center"/>
              <w:rPr>
                <w:rFonts w:ascii="Arial" w:hAnsi="Arial" w:cs="Arial"/>
                <w:sz w:val="22"/>
                <w:szCs w:val="22"/>
              </w:rPr>
            </w:pPr>
            <w:r>
              <w:rPr>
                <w:rFonts w:ascii="Verdana" w:hAnsi="Verdana"/>
                <w:color w:val="000000"/>
                <w:sz w:val="20"/>
                <w:szCs w:val="20"/>
              </w:rPr>
              <w:t>94,4</w:t>
            </w:r>
          </w:p>
        </w:tc>
        <w:tc>
          <w:tcPr>
            <w:tcW w:w="1232" w:type="dxa"/>
          </w:tcPr>
          <w:p w:rsidR="00012172" w:rsidRDefault="00012172">
            <w:pPr>
              <w:jc w:val="center"/>
              <w:rPr>
                <w:rFonts w:ascii="Arial" w:hAnsi="Arial" w:cs="Arial"/>
                <w:sz w:val="22"/>
                <w:szCs w:val="22"/>
              </w:rPr>
            </w:pPr>
            <w:r>
              <w:rPr>
                <w:rFonts w:ascii="Verdana" w:hAnsi="Verdana"/>
                <w:color w:val="000000"/>
                <w:sz w:val="20"/>
                <w:szCs w:val="20"/>
              </w:rPr>
              <w:t>22,4</w:t>
            </w:r>
          </w:p>
        </w:tc>
      </w:tr>
      <w:tr w:rsidR="00012172">
        <w:tc>
          <w:tcPr>
            <w:tcW w:w="1036" w:type="dxa"/>
          </w:tcPr>
          <w:p w:rsidR="00012172" w:rsidRDefault="00012172">
            <w:pPr>
              <w:jc w:val="both"/>
              <w:rPr>
                <w:rFonts w:ascii="Arial" w:hAnsi="Arial" w:cs="Arial"/>
                <w:sz w:val="22"/>
                <w:szCs w:val="22"/>
              </w:rPr>
            </w:pPr>
          </w:p>
        </w:tc>
        <w:tc>
          <w:tcPr>
            <w:tcW w:w="743" w:type="dxa"/>
            <w:vAlign w:val="center"/>
          </w:tcPr>
          <w:p w:rsidR="00012172" w:rsidRDefault="00012172">
            <w:pPr>
              <w:jc w:val="center"/>
              <w:rPr>
                <w:rFonts w:ascii="Arial" w:hAnsi="Arial" w:cs="Arial"/>
                <w:sz w:val="22"/>
                <w:szCs w:val="22"/>
              </w:rPr>
            </w:pPr>
            <w:r>
              <w:rPr>
                <w:rFonts w:ascii="Arial" w:hAnsi="Arial" w:cs="Arial"/>
                <w:sz w:val="22"/>
                <w:szCs w:val="22"/>
              </w:rPr>
              <w:t>%</w:t>
            </w:r>
          </w:p>
        </w:tc>
        <w:tc>
          <w:tcPr>
            <w:tcW w:w="995" w:type="dxa"/>
          </w:tcPr>
          <w:p w:rsidR="00012172" w:rsidRDefault="00012172">
            <w:pPr>
              <w:jc w:val="center"/>
              <w:rPr>
                <w:rFonts w:ascii="Arial" w:hAnsi="Arial" w:cs="Arial"/>
                <w:sz w:val="22"/>
                <w:szCs w:val="22"/>
              </w:rPr>
            </w:pPr>
            <w:r>
              <w:rPr>
                <w:rFonts w:ascii="Verdana" w:hAnsi="Verdana"/>
                <w:color w:val="000000"/>
                <w:sz w:val="20"/>
                <w:szCs w:val="20"/>
              </w:rPr>
              <w:t>100,0</w:t>
            </w:r>
          </w:p>
        </w:tc>
        <w:tc>
          <w:tcPr>
            <w:tcW w:w="923" w:type="dxa"/>
          </w:tcPr>
          <w:p w:rsidR="00012172" w:rsidRDefault="00012172">
            <w:pPr>
              <w:jc w:val="center"/>
              <w:rPr>
                <w:rFonts w:ascii="Arial" w:hAnsi="Arial" w:cs="Arial"/>
                <w:sz w:val="22"/>
                <w:szCs w:val="22"/>
              </w:rPr>
            </w:pPr>
            <w:r>
              <w:rPr>
                <w:rFonts w:ascii="Verdana" w:hAnsi="Verdana"/>
                <w:color w:val="000000"/>
                <w:sz w:val="20"/>
                <w:szCs w:val="20"/>
              </w:rPr>
              <w:t>23,6</w:t>
            </w:r>
          </w:p>
        </w:tc>
        <w:tc>
          <w:tcPr>
            <w:tcW w:w="1232" w:type="dxa"/>
          </w:tcPr>
          <w:p w:rsidR="00012172" w:rsidRDefault="00012172">
            <w:pPr>
              <w:jc w:val="center"/>
              <w:rPr>
                <w:rFonts w:ascii="Arial" w:hAnsi="Arial" w:cs="Arial"/>
                <w:sz w:val="22"/>
                <w:szCs w:val="22"/>
              </w:rPr>
            </w:pPr>
            <w:r>
              <w:rPr>
                <w:rFonts w:ascii="Verdana" w:hAnsi="Verdana"/>
                <w:color w:val="000000"/>
                <w:sz w:val="20"/>
                <w:szCs w:val="20"/>
              </w:rPr>
              <w:t>62,9</w:t>
            </w:r>
          </w:p>
        </w:tc>
        <w:tc>
          <w:tcPr>
            <w:tcW w:w="923" w:type="dxa"/>
          </w:tcPr>
          <w:p w:rsidR="00012172" w:rsidRDefault="00012172">
            <w:pPr>
              <w:jc w:val="center"/>
              <w:rPr>
                <w:rFonts w:ascii="Arial" w:hAnsi="Arial" w:cs="Arial"/>
                <w:sz w:val="22"/>
                <w:szCs w:val="22"/>
              </w:rPr>
            </w:pPr>
            <w:r>
              <w:rPr>
                <w:rFonts w:ascii="Verdana" w:hAnsi="Verdana"/>
                <w:color w:val="000000"/>
                <w:sz w:val="20"/>
                <w:szCs w:val="20"/>
              </w:rPr>
              <w:t>22,4</w:t>
            </w:r>
          </w:p>
        </w:tc>
        <w:tc>
          <w:tcPr>
            <w:tcW w:w="1195" w:type="dxa"/>
          </w:tcPr>
          <w:p w:rsidR="00012172" w:rsidRDefault="00012172">
            <w:pPr>
              <w:jc w:val="center"/>
              <w:rPr>
                <w:rFonts w:ascii="Arial" w:hAnsi="Arial" w:cs="Arial"/>
                <w:sz w:val="22"/>
                <w:szCs w:val="22"/>
              </w:rPr>
            </w:pPr>
          </w:p>
        </w:tc>
        <w:tc>
          <w:tcPr>
            <w:tcW w:w="1009" w:type="dxa"/>
          </w:tcPr>
          <w:p w:rsidR="00012172" w:rsidRDefault="00012172">
            <w:pPr>
              <w:jc w:val="center"/>
              <w:rPr>
                <w:rFonts w:ascii="Arial" w:hAnsi="Arial" w:cs="Arial"/>
                <w:sz w:val="22"/>
                <w:szCs w:val="22"/>
              </w:rPr>
            </w:pPr>
          </w:p>
        </w:tc>
        <w:tc>
          <w:tcPr>
            <w:tcW w:w="1232" w:type="dxa"/>
          </w:tcPr>
          <w:p w:rsidR="00012172" w:rsidRDefault="00012172">
            <w:pPr>
              <w:jc w:val="center"/>
              <w:rPr>
                <w:rFonts w:ascii="Arial" w:hAnsi="Arial" w:cs="Arial"/>
                <w:sz w:val="22"/>
                <w:szCs w:val="22"/>
              </w:rPr>
            </w:pPr>
          </w:p>
        </w:tc>
      </w:tr>
      <w:tr w:rsidR="00012172">
        <w:tc>
          <w:tcPr>
            <w:tcW w:w="1036" w:type="dxa"/>
          </w:tcPr>
          <w:p w:rsidR="00012172" w:rsidRDefault="00012172">
            <w:pPr>
              <w:jc w:val="both"/>
              <w:rPr>
                <w:rFonts w:ascii="Arial" w:hAnsi="Arial" w:cs="Arial"/>
                <w:sz w:val="22"/>
                <w:szCs w:val="22"/>
              </w:rPr>
            </w:pPr>
          </w:p>
        </w:tc>
        <w:tc>
          <w:tcPr>
            <w:tcW w:w="743" w:type="dxa"/>
            <w:vAlign w:val="center"/>
          </w:tcPr>
          <w:p w:rsidR="00012172" w:rsidRDefault="00012172">
            <w:pPr>
              <w:jc w:val="center"/>
              <w:rPr>
                <w:rFonts w:ascii="Arial" w:hAnsi="Arial" w:cs="Arial"/>
                <w:sz w:val="22"/>
                <w:szCs w:val="22"/>
              </w:rPr>
            </w:pPr>
            <w:r>
              <w:rPr>
                <w:rFonts w:ascii="Arial" w:hAnsi="Arial" w:cs="Arial"/>
                <w:sz w:val="22"/>
                <w:szCs w:val="22"/>
              </w:rPr>
              <w:t>m</w:t>
            </w:r>
          </w:p>
        </w:tc>
        <w:tc>
          <w:tcPr>
            <w:tcW w:w="995" w:type="dxa"/>
          </w:tcPr>
          <w:p w:rsidR="00012172" w:rsidRDefault="00012172">
            <w:pPr>
              <w:jc w:val="center"/>
              <w:rPr>
                <w:rFonts w:ascii="Arial" w:hAnsi="Arial" w:cs="Arial"/>
                <w:sz w:val="22"/>
                <w:szCs w:val="22"/>
              </w:rPr>
            </w:pPr>
            <w:r>
              <w:rPr>
                <w:rFonts w:ascii="Verdana" w:hAnsi="Verdana"/>
                <w:color w:val="000000"/>
                <w:sz w:val="20"/>
                <w:szCs w:val="20"/>
              </w:rPr>
              <w:t>60118</w:t>
            </w:r>
          </w:p>
        </w:tc>
        <w:tc>
          <w:tcPr>
            <w:tcW w:w="923" w:type="dxa"/>
          </w:tcPr>
          <w:p w:rsidR="00012172" w:rsidRDefault="00012172">
            <w:pPr>
              <w:jc w:val="center"/>
              <w:rPr>
                <w:rFonts w:ascii="Arial" w:hAnsi="Arial" w:cs="Arial"/>
                <w:sz w:val="22"/>
                <w:szCs w:val="22"/>
              </w:rPr>
            </w:pPr>
            <w:r>
              <w:rPr>
                <w:rFonts w:ascii="Verdana" w:hAnsi="Verdana"/>
                <w:color w:val="000000"/>
                <w:sz w:val="20"/>
                <w:szCs w:val="20"/>
              </w:rPr>
              <w:t>15097</w:t>
            </w:r>
          </w:p>
        </w:tc>
        <w:tc>
          <w:tcPr>
            <w:tcW w:w="1232" w:type="dxa"/>
          </w:tcPr>
          <w:p w:rsidR="00012172" w:rsidRDefault="00012172">
            <w:pPr>
              <w:jc w:val="center"/>
              <w:rPr>
                <w:rFonts w:ascii="Arial" w:hAnsi="Arial" w:cs="Arial"/>
                <w:sz w:val="22"/>
                <w:szCs w:val="22"/>
              </w:rPr>
            </w:pPr>
            <w:r>
              <w:rPr>
                <w:rFonts w:ascii="Verdana" w:hAnsi="Verdana"/>
                <w:color w:val="000000"/>
                <w:sz w:val="20"/>
                <w:szCs w:val="20"/>
              </w:rPr>
              <w:t>41589</w:t>
            </w:r>
          </w:p>
        </w:tc>
        <w:tc>
          <w:tcPr>
            <w:tcW w:w="923" w:type="dxa"/>
          </w:tcPr>
          <w:p w:rsidR="00012172" w:rsidRDefault="00012172">
            <w:pPr>
              <w:jc w:val="center"/>
              <w:rPr>
                <w:rFonts w:ascii="Arial" w:hAnsi="Arial" w:cs="Arial"/>
                <w:sz w:val="22"/>
                <w:szCs w:val="22"/>
              </w:rPr>
            </w:pPr>
            <w:r>
              <w:rPr>
                <w:rFonts w:ascii="Verdana" w:hAnsi="Verdana"/>
                <w:color w:val="000000"/>
                <w:sz w:val="20"/>
                <w:szCs w:val="20"/>
              </w:rPr>
              <w:t>10755</w:t>
            </w:r>
          </w:p>
        </w:tc>
        <w:tc>
          <w:tcPr>
            <w:tcW w:w="1195" w:type="dxa"/>
          </w:tcPr>
          <w:p w:rsidR="00012172" w:rsidRDefault="00012172">
            <w:pPr>
              <w:jc w:val="center"/>
              <w:rPr>
                <w:rFonts w:ascii="Arial" w:hAnsi="Arial" w:cs="Arial"/>
                <w:sz w:val="22"/>
                <w:szCs w:val="22"/>
              </w:rPr>
            </w:pPr>
            <w:r>
              <w:rPr>
                <w:rFonts w:ascii="Verdana" w:hAnsi="Verdana"/>
                <w:color w:val="000000"/>
                <w:sz w:val="20"/>
                <w:szCs w:val="20"/>
              </w:rPr>
              <w:t>37,7</w:t>
            </w:r>
          </w:p>
        </w:tc>
        <w:tc>
          <w:tcPr>
            <w:tcW w:w="1009" w:type="dxa"/>
          </w:tcPr>
          <w:p w:rsidR="00012172" w:rsidRDefault="00012172">
            <w:pPr>
              <w:jc w:val="center"/>
              <w:rPr>
                <w:rFonts w:ascii="Arial" w:hAnsi="Arial" w:cs="Arial"/>
                <w:sz w:val="22"/>
                <w:szCs w:val="22"/>
              </w:rPr>
            </w:pPr>
            <w:r>
              <w:rPr>
                <w:rFonts w:ascii="Verdana" w:hAnsi="Verdana"/>
                <w:color w:val="000000"/>
                <w:sz w:val="20"/>
                <w:szCs w:val="20"/>
              </w:rPr>
              <w:t>71,2</w:t>
            </w:r>
          </w:p>
        </w:tc>
        <w:tc>
          <w:tcPr>
            <w:tcW w:w="1232" w:type="dxa"/>
          </w:tcPr>
          <w:p w:rsidR="00012172" w:rsidRDefault="00012172">
            <w:pPr>
              <w:jc w:val="center"/>
              <w:rPr>
                <w:rFonts w:ascii="Arial" w:hAnsi="Arial" w:cs="Arial"/>
                <w:sz w:val="22"/>
                <w:szCs w:val="22"/>
              </w:rPr>
            </w:pPr>
            <w:r>
              <w:rPr>
                <w:rFonts w:ascii="Verdana" w:hAnsi="Verdana"/>
                <w:color w:val="000000"/>
                <w:sz w:val="20"/>
                <w:szCs w:val="20"/>
              </w:rPr>
              <w:t>17,9</w:t>
            </w:r>
          </w:p>
        </w:tc>
      </w:tr>
      <w:tr w:rsidR="00012172">
        <w:tc>
          <w:tcPr>
            <w:tcW w:w="1036" w:type="dxa"/>
          </w:tcPr>
          <w:p w:rsidR="00012172" w:rsidRDefault="00012172">
            <w:pPr>
              <w:jc w:val="both"/>
              <w:rPr>
                <w:rFonts w:ascii="Arial" w:hAnsi="Arial" w:cs="Arial"/>
                <w:sz w:val="22"/>
                <w:szCs w:val="22"/>
              </w:rPr>
            </w:pPr>
          </w:p>
        </w:tc>
        <w:tc>
          <w:tcPr>
            <w:tcW w:w="743" w:type="dxa"/>
            <w:vAlign w:val="center"/>
          </w:tcPr>
          <w:p w:rsidR="00012172" w:rsidRDefault="00012172">
            <w:pPr>
              <w:jc w:val="center"/>
              <w:rPr>
                <w:rFonts w:ascii="Arial" w:hAnsi="Arial" w:cs="Arial"/>
                <w:sz w:val="22"/>
                <w:szCs w:val="22"/>
              </w:rPr>
            </w:pPr>
            <w:r>
              <w:rPr>
                <w:rFonts w:ascii="Arial" w:hAnsi="Arial" w:cs="Arial"/>
                <w:sz w:val="22"/>
                <w:szCs w:val="22"/>
              </w:rPr>
              <w:t>%</w:t>
            </w:r>
          </w:p>
        </w:tc>
        <w:tc>
          <w:tcPr>
            <w:tcW w:w="995" w:type="dxa"/>
          </w:tcPr>
          <w:p w:rsidR="00012172" w:rsidRDefault="00012172">
            <w:pPr>
              <w:jc w:val="center"/>
              <w:rPr>
                <w:rFonts w:ascii="Arial" w:hAnsi="Arial" w:cs="Arial"/>
                <w:sz w:val="22"/>
                <w:szCs w:val="22"/>
              </w:rPr>
            </w:pPr>
            <w:r>
              <w:rPr>
                <w:rFonts w:ascii="Verdana" w:hAnsi="Verdana"/>
                <w:color w:val="000000"/>
                <w:sz w:val="20"/>
                <w:szCs w:val="20"/>
              </w:rPr>
              <w:t>100,0</w:t>
            </w:r>
          </w:p>
        </w:tc>
        <w:tc>
          <w:tcPr>
            <w:tcW w:w="923" w:type="dxa"/>
          </w:tcPr>
          <w:p w:rsidR="00012172" w:rsidRDefault="00012172">
            <w:pPr>
              <w:jc w:val="center"/>
              <w:rPr>
                <w:rFonts w:ascii="Arial" w:hAnsi="Arial" w:cs="Arial"/>
                <w:sz w:val="22"/>
                <w:szCs w:val="22"/>
              </w:rPr>
            </w:pPr>
            <w:r>
              <w:rPr>
                <w:rFonts w:ascii="Verdana" w:hAnsi="Verdana"/>
                <w:color w:val="000000"/>
                <w:sz w:val="20"/>
                <w:szCs w:val="20"/>
              </w:rPr>
              <w:t>25,1</w:t>
            </w:r>
          </w:p>
        </w:tc>
        <w:tc>
          <w:tcPr>
            <w:tcW w:w="1232" w:type="dxa"/>
          </w:tcPr>
          <w:p w:rsidR="00012172" w:rsidRDefault="00012172">
            <w:pPr>
              <w:jc w:val="center"/>
              <w:rPr>
                <w:rFonts w:ascii="Arial" w:hAnsi="Arial" w:cs="Arial"/>
                <w:sz w:val="22"/>
                <w:szCs w:val="22"/>
              </w:rPr>
            </w:pPr>
            <w:r>
              <w:rPr>
                <w:rFonts w:ascii="Verdana" w:hAnsi="Verdana"/>
                <w:color w:val="000000"/>
                <w:sz w:val="20"/>
                <w:szCs w:val="20"/>
              </w:rPr>
              <w:t>69,2</w:t>
            </w:r>
          </w:p>
        </w:tc>
        <w:tc>
          <w:tcPr>
            <w:tcW w:w="923" w:type="dxa"/>
          </w:tcPr>
          <w:p w:rsidR="00012172" w:rsidRDefault="00012172">
            <w:pPr>
              <w:jc w:val="center"/>
              <w:rPr>
                <w:rFonts w:ascii="Arial" w:hAnsi="Arial" w:cs="Arial"/>
                <w:sz w:val="22"/>
                <w:szCs w:val="22"/>
              </w:rPr>
            </w:pPr>
            <w:r>
              <w:rPr>
                <w:rFonts w:ascii="Verdana" w:hAnsi="Verdana"/>
                <w:color w:val="000000"/>
                <w:sz w:val="20"/>
                <w:szCs w:val="20"/>
              </w:rPr>
              <w:t>17,9</w:t>
            </w:r>
          </w:p>
        </w:tc>
        <w:tc>
          <w:tcPr>
            <w:tcW w:w="1195" w:type="dxa"/>
          </w:tcPr>
          <w:p w:rsidR="00012172" w:rsidRDefault="00012172">
            <w:pPr>
              <w:jc w:val="center"/>
              <w:rPr>
                <w:rFonts w:ascii="Arial" w:hAnsi="Arial" w:cs="Arial"/>
                <w:sz w:val="22"/>
                <w:szCs w:val="22"/>
              </w:rPr>
            </w:pPr>
          </w:p>
        </w:tc>
        <w:tc>
          <w:tcPr>
            <w:tcW w:w="1009" w:type="dxa"/>
          </w:tcPr>
          <w:p w:rsidR="00012172" w:rsidRDefault="00012172">
            <w:pPr>
              <w:jc w:val="center"/>
              <w:rPr>
                <w:rFonts w:ascii="Arial" w:hAnsi="Arial" w:cs="Arial"/>
                <w:sz w:val="22"/>
                <w:szCs w:val="22"/>
              </w:rPr>
            </w:pPr>
          </w:p>
        </w:tc>
        <w:tc>
          <w:tcPr>
            <w:tcW w:w="1232" w:type="dxa"/>
          </w:tcPr>
          <w:p w:rsidR="00012172" w:rsidRDefault="00012172">
            <w:pPr>
              <w:jc w:val="center"/>
              <w:rPr>
                <w:rFonts w:ascii="Arial" w:hAnsi="Arial" w:cs="Arial"/>
                <w:sz w:val="22"/>
                <w:szCs w:val="22"/>
              </w:rPr>
            </w:pPr>
          </w:p>
        </w:tc>
      </w:tr>
      <w:tr w:rsidR="00012172">
        <w:tc>
          <w:tcPr>
            <w:tcW w:w="1036" w:type="dxa"/>
          </w:tcPr>
          <w:p w:rsidR="00012172" w:rsidRDefault="00012172">
            <w:pPr>
              <w:jc w:val="both"/>
              <w:rPr>
                <w:rFonts w:ascii="Arial" w:hAnsi="Arial" w:cs="Arial"/>
                <w:sz w:val="22"/>
                <w:szCs w:val="22"/>
              </w:rPr>
            </w:pPr>
          </w:p>
        </w:tc>
        <w:tc>
          <w:tcPr>
            <w:tcW w:w="743" w:type="dxa"/>
            <w:vAlign w:val="center"/>
          </w:tcPr>
          <w:p w:rsidR="00012172" w:rsidRDefault="00012172">
            <w:pPr>
              <w:jc w:val="center"/>
              <w:rPr>
                <w:rFonts w:ascii="Arial" w:hAnsi="Arial" w:cs="Arial"/>
                <w:sz w:val="22"/>
                <w:szCs w:val="22"/>
              </w:rPr>
            </w:pPr>
            <w:r>
              <w:rPr>
                <w:rFonts w:ascii="Arial" w:hAnsi="Arial" w:cs="Arial"/>
                <w:sz w:val="22"/>
                <w:szCs w:val="22"/>
              </w:rPr>
              <w:t>ž</w:t>
            </w:r>
          </w:p>
        </w:tc>
        <w:tc>
          <w:tcPr>
            <w:tcW w:w="995" w:type="dxa"/>
          </w:tcPr>
          <w:p w:rsidR="00012172" w:rsidRDefault="00012172">
            <w:pPr>
              <w:jc w:val="center"/>
              <w:rPr>
                <w:rFonts w:ascii="Arial" w:hAnsi="Arial" w:cs="Arial"/>
                <w:sz w:val="22"/>
                <w:szCs w:val="22"/>
              </w:rPr>
            </w:pPr>
            <w:r>
              <w:rPr>
                <w:rFonts w:ascii="Verdana" w:hAnsi="Verdana"/>
                <w:color w:val="000000"/>
                <w:sz w:val="20"/>
                <w:szCs w:val="20"/>
              </w:rPr>
              <w:t>64349</w:t>
            </w:r>
          </w:p>
        </w:tc>
        <w:tc>
          <w:tcPr>
            <w:tcW w:w="923" w:type="dxa"/>
          </w:tcPr>
          <w:p w:rsidR="00012172" w:rsidRDefault="00012172">
            <w:pPr>
              <w:jc w:val="center"/>
              <w:rPr>
                <w:rFonts w:ascii="Arial" w:hAnsi="Arial" w:cs="Arial"/>
                <w:sz w:val="22"/>
                <w:szCs w:val="22"/>
              </w:rPr>
            </w:pPr>
            <w:r>
              <w:rPr>
                <w:rFonts w:ascii="Verdana" w:hAnsi="Verdana"/>
                <w:color w:val="000000"/>
                <w:sz w:val="20"/>
                <w:szCs w:val="20"/>
              </w:rPr>
              <w:t>14341</w:t>
            </w:r>
          </w:p>
        </w:tc>
        <w:tc>
          <w:tcPr>
            <w:tcW w:w="1232" w:type="dxa"/>
          </w:tcPr>
          <w:p w:rsidR="00012172" w:rsidRDefault="00012172">
            <w:pPr>
              <w:jc w:val="center"/>
              <w:rPr>
                <w:rFonts w:ascii="Arial" w:hAnsi="Arial" w:cs="Arial"/>
                <w:sz w:val="22"/>
                <w:szCs w:val="22"/>
              </w:rPr>
            </w:pPr>
            <w:r>
              <w:rPr>
                <w:rFonts w:ascii="Verdana" w:hAnsi="Verdana"/>
                <w:color w:val="000000"/>
                <w:sz w:val="20"/>
                <w:szCs w:val="20"/>
              </w:rPr>
              <w:t>36821</w:t>
            </w:r>
          </w:p>
        </w:tc>
        <w:tc>
          <w:tcPr>
            <w:tcW w:w="923" w:type="dxa"/>
          </w:tcPr>
          <w:p w:rsidR="00012172" w:rsidRDefault="00012172">
            <w:pPr>
              <w:jc w:val="center"/>
              <w:rPr>
                <w:rFonts w:ascii="Arial" w:hAnsi="Arial" w:cs="Arial"/>
                <w:sz w:val="22"/>
                <w:szCs w:val="22"/>
              </w:rPr>
            </w:pPr>
            <w:r>
              <w:rPr>
                <w:rFonts w:ascii="Verdana" w:hAnsi="Verdana"/>
                <w:color w:val="000000"/>
                <w:sz w:val="20"/>
                <w:szCs w:val="20"/>
              </w:rPr>
              <w:t>17047</w:t>
            </w:r>
          </w:p>
        </w:tc>
        <w:tc>
          <w:tcPr>
            <w:tcW w:w="1195" w:type="dxa"/>
          </w:tcPr>
          <w:p w:rsidR="00012172" w:rsidRDefault="00012172">
            <w:pPr>
              <w:jc w:val="center"/>
              <w:rPr>
                <w:rFonts w:ascii="Arial" w:hAnsi="Arial" w:cs="Arial"/>
                <w:sz w:val="22"/>
                <w:szCs w:val="22"/>
              </w:rPr>
            </w:pPr>
            <w:r>
              <w:rPr>
                <w:rFonts w:ascii="Verdana" w:hAnsi="Verdana"/>
                <w:color w:val="000000"/>
                <w:sz w:val="20"/>
                <w:szCs w:val="20"/>
              </w:rPr>
              <w:t>41,7</w:t>
            </w:r>
          </w:p>
        </w:tc>
        <w:tc>
          <w:tcPr>
            <w:tcW w:w="1009" w:type="dxa"/>
          </w:tcPr>
          <w:p w:rsidR="00012172" w:rsidRDefault="00012172">
            <w:pPr>
              <w:jc w:val="center"/>
              <w:rPr>
                <w:rFonts w:ascii="Arial" w:hAnsi="Arial" w:cs="Arial"/>
                <w:sz w:val="22"/>
                <w:szCs w:val="22"/>
              </w:rPr>
            </w:pPr>
            <w:r>
              <w:rPr>
                <w:rFonts w:ascii="Verdana" w:hAnsi="Verdana"/>
                <w:color w:val="000000"/>
                <w:sz w:val="20"/>
                <w:szCs w:val="20"/>
              </w:rPr>
              <w:t>118,9</w:t>
            </w:r>
          </w:p>
        </w:tc>
        <w:tc>
          <w:tcPr>
            <w:tcW w:w="1232" w:type="dxa"/>
          </w:tcPr>
          <w:p w:rsidR="00012172" w:rsidRDefault="00012172">
            <w:pPr>
              <w:jc w:val="center"/>
              <w:rPr>
                <w:rFonts w:ascii="Arial" w:hAnsi="Arial" w:cs="Arial"/>
                <w:sz w:val="22"/>
                <w:szCs w:val="22"/>
              </w:rPr>
            </w:pPr>
            <w:r>
              <w:rPr>
                <w:rFonts w:ascii="Verdana" w:hAnsi="Verdana"/>
                <w:color w:val="000000"/>
                <w:sz w:val="20"/>
                <w:szCs w:val="20"/>
              </w:rPr>
              <w:t>26,6</w:t>
            </w:r>
          </w:p>
        </w:tc>
      </w:tr>
      <w:tr w:rsidR="00012172">
        <w:tc>
          <w:tcPr>
            <w:tcW w:w="1036" w:type="dxa"/>
          </w:tcPr>
          <w:p w:rsidR="00012172" w:rsidRDefault="00012172">
            <w:pPr>
              <w:jc w:val="both"/>
              <w:rPr>
                <w:rFonts w:ascii="Arial" w:hAnsi="Arial" w:cs="Arial"/>
                <w:sz w:val="22"/>
                <w:szCs w:val="22"/>
              </w:rPr>
            </w:pPr>
          </w:p>
        </w:tc>
        <w:tc>
          <w:tcPr>
            <w:tcW w:w="743" w:type="dxa"/>
            <w:vAlign w:val="center"/>
          </w:tcPr>
          <w:p w:rsidR="00012172" w:rsidRDefault="00012172">
            <w:pPr>
              <w:jc w:val="center"/>
              <w:rPr>
                <w:rFonts w:ascii="Arial" w:hAnsi="Arial" w:cs="Arial"/>
                <w:sz w:val="22"/>
                <w:szCs w:val="22"/>
              </w:rPr>
            </w:pPr>
            <w:r>
              <w:rPr>
                <w:rFonts w:ascii="Arial" w:hAnsi="Arial" w:cs="Arial"/>
                <w:sz w:val="22"/>
                <w:szCs w:val="22"/>
              </w:rPr>
              <w:t>%</w:t>
            </w:r>
          </w:p>
        </w:tc>
        <w:tc>
          <w:tcPr>
            <w:tcW w:w="995" w:type="dxa"/>
          </w:tcPr>
          <w:p w:rsidR="00012172" w:rsidRDefault="00012172">
            <w:pPr>
              <w:jc w:val="center"/>
              <w:rPr>
                <w:rFonts w:ascii="Arial" w:hAnsi="Arial" w:cs="Arial"/>
                <w:sz w:val="22"/>
                <w:szCs w:val="22"/>
              </w:rPr>
            </w:pPr>
            <w:r>
              <w:rPr>
                <w:rFonts w:ascii="Verdana" w:hAnsi="Verdana"/>
                <w:color w:val="000000"/>
                <w:sz w:val="20"/>
                <w:szCs w:val="20"/>
              </w:rPr>
              <w:t>100,0</w:t>
            </w:r>
          </w:p>
        </w:tc>
        <w:tc>
          <w:tcPr>
            <w:tcW w:w="923" w:type="dxa"/>
          </w:tcPr>
          <w:p w:rsidR="00012172" w:rsidRDefault="00012172">
            <w:pPr>
              <w:jc w:val="center"/>
              <w:rPr>
                <w:rFonts w:ascii="Arial" w:hAnsi="Arial" w:cs="Arial"/>
                <w:sz w:val="22"/>
                <w:szCs w:val="22"/>
              </w:rPr>
            </w:pPr>
            <w:r>
              <w:rPr>
                <w:rFonts w:ascii="Verdana" w:hAnsi="Verdana"/>
                <w:color w:val="000000"/>
                <w:sz w:val="20"/>
                <w:szCs w:val="20"/>
              </w:rPr>
              <w:t>22,2</w:t>
            </w:r>
          </w:p>
        </w:tc>
        <w:tc>
          <w:tcPr>
            <w:tcW w:w="1232" w:type="dxa"/>
          </w:tcPr>
          <w:p w:rsidR="00012172" w:rsidRDefault="00012172">
            <w:pPr>
              <w:jc w:val="center"/>
              <w:rPr>
                <w:rFonts w:ascii="Arial" w:hAnsi="Arial" w:cs="Arial"/>
                <w:sz w:val="22"/>
                <w:szCs w:val="22"/>
              </w:rPr>
            </w:pPr>
            <w:r>
              <w:rPr>
                <w:rFonts w:ascii="Verdana" w:hAnsi="Verdana"/>
                <w:color w:val="000000"/>
                <w:sz w:val="20"/>
                <w:szCs w:val="20"/>
              </w:rPr>
              <w:t>57,2</w:t>
            </w:r>
          </w:p>
        </w:tc>
        <w:tc>
          <w:tcPr>
            <w:tcW w:w="923" w:type="dxa"/>
          </w:tcPr>
          <w:p w:rsidR="00012172" w:rsidRDefault="00012172">
            <w:pPr>
              <w:jc w:val="center"/>
              <w:rPr>
                <w:rFonts w:ascii="Arial" w:hAnsi="Arial" w:cs="Arial"/>
                <w:sz w:val="22"/>
                <w:szCs w:val="22"/>
              </w:rPr>
            </w:pPr>
            <w:r>
              <w:rPr>
                <w:rFonts w:ascii="Verdana" w:hAnsi="Verdana"/>
                <w:color w:val="000000"/>
                <w:sz w:val="20"/>
                <w:szCs w:val="20"/>
              </w:rPr>
              <w:t>26,4</w:t>
            </w:r>
          </w:p>
        </w:tc>
        <w:tc>
          <w:tcPr>
            <w:tcW w:w="1195" w:type="dxa"/>
          </w:tcPr>
          <w:p w:rsidR="00012172" w:rsidRDefault="00012172">
            <w:pPr>
              <w:jc w:val="center"/>
              <w:rPr>
                <w:rFonts w:ascii="Arial" w:hAnsi="Arial" w:cs="Arial"/>
                <w:sz w:val="22"/>
                <w:szCs w:val="22"/>
              </w:rPr>
            </w:pPr>
          </w:p>
        </w:tc>
        <w:tc>
          <w:tcPr>
            <w:tcW w:w="1009" w:type="dxa"/>
          </w:tcPr>
          <w:p w:rsidR="00012172" w:rsidRDefault="00012172">
            <w:pPr>
              <w:jc w:val="center"/>
              <w:rPr>
                <w:rFonts w:ascii="Arial" w:hAnsi="Arial" w:cs="Arial"/>
                <w:sz w:val="22"/>
                <w:szCs w:val="22"/>
              </w:rPr>
            </w:pPr>
          </w:p>
        </w:tc>
        <w:tc>
          <w:tcPr>
            <w:tcW w:w="1232" w:type="dxa"/>
          </w:tcPr>
          <w:p w:rsidR="00012172" w:rsidRDefault="00012172">
            <w:pPr>
              <w:jc w:val="center"/>
              <w:rPr>
                <w:rFonts w:ascii="Arial" w:hAnsi="Arial" w:cs="Arial"/>
                <w:sz w:val="22"/>
                <w:szCs w:val="22"/>
              </w:rPr>
            </w:pPr>
          </w:p>
        </w:tc>
      </w:tr>
      <w:tr w:rsidR="00012172">
        <w:tc>
          <w:tcPr>
            <w:tcW w:w="1036" w:type="dxa"/>
          </w:tcPr>
          <w:p w:rsidR="00012172" w:rsidRDefault="00012172">
            <w:pPr>
              <w:jc w:val="both"/>
              <w:rPr>
                <w:rFonts w:ascii="Arial" w:hAnsi="Arial" w:cs="Arial"/>
                <w:sz w:val="22"/>
                <w:szCs w:val="22"/>
              </w:rPr>
            </w:pPr>
            <w:r>
              <w:rPr>
                <w:rFonts w:ascii="Arial" w:hAnsi="Arial" w:cs="Arial"/>
                <w:sz w:val="22"/>
                <w:szCs w:val="22"/>
              </w:rPr>
              <w:t>općina</w:t>
            </w:r>
          </w:p>
        </w:tc>
        <w:tc>
          <w:tcPr>
            <w:tcW w:w="743" w:type="dxa"/>
            <w:vAlign w:val="center"/>
          </w:tcPr>
          <w:p w:rsidR="00012172" w:rsidRDefault="00012172">
            <w:pPr>
              <w:jc w:val="center"/>
              <w:rPr>
                <w:rFonts w:ascii="Arial" w:hAnsi="Arial" w:cs="Arial"/>
                <w:sz w:val="22"/>
                <w:szCs w:val="22"/>
              </w:rPr>
            </w:pPr>
            <w:r>
              <w:rPr>
                <w:rFonts w:ascii="Verdana" w:hAnsi="Verdana"/>
                <w:color w:val="000000"/>
                <w:sz w:val="20"/>
                <w:szCs w:val="20"/>
              </w:rPr>
              <w:t>sv.</w:t>
            </w:r>
          </w:p>
        </w:tc>
        <w:tc>
          <w:tcPr>
            <w:tcW w:w="995" w:type="dxa"/>
          </w:tcPr>
          <w:p w:rsidR="00012172" w:rsidRDefault="00012172">
            <w:pPr>
              <w:jc w:val="center"/>
              <w:rPr>
                <w:rFonts w:ascii="Arial" w:hAnsi="Arial" w:cs="Arial"/>
                <w:sz w:val="22"/>
                <w:szCs w:val="22"/>
              </w:rPr>
            </w:pPr>
            <w:r>
              <w:rPr>
                <w:rFonts w:ascii="Arial" w:hAnsi="Arial" w:cs="Arial"/>
                <w:sz w:val="22"/>
                <w:szCs w:val="22"/>
              </w:rPr>
              <w:t>2035</w:t>
            </w:r>
          </w:p>
        </w:tc>
        <w:tc>
          <w:tcPr>
            <w:tcW w:w="923" w:type="dxa"/>
          </w:tcPr>
          <w:p w:rsidR="00012172" w:rsidRDefault="00012172">
            <w:pPr>
              <w:jc w:val="center"/>
              <w:rPr>
                <w:rFonts w:ascii="Arial" w:hAnsi="Arial" w:cs="Arial"/>
                <w:sz w:val="22"/>
                <w:szCs w:val="22"/>
              </w:rPr>
            </w:pPr>
            <w:r>
              <w:rPr>
                <w:rFonts w:ascii="Arial" w:hAnsi="Arial" w:cs="Arial"/>
                <w:sz w:val="22"/>
                <w:szCs w:val="22"/>
              </w:rPr>
              <w:t>472</w:t>
            </w:r>
          </w:p>
        </w:tc>
        <w:tc>
          <w:tcPr>
            <w:tcW w:w="1232" w:type="dxa"/>
          </w:tcPr>
          <w:p w:rsidR="00012172" w:rsidRDefault="00012172">
            <w:pPr>
              <w:jc w:val="center"/>
              <w:rPr>
                <w:rFonts w:ascii="Arial" w:hAnsi="Arial" w:cs="Arial"/>
                <w:sz w:val="22"/>
                <w:szCs w:val="22"/>
              </w:rPr>
            </w:pPr>
            <w:r>
              <w:rPr>
                <w:rFonts w:ascii="Arial" w:hAnsi="Arial" w:cs="Arial"/>
                <w:sz w:val="22"/>
                <w:szCs w:val="22"/>
              </w:rPr>
              <w:t>1228</w:t>
            </w:r>
          </w:p>
        </w:tc>
        <w:tc>
          <w:tcPr>
            <w:tcW w:w="923" w:type="dxa"/>
          </w:tcPr>
          <w:p w:rsidR="00012172" w:rsidRDefault="00012172">
            <w:pPr>
              <w:jc w:val="center"/>
              <w:rPr>
                <w:rFonts w:ascii="Arial" w:hAnsi="Arial" w:cs="Arial"/>
                <w:sz w:val="22"/>
                <w:szCs w:val="22"/>
              </w:rPr>
            </w:pPr>
            <w:r>
              <w:rPr>
                <w:rFonts w:ascii="Arial" w:hAnsi="Arial" w:cs="Arial"/>
                <w:sz w:val="22"/>
                <w:szCs w:val="22"/>
              </w:rPr>
              <w:t>514</w:t>
            </w:r>
          </w:p>
        </w:tc>
        <w:tc>
          <w:tcPr>
            <w:tcW w:w="1195" w:type="dxa"/>
          </w:tcPr>
          <w:p w:rsidR="00012172" w:rsidRDefault="00012172">
            <w:pPr>
              <w:jc w:val="center"/>
              <w:rPr>
                <w:rFonts w:ascii="Arial" w:hAnsi="Arial" w:cs="Arial"/>
                <w:sz w:val="22"/>
                <w:szCs w:val="22"/>
              </w:rPr>
            </w:pPr>
            <w:r>
              <w:rPr>
                <w:rFonts w:ascii="Arial" w:hAnsi="Arial" w:cs="Arial"/>
                <w:sz w:val="22"/>
                <w:szCs w:val="22"/>
              </w:rPr>
              <w:t>40,1</w:t>
            </w:r>
          </w:p>
        </w:tc>
        <w:tc>
          <w:tcPr>
            <w:tcW w:w="1009" w:type="dxa"/>
          </w:tcPr>
          <w:p w:rsidR="00012172" w:rsidRDefault="00012172">
            <w:pPr>
              <w:jc w:val="center"/>
              <w:rPr>
                <w:rFonts w:ascii="Arial" w:hAnsi="Arial" w:cs="Arial"/>
                <w:sz w:val="22"/>
                <w:szCs w:val="22"/>
              </w:rPr>
            </w:pPr>
            <w:r>
              <w:rPr>
                <w:rFonts w:ascii="Arial" w:hAnsi="Arial" w:cs="Arial"/>
                <w:sz w:val="22"/>
                <w:szCs w:val="22"/>
              </w:rPr>
              <w:t>108,9</w:t>
            </w:r>
          </w:p>
        </w:tc>
        <w:tc>
          <w:tcPr>
            <w:tcW w:w="1232" w:type="dxa"/>
          </w:tcPr>
          <w:p w:rsidR="00012172" w:rsidRDefault="00012172">
            <w:pPr>
              <w:jc w:val="center"/>
              <w:rPr>
                <w:rFonts w:ascii="Arial" w:hAnsi="Arial" w:cs="Arial"/>
                <w:sz w:val="22"/>
                <w:szCs w:val="22"/>
              </w:rPr>
            </w:pPr>
            <w:r>
              <w:rPr>
                <w:rFonts w:ascii="Arial" w:hAnsi="Arial" w:cs="Arial"/>
                <w:sz w:val="22"/>
                <w:szCs w:val="22"/>
              </w:rPr>
              <w:t>25,3</w:t>
            </w:r>
          </w:p>
        </w:tc>
      </w:tr>
      <w:tr w:rsidR="00012172">
        <w:tc>
          <w:tcPr>
            <w:tcW w:w="1036" w:type="dxa"/>
          </w:tcPr>
          <w:p w:rsidR="00012172" w:rsidRDefault="00012172">
            <w:pPr>
              <w:jc w:val="both"/>
              <w:rPr>
                <w:rFonts w:ascii="Arial" w:hAnsi="Arial" w:cs="Arial"/>
                <w:sz w:val="22"/>
                <w:szCs w:val="22"/>
              </w:rPr>
            </w:pPr>
          </w:p>
        </w:tc>
        <w:tc>
          <w:tcPr>
            <w:tcW w:w="743" w:type="dxa"/>
            <w:vAlign w:val="center"/>
          </w:tcPr>
          <w:p w:rsidR="00012172" w:rsidRDefault="00012172">
            <w:pPr>
              <w:jc w:val="center"/>
              <w:rPr>
                <w:rFonts w:ascii="Arial" w:hAnsi="Arial" w:cs="Arial"/>
                <w:sz w:val="22"/>
                <w:szCs w:val="22"/>
              </w:rPr>
            </w:pPr>
            <w:r>
              <w:rPr>
                <w:rFonts w:ascii="Arial" w:hAnsi="Arial" w:cs="Arial"/>
                <w:sz w:val="22"/>
                <w:szCs w:val="22"/>
              </w:rPr>
              <w:t>%</w:t>
            </w:r>
          </w:p>
        </w:tc>
        <w:tc>
          <w:tcPr>
            <w:tcW w:w="995" w:type="dxa"/>
          </w:tcPr>
          <w:p w:rsidR="00012172" w:rsidRDefault="00012172">
            <w:pPr>
              <w:jc w:val="center"/>
              <w:rPr>
                <w:rFonts w:ascii="Arial" w:hAnsi="Arial" w:cs="Arial"/>
                <w:sz w:val="22"/>
                <w:szCs w:val="22"/>
              </w:rPr>
            </w:pPr>
            <w:r>
              <w:rPr>
                <w:rFonts w:ascii="Verdana" w:hAnsi="Verdana"/>
                <w:color w:val="000000"/>
                <w:sz w:val="20"/>
                <w:szCs w:val="20"/>
              </w:rPr>
              <w:t>100,0</w:t>
            </w:r>
          </w:p>
        </w:tc>
        <w:tc>
          <w:tcPr>
            <w:tcW w:w="923" w:type="dxa"/>
          </w:tcPr>
          <w:p w:rsidR="00012172" w:rsidRDefault="00012172">
            <w:pPr>
              <w:jc w:val="center"/>
              <w:rPr>
                <w:rFonts w:ascii="Arial" w:hAnsi="Arial" w:cs="Arial"/>
                <w:sz w:val="22"/>
                <w:szCs w:val="22"/>
              </w:rPr>
            </w:pPr>
            <w:r>
              <w:rPr>
                <w:rFonts w:ascii="Arial" w:hAnsi="Arial" w:cs="Arial"/>
                <w:sz w:val="22"/>
                <w:szCs w:val="22"/>
              </w:rPr>
              <w:t>23,2</w:t>
            </w:r>
          </w:p>
        </w:tc>
        <w:tc>
          <w:tcPr>
            <w:tcW w:w="1232" w:type="dxa"/>
          </w:tcPr>
          <w:p w:rsidR="00012172" w:rsidRDefault="00012172">
            <w:pPr>
              <w:jc w:val="center"/>
              <w:rPr>
                <w:rFonts w:ascii="Arial" w:hAnsi="Arial" w:cs="Arial"/>
                <w:sz w:val="22"/>
                <w:szCs w:val="22"/>
              </w:rPr>
            </w:pPr>
            <w:r>
              <w:rPr>
                <w:rFonts w:ascii="Arial" w:hAnsi="Arial" w:cs="Arial"/>
                <w:sz w:val="22"/>
                <w:szCs w:val="22"/>
              </w:rPr>
              <w:t>60,3</w:t>
            </w:r>
          </w:p>
        </w:tc>
        <w:tc>
          <w:tcPr>
            <w:tcW w:w="923" w:type="dxa"/>
          </w:tcPr>
          <w:p w:rsidR="00012172" w:rsidRDefault="00012172">
            <w:pPr>
              <w:jc w:val="center"/>
              <w:rPr>
                <w:rFonts w:ascii="Arial" w:hAnsi="Arial" w:cs="Arial"/>
                <w:sz w:val="22"/>
                <w:szCs w:val="22"/>
              </w:rPr>
            </w:pPr>
            <w:r>
              <w:rPr>
                <w:rFonts w:ascii="Arial" w:hAnsi="Arial" w:cs="Arial"/>
                <w:sz w:val="22"/>
                <w:szCs w:val="22"/>
              </w:rPr>
              <w:t>25,2</w:t>
            </w:r>
          </w:p>
        </w:tc>
        <w:tc>
          <w:tcPr>
            <w:tcW w:w="1195" w:type="dxa"/>
          </w:tcPr>
          <w:p w:rsidR="00012172" w:rsidRDefault="00012172">
            <w:pPr>
              <w:jc w:val="center"/>
              <w:rPr>
                <w:rFonts w:ascii="Arial" w:hAnsi="Arial" w:cs="Arial"/>
                <w:sz w:val="22"/>
                <w:szCs w:val="22"/>
              </w:rPr>
            </w:pPr>
          </w:p>
        </w:tc>
        <w:tc>
          <w:tcPr>
            <w:tcW w:w="1009" w:type="dxa"/>
          </w:tcPr>
          <w:p w:rsidR="00012172" w:rsidRDefault="00012172">
            <w:pPr>
              <w:jc w:val="center"/>
              <w:rPr>
                <w:rFonts w:ascii="Arial" w:hAnsi="Arial" w:cs="Arial"/>
                <w:sz w:val="22"/>
                <w:szCs w:val="22"/>
              </w:rPr>
            </w:pPr>
          </w:p>
        </w:tc>
        <w:tc>
          <w:tcPr>
            <w:tcW w:w="1232" w:type="dxa"/>
          </w:tcPr>
          <w:p w:rsidR="00012172" w:rsidRDefault="00012172">
            <w:pPr>
              <w:jc w:val="center"/>
              <w:rPr>
                <w:rFonts w:ascii="Arial" w:hAnsi="Arial" w:cs="Arial"/>
                <w:sz w:val="22"/>
                <w:szCs w:val="22"/>
              </w:rPr>
            </w:pPr>
          </w:p>
        </w:tc>
      </w:tr>
      <w:tr w:rsidR="00012172">
        <w:tc>
          <w:tcPr>
            <w:tcW w:w="1036" w:type="dxa"/>
          </w:tcPr>
          <w:p w:rsidR="00012172" w:rsidRDefault="00012172">
            <w:pPr>
              <w:jc w:val="both"/>
              <w:rPr>
                <w:rFonts w:ascii="Arial" w:hAnsi="Arial" w:cs="Arial"/>
                <w:sz w:val="22"/>
                <w:szCs w:val="22"/>
              </w:rPr>
            </w:pPr>
          </w:p>
        </w:tc>
        <w:tc>
          <w:tcPr>
            <w:tcW w:w="743" w:type="dxa"/>
            <w:vAlign w:val="center"/>
          </w:tcPr>
          <w:p w:rsidR="00012172" w:rsidRDefault="00012172">
            <w:pPr>
              <w:jc w:val="center"/>
              <w:rPr>
                <w:rFonts w:ascii="Arial" w:hAnsi="Arial" w:cs="Arial"/>
                <w:sz w:val="22"/>
                <w:szCs w:val="22"/>
              </w:rPr>
            </w:pPr>
            <w:r>
              <w:rPr>
                <w:rFonts w:ascii="Arial" w:hAnsi="Arial" w:cs="Arial"/>
                <w:sz w:val="22"/>
                <w:szCs w:val="22"/>
              </w:rPr>
              <w:t>m</w:t>
            </w:r>
          </w:p>
        </w:tc>
        <w:tc>
          <w:tcPr>
            <w:tcW w:w="995" w:type="dxa"/>
          </w:tcPr>
          <w:p w:rsidR="00012172" w:rsidRDefault="00012172">
            <w:pPr>
              <w:jc w:val="center"/>
              <w:rPr>
                <w:rFonts w:ascii="Arial" w:hAnsi="Arial" w:cs="Arial"/>
                <w:sz w:val="22"/>
                <w:szCs w:val="22"/>
              </w:rPr>
            </w:pPr>
            <w:r>
              <w:rPr>
                <w:rFonts w:ascii="Arial" w:hAnsi="Arial" w:cs="Arial"/>
                <w:sz w:val="22"/>
                <w:szCs w:val="22"/>
              </w:rPr>
              <w:t>1037</w:t>
            </w:r>
          </w:p>
        </w:tc>
        <w:tc>
          <w:tcPr>
            <w:tcW w:w="923" w:type="dxa"/>
          </w:tcPr>
          <w:p w:rsidR="00012172" w:rsidRDefault="00012172">
            <w:pPr>
              <w:jc w:val="center"/>
              <w:rPr>
                <w:rFonts w:ascii="Arial" w:hAnsi="Arial" w:cs="Arial"/>
                <w:sz w:val="22"/>
                <w:szCs w:val="22"/>
              </w:rPr>
            </w:pPr>
            <w:r>
              <w:rPr>
                <w:rFonts w:ascii="Arial" w:hAnsi="Arial" w:cs="Arial"/>
                <w:sz w:val="22"/>
                <w:szCs w:val="22"/>
              </w:rPr>
              <w:t>259</w:t>
            </w:r>
          </w:p>
        </w:tc>
        <w:tc>
          <w:tcPr>
            <w:tcW w:w="1232" w:type="dxa"/>
          </w:tcPr>
          <w:p w:rsidR="00012172" w:rsidRDefault="00012172">
            <w:pPr>
              <w:jc w:val="center"/>
              <w:rPr>
                <w:rFonts w:ascii="Arial" w:hAnsi="Arial" w:cs="Arial"/>
                <w:sz w:val="22"/>
                <w:szCs w:val="22"/>
              </w:rPr>
            </w:pPr>
            <w:r>
              <w:rPr>
                <w:rFonts w:ascii="Arial" w:hAnsi="Arial" w:cs="Arial"/>
                <w:sz w:val="22"/>
                <w:szCs w:val="22"/>
              </w:rPr>
              <w:t>700</w:t>
            </w:r>
          </w:p>
        </w:tc>
        <w:tc>
          <w:tcPr>
            <w:tcW w:w="923" w:type="dxa"/>
          </w:tcPr>
          <w:p w:rsidR="00012172" w:rsidRDefault="00012172">
            <w:pPr>
              <w:jc w:val="center"/>
              <w:rPr>
                <w:rFonts w:ascii="Arial" w:hAnsi="Arial" w:cs="Arial"/>
                <w:sz w:val="22"/>
                <w:szCs w:val="22"/>
              </w:rPr>
            </w:pPr>
            <w:r>
              <w:rPr>
                <w:rFonts w:ascii="Arial" w:hAnsi="Arial" w:cs="Arial"/>
                <w:sz w:val="22"/>
                <w:szCs w:val="22"/>
              </w:rPr>
              <w:t>205</w:t>
            </w:r>
          </w:p>
        </w:tc>
        <w:tc>
          <w:tcPr>
            <w:tcW w:w="1195" w:type="dxa"/>
          </w:tcPr>
          <w:p w:rsidR="00012172" w:rsidRDefault="00012172">
            <w:pPr>
              <w:jc w:val="center"/>
              <w:rPr>
                <w:rFonts w:ascii="Arial" w:hAnsi="Arial" w:cs="Arial"/>
                <w:sz w:val="22"/>
                <w:szCs w:val="22"/>
              </w:rPr>
            </w:pPr>
            <w:r>
              <w:rPr>
                <w:rFonts w:ascii="Arial" w:hAnsi="Arial" w:cs="Arial"/>
                <w:sz w:val="22"/>
                <w:szCs w:val="22"/>
              </w:rPr>
              <w:t>37,7</w:t>
            </w:r>
          </w:p>
        </w:tc>
        <w:tc>
          <w:tcPr>
            <w:tcW w:w="1009" w:type="dxa"/>
          </w:tcPr>
          <w:p w:rsidR="00012172" w:rsidRDefault="00012172">
            <w:pPr>
              <w:jc w:val="center"/>
              <w:rPr>
                <w:rFonts w:ascii="Arial" w:hAnsi="Arial" w:cs="Arial"/>
                <w:sz w:val="22"/>
                <w:szCs w:val="22"/>
              </w:rPr>
            </w:pPr>
            <w:r>
              <w:rPr>
                <w:rFonts w:ascii="Arial" w:hAnsi="Arial" w:cs="Arial"/>
                <w:sz w:val="22"/>
                <w:szCs w:val="22"/>
              </w:rPr>
              <w:t>79,2</w:t>
            </w:r>
          </w:p>
        </w:tc>
        <w:tc>
          <w:tcPr>
            <w:tcW w:w="1232" w:type="dxa"/>
          </w:tcPr>
          <w:p w:rsidR="00012172" w:rsidRDefault="00012172">
            <w:pPr>
              <w:jc w:val="center"/>
              <w:rPr>
                <w:rFonts w:ascii="Arial" w:hAnsi="Arial" w:cs="Arial"/>
                <w:sz w:val="22"/>
                <w:szCs w:val="22"/>
              </w:rPr>
            </w:pPr>
            <w:r>
              <w:rPr>
                <w:rFonts w:ascii="Arial" w:hAnsi="Arial" w:cs="Arial"/>
                <w:sz w:val="22"/>
                <w:szCs w:val="22"/>
              </w:rPr>
              <w:t>19,8</w:t>
            </w:r>
          </w:p>
        </w:tc>
      </w:tr>
      <w:tr w:rsidR="00012172">
        <w:tc>
          <w:tcPr>
            <w:tcW w:w="1036" w:type="dxa"/>
          </w:tcPr>
          <w:p w:rsidR="00012172" w:rsidRDefault="00012172">
            <w:pPr>
              <w:jc w:val="both"/>
              <w:rPr>
                <w:rFonts w:ascii="Arial" w:hAnsi="Arial" w:cs="Arial"/>
                <w:sz w:val="22"/>
                <w:szCs w:val="22"/>
              </w:rPr>
            </w:pPr>
          </w:p>
        </w:tc>
        <w:tc>
          <w:tcPr>
            <w:tcW w:w="743" w:type="dxa"/>
            <w:vAlign w:val="center"/>
          </w:tcPr>
          <w:p w:rsidR="00012172" w:rsidRDefault="00012172">
            <w:pPr>
              <w:jc w:val="center"/>
              <w:rPr>
                <w:rFonts w:ascii="Arial" w:hAnsi="Arial" w:cs="Arial"/>
                <w:sz w:val="22"/>
                <w:szCs w:val="22"/>
              </w:rPr>
            </w:pPr>
            <w:r>
              <w:rPr>
                <w:rFonts w:ascii="Arial" w:hAnsi="Arial" w:cs="Arial"/>
                <w:sz w:val="22"/>
                <w:szCs w:val="22"/>
              </w:rPr>
              <w:t>%</w:t>
            </w:r>
          </w:p>
        </w:tc>
        <w:tc>
          <w:tcPr>
            <w:tcW w:w="995" w:type="dxa"/>
          </w:tcPr>
          <w:p w:rsidR="00012172" w:rsidRDefault="00012172">
            <w:pPr>
              <w:jc w:val="center"/>
              <w:rPr>
                <w:rFonts w:ascii="Arial" w:hAnsi="Arial" w:cs="Arial"/>
                <w:sz w:val="22"/>
                <w:szCs w:val="22"/>
              </w:rPr>
            </w:pPr>
            <w:r>
              <w:rPr>
                <w:rFonts w:ascii="Verdana" w:hAnsi="Verdana"/>
                <w:color w:val="000000"/>
                <w:sz w:val="20"/>
                <w:szCs w:val="20"/>
              </w:rPr>
              <w:t>100,0</w:t>
            </w:r>
          </w:p>
        </w:tc>
        <w:tc>
          <w:tcPr>
            <w:tcW w:w="923" w:type="dxa"/>
          </w:tcPr>
          <w:p w:rsidR="00012172" w:rsidRDefault="00012172">
            <w:pPr>
              <w:jc w:val="center"/>
              <w:rPr>
                <w:rFonts w:ascii="Arial" w:hAnsi="Arial" w:cs="Arial"/>
                <w:sz w:val="22"/>
                <w:szCs w:val="22"/>
              </w:rPr>
            </w:pPr>
            <w:r>
              <w:rPr>
                <w:rFonts w:ascii="Arial" w:hAnsi="Arial" w:cs="Arial"/>
                <w:sz w:val="22"/>
                <w:szCs w:val="22"/>
              </w:rPr>
              <w:t>24,9</w:t>
            </w:r>
          </w:p>
        </w:tc>
        <w:tc>
          <w:tcPr>
            <w:tcW w:w="1232" w:type="dxa"/>
          </w:tcPr>
          <w:p w:rsidR="00012172" w:rsidRDefault="00012172">
            <w:pPr>
              <w:jc w:val="center"/>
              <w:rPr>
                <w:rFonts w:ascii="Arial" w:hAnsi="Arial" w:cs="Arial"/>
                <w:sz w:val="22"/>
                <w:szCs w:val="22"/>
              </w:rPr>
            </w:pPr>
            <w:r>
              <w:rPr>
                <w:rFonts w:ascii="Arial" w:hAnsi="Arial" w:cs="Arial"/>
                <w:sz w:val="22"/>
                <w:szCs w:val="22"/>
              </w:rPr>
              <w:t>67,5</w:t>
            </w:r>
          </w:p>
        </w:tc>
        <w:tc>
          <w:tcPr>
            <w:tcW w:w="923" w:type="dxa"/>
          </w:tcPr>
          <w:p w:rsidR="00012172" w:rsidRDefault="00012172">
            <w:pPr>
              <w:jc w:val="center"/>
              <w:rPr>
                <w:rFonts w:ascii="Arial" w:hAnsi="Arial" w:cs="Arial"/>
                <w:sz w:val="22"/>
                <w:szCs w:val="22"/>
              </w:rPr>
            </w:pPr>
            <w:r>
              <w:rPr>
                <w:rFonts w:ascii="Arial" w:hAnsi="Arial" w:cs="Arial"/>
                <w:sz w:val="22"/>
                <w:szCs w:val="22"/>
              </w:rPr>
              <w:t>19,7</w:t>
            </w:r>
          </w:p>
        </w:tc>
        <w:tc>
          <w:tcPr>
            <w:tcW w:w="1195" w:type="dxa"/>
          </w:tcPr>
          <w:p w:rsidR="00012172" w:rsidRDefault="00012172">
            <w:pPr>
              <w:jc w:val="center"/>
              <w:rPr>
                <w:rFonts w:ascii="Arial" w:hAnsi="Arial" w:cs="Arial"/>
                <w:sz w:val="22"/>
                <w:szCs w:val="22"/>
              </w:rPr>
            </w:pPr>
          </w:p>
        </w:tc>
        <w:tc>
          <w:tcPr>
            <w:tcW w:w="1009" w:type="dxa"/>
          </w:tcPr>
          <w:p w:rsidR="00012172" w:rsidRDefault="00012172">
            <w:pPr>
              <w:jc w:val="center"/>
              <w:rPr>
                <w:rFonts w:ascii="Arial" w:hAnsi="Arial" w:cs="Arial"/>
                <w:sz w:val="22"/>
                <w:szCs w:val="22"/>
              </w:rPr>
            </w:pPr>
          </w:p>
        </w:tc>
        <w:tc>
          <w:tcPr>
            <w:tcW w:w="1232" w:type="dxa"/>
          </w:tcPr>
          <w:p w:rsidR="00012172" w:rsidRDefault="00012172">
            <w:pPr>
              <w:jc w:val="center"/>
              <w:rPr>
                <w:rFonts w:ascii="Arial" w:hAnsi="Arial" w:cs="Arial"/>
                <w:sz w:val="22"/>
                <w:szCs w:val="22"/>
              </w:rPr>
            </w:pPr>
          </w:p>
        </w:tc>
      </w:tr>
      <w:tr w:rsidR="00012172">
        <w:tc>
          <w:tcPr>
            <w:tcW w:w="1036" w:type="dxa"/>
          </w:tcPr>
          <w:p w:rsidR="00012172" w:rsidRDefault="00012172">
            <w:pPr>
              <w:jc w:val="both"/>
              <w:rPr>
                <w:rFonts w:ascii="Arial" w:hAnsi="Arial" w:cs="Arial"/>
                <w:sz w:val="22"/>
                <w:szCs w:val="22"/>
              </w:rPr>
            </w:pPr>
          </w:p>
        </w:tc>
        <w:tc>
          <w:tcPr>
            <w:tcW w:w="743" w:type="dxa"/>
            <w:vAlign w:val="center"/>
          </w:tcPr>
          <w:p w:rsidR="00012172" w:rsidRDefault="00012172">
            <w:pPr>
              <w:jc w:val="center"/>
              <w:rPr>
                <w:rFonts w:ascii="Arial" w:hAnsi="Arial" w:cs="Arial"/>
                <w:sz w:val="22"/>
                <w:szCs w:val="22"/>
              </w:rPr>
            </w:pPr>
            <w:r>
              <w:rPr>
                <w:rFonts w:ascii="Arial" w:hAnsi="Arial" w:cs="Arial"/>
                <w:sz w:val="22"/>
                <w:szCs w:val="22"/>
              </w:rPr>
              <w:t>ž</w:t>
            </w:r>
          </w:p>
        </w:tc>
        <w:tc>
          <w:tcPr>
            <w:tcW w:w="995" w:type="dxa"/>
          </w:tcPr>
          <w:p w:rsidR="00012172" w:rsidRDefault="00012172">
            <w:pPr>
              <w:jc w:val="center"/>
              <w:rPr>
                <w:rFonts w:ascii="Arial" w:hAnsi="Arial" w:cs="Arial"/>
                <w:sz w:val="22"/>
                <w:szCs w:val="22"/>
              </w:rPr>
            </w:pPr>
            <w:r>
              <w:rPr>
                <w:rFonts w:ascii="Arial" w:hAnsi="Arial" w:cs="Arial"/>
                <w:sz w:val="22"/>
                <w:szCs w:val="22"/>
              </w:rPr>
              <w:t>998</w:t>
            </w:r>
          </w:p>
        </w:tc>
        <w:tc>
          <w:tcPr>
            <w:tcW w:w="923" w:type="dxa"/>
          </w:tcPr>
          <w:p w:rsidR="00012172" w:rsidRDefault="00012172">
            <w:pPr>
              <w:jc w:val="center"/>
              <w:rPr>
                <w:rFonts w:ascii="Arial" w:hAnsi="Arial" w:cs="Arial"/>
                <w:sz w:val="22"/>
                <w:szCs w:val="22"/>
              </w:rPr>
            </w:pPr>
            <w:r>
              <w:rPr>
                <w:rFonts w:ascii="Arial" w:hAnsi="Arial" w:cs="Arial"/>
                <w:sz w:val="22"/>
                <w:szCs w:val="22"/>
              </w:rPr>
              <w:t>213</w:t>
            </w:r>
          </w:p>
        </w:tc>
        <w:tc>
          <w:tcPr>
            <w:tcW w:w="1232" w:type="dxa"/>
          </w:tcPr>
          <w:p w:rsidR="00012172" w:rsidRDefault="00012172">
            <w:pPr>
              <w:jc w:val="center"/>
              <w:rPr>
                <w:rFonts w:ascii="Arial" w:hAnsi="Arial" w:cs="Arial"/>
                <w:sz w:val="22"/>
                <w:szCs w:val="22"/>
              </w:rPr>
            </w:pPr>
            <w:r>
              <w:rPr>
                <w:rFonts w:ascii="Arial" w:hAnsi="Arial" w:cs="Arial"/>
                <w:sz w:val="22"/>
                <w:szCs w:val="22"/>
              </w:rPr>
              <w:t>528</w:t>
            </w:r>
          </w:p>
        </w:tc>
        <w:tc>
          <w:tcPr>
            <w:tcW w:w="923" w:type="dxa"/>
          </w:tcPr>
          <w:p w:rsidR="00012172" w:rsidRDefault="00012172">
            <w:pPr>
              <w:jc w:val="center"/>
              <w:rPr>
                <w:rFonts w:ascii="Arial" w:hAnsi="Arial" w:cs="Arial"/>
                <w:sz w:val="22"/>
                <w:szCs w:val="22"/>
              </w:rPr>
            </w:pPr>
            <w:r>
              <w:rPr>
                <w:rFonts w:ascii="Arial" w:hAnsi="Arial" w:cs="Arial"/>
                <w:sz w:val="22"/>
                <w:szCs w:val="22"/>
              </w:rPr>
              <w:t>309</w:t>
            </w:r>
          </w:p>
        </w:tc>
        <w:tc>
          <w:tcPr>
            <w:tcW w:w="1195" w:type="dxa"/>
          </w:tcPr>
          <w:p w:rsidR="00012172" w:rsidRDefault="00012172">
            <w:pPr>
              <w:jc w:val="center"/>
              <w:rPr>
                <w:rFonts w:ascii="Arial" w:hAnsi="Arial" w:cs="Arial"/>
                <w:sz w:val="22"/>
                <w:szCs w:val="22"/>
              </w:rPr>
            </w:pPr>
            <w:r>
              <w:rPr>
                <w:rFonts w:ascii="Arial" w:hAnsi="Arial" w:cs="Arial"/>
                <w:sz w:val="22"/>
                <w:szCs w:val="22"/>
              </w:rPr>
              <w:t>42,6</w:t>
            </w:r>
          </w:p>
        </w:tc>
        <w:tc>
          <w:tcPr>
            <w:tcW w:w="1009" w:type="dxa"/>
          </w:tcPr>
          <w:p w:rsidR="00012172" w:rsidRDefault="00012172">
            <w:pPr>
              <w:jc w:val="center"/>
              <w:rPr>
                <w:rFonts w:ascii="Arial" w:hAnsi="Arial" w:cs="Arial"/>
                <w:sz w:val="22"/>
                <w:szCs w:val="22"/>
              </w:rPr>
            </w:pPr>
            <w:r>
              <w:rPr>
                <w:rFonts w:ascii="Arial" w:hAnsi="Arial" w:cs="Arial"/>
                <w:sz w:val="22"/>
                <w:szCs w:val="22"/>
              </w:rPr>
              <w:t>145,1</w:t>
            </w:r>
          </w:p>
        </w:tc>
        <w:tc>
          <w:tcPr>
            <w:tcW w:w="1232" w:type="dxa"/>
          </w:tcPr>
          <w:p w:rsidR="00012172" w:rsidRDefault="00012172">
            <w:pPr>
              <w:jc w:val="center"/>
              <w:rPr>
                <w:rFonts w:ascii="Arial" w:hAnsi="Arial" w:cs="Arial"/>
                <w:sz w:val="22"/>
                <w:szCs w:val="22"/>
              </w:rPr>
            </w:pPr>
            <w:r>
              <w:rPr>
                <w:rFonts w:ascii="Arial" w:hAnsi="Arial" w:cs="Arial"/>
                <w:sz w:val="22"/>
                <w:szCs w:val="22"/>
              </w:rPr>
              <w:t>31,0</w:t>
            </w:r>
          </w:p>
        </w:tc>
      </w:tr>
      <w:tr w:rsidR="00012172">
        <w:tc>
          <w:tcPr>
            <w:tcW w:w="1036" w:type="dxa"/>
          </w:tcPr>
          <w:p w:rsidR="00012172" w:rsidRDefault="00012172">
            <w:pPr>
              <w:jc w:val="both"/>
              <w:rPr>
                <w:rFonts w:ascii="Arial" w:hAnsi="Arial" w:cs="Arial"/>
                <w:sz w:val="22"/>
                <w:szCs w:val="22"/>
              </w:rPr>
            </w:pPr>
          </w:p>
        </w:tc>
        <w:tc>
          <w:tcPr>
            <w:tcW w:w="743" w:type="dxa"/>
            <w:vAlign w:val="center"/>
          </w:tcPr>
          <w:p w:rsidR="00012172" w:rsidRDefault="00012172">
            <w:pPr>
              <w:jc w:val="center"/>
              <w:rPr>
                <w:rFonts w:ascii="Arial" w:hAnsi="Arial" w:cs="Arial"/>
                <w:sz w:val="22"/>
                <w:szCs w:val="22"/>
              </w:rPr>
            </w:pPr>
            <w:r>
              <w:rPr>
                <w:rFonts w:ascii="Arial" w:hAnsi="Arial" w:cs="Arial"/>
                <w:sz w:val="22"/>
                <w:szCs w:val="22"/>
              </w:rPr>
              <w:t>%</w:t>
            </w:r>
          </w:p>
        </w:tc>
        <w:tc>
          <w:tcPr>
            <w:tcW w:w="995" w:type="dxa"/>
          </w:tcPr>
          <w:p w:rsidR="00012172" w:rsidRDefault="00012172">
            <w:pPr>
              <w:jc w:val="center"/>
              <w:rPr>
                <w:rFonts w:ascii="Arial" w:hAnsi="Arial" w:cs="Arial"/>
                <w:sz w:val="22"/>
                <w:szCs w:val="22"/>
              </w:rPr>
            </w:pPr>
            <w:r>
              <w:rPr>
                <w:rFonts w:ascii="Verdana" w:hAnsi="Verdana"/>
                <w:color w:val="000000"/>
                <w:sz w:val="20"/>
                <w:szCs w:val="20"/>
              </w:rPr>
              <w:t>100,0</w:t>
            </w:r>
          </w:p>
        </w:tc>
        <w:tc>
          <w:tcPr>
            <w:tcW w:w="923" w:type="dxa"/>
          </w:tcPr>
          <w:p w:rsidR="00012172" w:rsidRDefault="00012172">
            <w:pPr>
              <w:jc w:val="center"/>
              <w:rPr>
                <w:rFonts w:ascii="Arial" w:hAnsi="Arial" w:cs="Arial"/>
                <w:sz w:val="22"/>
                <w:szCs w:val="22"/>
              </w:rPr>
            </w:pPr>
            <w:r>
              <w:rPr>
                <w:rFonts w:ascii="Arial" w:hAnsi="Arial" w:cs="Arial"/>
                <w:sz w:val="22"/>
                <w:szCs w:val="22"/>
              </w:rPr>
              <w:t>21,3</w:t>
            </w:r>
          </w:p>
        </w:tc>
        <w:tc>
          <w:tcPr>
            <w:tcW w:w="1232" w:type="dxa"/>
          </w:tcPr>
          <w:p w:rsidR="00012172" w:rsidRDefault="00012172">
            <w:pPr>
              <w:jc w:val="center"/>
              <w:rPr>
                <w:rFonts w:ascii="Arial" w:hAnsi="Arial" w:cs="Arial"/>
                <w:sz w:val="22"/>
                <w:szCs w:val="22"/>
              </w:rPr>
            </w:pPr>
            <w:r>
              <w:rPr>
                <w:rFonts w:ascii="Arial" w:hAnsi="Arial" w:cs="Arial"/>
                <w:sz w:val="22"/>
                <w:szCs w:val="22"/>
              </w:rPr>
              <w:t>52,9</w:t>
            </w:r>
          </w:p>
        </w:tc>
        <w:tc>
          <w:tcPr>
            <w:tcW w:w="923" w:type="dxa"/>
          </w:tcPr>
          <w:p w:rsidR="00012172" w:rsidRDefault="00012172">
            <w:pPr>
              <w:jc w:val="center"/>
              <w:rPr>
                <w:rFonts w:ascii="Arial" w:hAnsi="Arial" w:cs="Arial"/>
                <w:sz w:val="22"/>
                <w:szCs w:val="22"/>
              </w:rPr>
            </w:pPr>
            <w:r>
              <w:rPr>
                <w:rFonts w:ascii="Arial" w:hAnsi="Arial" w:cs="Arial"/>
                <w:sz w:val="22"/>
                <w:szCs w:val="22"/>
              </w:rPr>
              <w:t>30,9</w:t>
            </w:r>
          </w:p>
        </w:tc>
        <w:tc>
          <w:tcPr>
            <w:tcW w:w="1195" w:type="dxa"/>
          </w:tcPr>
          <w:p w:rsidR="00012172" w:rsidRDefault="00012172">
            <w:pPr>
              <w:jc w:val="center"/>
              <w:rPr>
                <w:rFonts w:ascii="Arial" w:hAnsi="Arial" w:cs="Arial"/>
                <w:sz w:val="22"/>
                <w:szCs w:val="22"/>
              </w:rPr>
            </w:pPr>
          </w:p>
        </w:tc>
        <w:tc>
          <w:tcPr>
            <w:tcW w:w="1009" w:type="dxa"/>
          </w:tcPr>
          <w:p w:rsidR="00012172" w:rsidRDefault="00012172">
            <w:pPr>
              <w:jc w:val="center"/>
              <w:rPr>
                <w:rFonts w:ascii="Arial" w:hAnsi="Arial" w:cs="Arial"/>
                <w:sz w:val="22"/>
                <w:szCs w:val="22"/>
              </w:rPr>
            </w:pPr>
          </w:p>
        </w:tc>
        <w:tc>
          <w:tcPr>
            <w:tcW w:w="1232" w:type="dxa"/>
          </w:tcPr>
          <w:p w:rsidR="00012172" w:rsidRDefault="00012172">
            <w:pPr>
              <w:jc w:val="center"/>
              <w:rPr>
                <w:rFonts w:ascii="Arial" w:hAnsi="Arial" w:cs="Arial"/>
                <w:sz w:val="22"/>
                <w:szCs w:val="22"/>
              </w:rPr>
            </w:pPr>
          </w:p>
        </w:tc>
      </w:tr>
    </w:tbl>
    <w:p w:rsidR="00012172" w:rsidRDefault="00012172">
      <w:pPr>
        <w:jc w:val="both"/>
        <w:rPr>
          <w:rFonts w:ascii="Arial" w:hAnsi="Arial" w:cs="Arial"/>
          <w:sz w:val="22"/>
          <w:szCs w:val="22"/>
        </w:rPr>
      </w:pPr>
    </w:p>
    <w:p w:rsidR="00012172" w:rsidRDefault="00012172">
      <w:pPr>
        <w:jc w:val="both"/>
        <w:rPr>
          <w:rFonts w:ascii="Arial" w:hAnsi="Arial" w:cs="Arial"/>
          <w:sz w:val="22"/>
          <w:szCs w:val="22"/>
        </w:rPr>
      </w:pPr>
    </w:p>
    <w:p w:rsidR="00012172" w:rsidRDefault="00012172">
      <w:pPr>
        <w:jc w:val="both"/>
        <w:rPr>
          <w:rFonts w:ascii="Arial" w:hAnsi="Arial" w:cs="Arial"/>
          <w:sz w:val="22"/>
          <w:szCs w:val="22"/>
        </w:rPr>
      </w:pPr>
    </w:p>
    <w:p w:rsidR="00012172" w:rsidRDefault="00012172">
      <w:pPr>
        <w:jc w:val="both"/>
        <w:rPr>
          <w:rFonts w:ascii="Arial" w:hAnsi="Arial" w:cs="Arial"/>
          <w:sz w:val="22"/>
          <w:szCs w:val="22"/>
        </w:rPr>
      </w:pPr>
    </w:p>
    <w:p w:rsidR="00012172" w:rsidRDefault="00012172">
      <w:pPr>
        <w:jc w:val="both"/>
        <w:rPr>
          <w:rFonts w:ascii="Arial" w:hAnsi="Arial" w:cs="Arial"/>
          <w:sz w:val="22"/>
          <w:szCs w:val="22"/>
        </w:rPr>
      </w:pPr>
    </w:p>
    <w:p w:rsidR="00012172" w:rsidRDefault="008F6679">
      <w:pPr>
        <w:pStyle w:val="Tijeloteksta"/>
      </w:pPr>
      <w:r>
        <w:rPr>
          <w:noProof/>
        </w:rPr>
        <w:drawing>
          <wp:inline distT="0" distB="0" distL="0" distR="0">
            <wp:extent cx="4673600" cy="2832100"/>
            <wp:effectExtent l="0" t="0" r="0" b="0"/>
            <wp:docPr id="11" name="Objek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12172" w:rsidRDefault="00012172">
      <w:pPr>
        <w:pStyle w:val="Opisslike"/>
        <w:rPr>
          <w:rFonts w:ascii="Times New Roman" w:hAnsi="Times New Roman"/>
          <w:b/>
        </w:rPr>
      </w:pPr>
      <w:bookmarkStart w:id="33" w:name="_Toc135185921"/>
      <w:r>
        <w:rPr>
          <w:rFonts w:ascii="Times New Roman" w:hAnsi="Times New Roman"/>
          <w:b/>
        </w:rPr>
        <w:t xml:space="preserve">Slika </w:t>
      </w:r>
      <w:r>
        <w:rPr>
          <w:rFonts w:ascii="Times New Roman" w:hAnsi="Times New Roman"/>
          <w:b/>
        </w:rPr>
        <w:fldChar w:fldCharType="begin"/>
      </w:r>
      <w:r>
        <w:rPr>
          <w:rFonts w:ascii="Times New Roman" w:hAnsi="Times New Roman"/>
          <w:b/>
        </w:rPr>
        <w:instrText xml:space="preserve"> SEQ Slika \* ARABIC </w:instrText>
      </w:r>
      <w:r>
        <w:rPr>
          <w:rFonts w:ascii="Times New Roman" w:hAnsi="Times New Roman"/>
          <w:b/>
        </w:rPr>
        <w:fldChar w:fldCharType="separate"/>
      </w:r>
      <w:r w:rsidR="002B1815">
        <w:rPr>
          <w:rFonts w:ascii="Times New Roman" w:hAnsi="Times New Roman"/>
          <w:b/>
          <w:noProof/>
        </w:rPr>
        <w:t>9</w:t>
      </w:r>
      <w:r>
        <w:rPr>
          <w:rFonts w:ascii="Times New Roman" w:hAnsi="Times New Roman"/>
          <w:b/>
        </w:rPr>
        <w:fldChar w:fldCharType="end"/>
      </w:r>
      <w:r>
        <w:rPr>
          <w:rFonts w:ascii="Times New Roman" w:hAnsi="Times New Roman"/>
          <w:b/>
        </w:rPr>
        <w:t>: Obrazovna struktura stanovništva 2001. godine</w:t>
      </w:r>
      <w:bookmarkEnd w:id="33"/>
    </w:p>
    <w:p w:rsidR="00012172" w:rsidRDefault="00012172">
      <w:pPr>
        <w:pStyle w:val="Tijeloteksta"/>
        <w:rPr>
          <w:rFonts w:ascii="Arial" w:hAnsi="Arial" w:cs="Arial"/>
          <w:b/>
          <w:sz w:val="22"/>
          <w:szCs w:val="22"/>
        </w:rPr>
      </w:pPr>
      <w:r>
        <w:rPr>
          <w:rFonts w:ascii="Arial" w:hAnsi="Arial" w:cs="Arial"/>
          <w:b/>
          <w:sz w:val="22"/>
          <w:szCs w:val="22"/>
        </w:rPr>
        <w:lastRenderedPageBreak/>
        <w:t>Gospodarski čimbenici</w:t>
      </w:r>
    </w:p>
    <w:p w:rsidR="00012172" w:rsidRDefault="00012172">
      <w:pPr>
        <w:jc w:val="both"/>
        <w:rPr>
          <w:rFonts w:ascii="Arial" w:hAnsi="Arial" w:cs="Arial"/>
          <w:sz w:val="22"/>
          <w:szCs w:val="22"/>
        </w:rPr>
      </w:pPr>
      <w:r>
        <w:rPr>
          <w:rFonts w:ascii="Arial" w:hAnsi="Arial" w:cs="Arial"/>
          <w:sz w:val="22"/>
          <w:szCs w:val="22"/>
        </w:rPr>
        <w:t>Prostorno-gospodarsku strukturu ovog područja obilježava razvoj poduzetništva u svim naseljima i poljoprivredna proizvodnja. Poljoprivredni proizvođači u nepovoljnom su položaju jer su prije svega prepušteni sami sebi i stihiji tržišta.</w:t>
      </w:r>
    </w:p>
    <w:p w:rsidR="00012172" w:rsidRDefault="00012172">
      <w:pPr>
        <w:jc w:val="both"/>
        <w:rPr>
          <w:rFonts w:ascii="Arial" w:hAnsi="Arial" w:cs="Arial"/>
          <w:sz w:val="22"/>
          <w:szCs w:val="22"/>
        </w:rPr>
      </w:pPr>
      <w:r>
        <w:rPr>
          <w:rFonts w:ascii="Arial" w:hAnsi="Arial" w:cs="Arial"/>
          <w:sz w:val="22"/>
          <w:szCs w:val="22"/>
        </w:rPr>
        <w:t>Nedostatak mladog i obrazovanog stanovništva odražava se i još će se više odraziti  na razvitak jer mlado i obrazovano stanovništvo je pokretač razvitka (inovacije, poduzetništvo). Veliki broj nezaposlenog stanovništva čini nekvalificirana i polukvalificirana radna snaga ili struke koje se ne trenutno ne traže, stoga je nužna njihova prekvalifikacija.</w:t>
      </w:r>
    </w:p>
    <w:p w:rsidR="00012172" w:rsidRDefault="00012172">
      <w:pPr>
        <w:jc w:val="both"/>
        <w:rPr>
          <w:rFonts w:ascii="Arial" w:hAnsi="Arial" w:cs="Arial"/>
          <w:sz w:val="22"/>
          <w:szCs w:val="22"/>
        </w:rPr>
      </w:pPr>
    </w:p>
    <w:p w:rsidR="00012172" w:rsidRDefault="00012172">
      <w:pPr>
        <w:jc w:val="both"/>
        <w:rPr>
          <w:rFonts w:ascii="Arial" w:hAnsi="Arial" w:cs="Arial"/>
          <w:sz w:val="22"/>
          <w:szCs w:val="22"/>
        </w:rPr>
      </w:pPr>
      <w:r>
        <w:rPr>
          <w:rFonts w:ascii="Arial" w:hAnsi="Arial" w:cs="Arial"/>
          <w:sz w:val="22"/>
          <w:szCs w:val="22"/>
        </w:rPr>
        <w:t>Podaci o izvorima prihoda domaćinstava nam govore o stanju i tendenciji socioekonomske preobrazbe, odnosno o prijelazu od dominantno agrarne strukture u nedavnoj prošlosti, prema proizvodnim i uslužnim djelatnostima. Čak 96,6% kućanstava posjeduje poljoprivredno gospodarstvo, ali veći dio njih ne svrstavamo u poljoprivredno stanovništvo, jer im to ne predstavlja glavni izvor prihoda, nego je za njih poljoprivredni posjed dopunski izvor djelatnosti i zarade. Posljedica toga je i sve veće usitnjavanje posjeda.</w:t>
      </w:r>
    </w:p>
    <w:p w:rsidR="00012172" w:rsidRDefault="00012172">
      <w:pPr>
        <w:pStyle w:val="Tijeloteksta2"/>
        <w:rPr>
          <w:rFonts w:cs="Arial"/>
          <w:sz w:val="22"/>
          <w:szCs w:val="22"/>
        </w:rPr>
      </w:pPr>
    </w:p>
    <w:p w:rsidR="00012172" w:rsidRDefault="00012172">
      <w:pPr>
        <w:pStyle w:val="Tijeloteksta2"/>
        <w:rPr>
          <w:rFonts w:cs="Arial"/>
          <w:sz w:val="22"/>
          <w:szCs w:val="22"/>
        </w:rPr>
      </w:pPr>
    </w:p>
    <w:p w:rsidR="00012172" w:rsidRDefault="00012172">
      <w:pPr>
        <w:jc w:val="both"/>
        <w:rPr>
          <w:rFonts w:ascii="Arial" w:hAnsi="Arial" w:cs="Arial"/>
          <w:sz w:val="22"/>
          <w:szCs w:val="22"/>
        </w:rPr>
      </w:pPr>
      <w:r>
        <w:rPr>
          <w:rFonts w:ascii="Arial" w:hAnsi="Arial" w:cs="Arial"/>
          <w:sz w:val="22"/>
          <w:szCs w:val="22"/>
        </w:rPr>
        <w:t>Za efikasnije korištenje zemljišta prepreku čine usitnjeni posjedi i parcele. Kao posljedica procesa deagrarizacije, urbanizacije i širenja obrazovanja javljaju se proces starenja (senilizacije) poljoprivrednog stanovništva te proces povećanja udjela žena u ukupnom poljoprivrednom stanovništvu i radnoj snazi. Ovaj proces starenja poljoprivrednog i seoskog stanovništva ima brojna demografske, gospodarske i socio-psihološke posljedice na dalji razvoj ovog područja.</w:t>
      </w:r>
    </w:p>
    <w:p w:rsidR="00012172" w:rsidRDefault="00012172">
      <w:pPr>
        <w:pStyle w:val="Tijeloteksta2"/>
        <w:rPr>
          <w:rFonts w:cs="Arial"/>
          <w:sz w:val="22"/>
          <w:szCs w:val="22"/>
        </w:rPr>
      </w:pPr>
    </w:p>
    <w:p w:rsidR="00012172" w:rsidRDefault="00012172">
      <w:pPr>
        <w:pStyle w:val="Tijeloteksta2"/>
        <w:rPr>
          <w:rFonts w:cs="Arial"/>
          <w:sz w:val="22"/>
          <w:szCs w:val="22"/>
        </w:rPr>
      </w:pPr>
    </w:p>
    <w:p w:rsidR="00012172" w:rsidRDefault="00012172">
      <w:pPr>
        <w:pStyle w:val="Naslov7"/>
        <w:rPr>
          <w:rFonts w:cs="Arial"/>
          <w:bCs/>
        </w:rPr>
      </w:pPr>
      <w:r>
        <w:rPr>
          <w:rFonts w:cs="Arial"/>
          <w:bCs/>
        </w:rPr>
        <w:t>Prostorni čimbenici</w:t>
      </w:r>
    </w:p>
    <w:p w:rsidR="00012172" w:rsidRDefault="00012172">
      <w:pPr>
        <w:jc w:val="both"/>
        <w:rPr>
          <w:rFonts w:ascii="Arial" w:hAnsi="Arial" w:cs="Arial"/>
          <w:sz w:val="22"/>
        </w:rPr>
      </w:pPr>
      <w:r>
        <w:rPr>
          <w:rFonts w:ascii="Arial" w:hAnsi="Arial" w:cs="Arial"/>
          <w:sz w:val="22"/>
        </w:rPr>
        <w:t xml:space="preserve">U ruralnom prostoru gotovo da više i nema većih kontinuiranih poljoprivrednih površina. Poljoprivredni i šumski prostor ispresjecan je brojnim infrastrukturnim koridorima što smanjuje mogućnosti za poljoprivredu. </w:t>
      </w:r>
    </w:p>
    <w:p w:rsidR="00012172" w:rsidRDefault="00012172">
      <w:pPr>
        <w:pStyle w:val="Tijeloteksta"/>
        <w:jc w:val="both"/>
        <w:rPr>
          <w:rFonts w:ascii="Arial" w:hAnsi="Arial" w:cs="Arial"/>
          <w:sz w:val="22"/>
          <w:szCs w:val="22"/>
        </w:rPr>
      </w:pPr>
    </w:p>
    <w:p w:rsidR="00012172" w:rsidRDefault="00012172">
      <w:pPr>
        <w:pStyle w:val="Tijeloteksta"/>
        <w:jc w:val="both"/>
        <w:rPr>
          <w:szCs w:val="22"/>
        </w:rPr>
      </w:pPr>
    </w:p>
    <w:p w:rsidR="00012172" w:rsidRDefault="00012172">
      <w:pPr>
        <w:pStyle w:val="Tijeloteksta"/>
        <w:jc w:val="both"/>
        <w:rPr>
          <w:szCs w:val="22"/>
        </w:rPr>
      </w:pPr>
    </w:p>
    <w:p w:rsidR="00012172" w:rsidRDefault="00012172">
      <w:pPr>
        <w:pStyle w:val="Naslov1"/>
      </w:pPr>
      <w:r>
        <w:br w:type="page"/>
      </w:r>
      <w:bookmarkStart w:id="34" w:name="_Toc95140585"/>
      <w:r>
        <w:lastRenderedPageBreak/>
        <w:t>2. CILJEVI PROSTORNOG RAZVOJA I UREĐENJA</w:t>
      </w:r>
      <w:bookmarkEnd w:id="34"/>
      <w:r>
        <w:t xml:space="preserve"> </w:t>
      </w:r>
    </w:p>
    <w:p w:rsidR="00012172" w:rsidRDefault="00012172"/>
    <w:p w:rsidR="00012172" w:rsidRDefault="00012172">
      <w:pPr>
        <w:pStyle w:val="Naslov2"/>
        <w:rPr>
          <w:rFonts w:ascii="Times New Roman" w:hAnsi="Times New Roman" w:cs="Times New Roman"/>
        </w:rPr>
      </w:pPr>
      <w:bookmarkStart w:id="35" w:name="_Toc95140586"/>
      <w:r>
        <w:rPr>
          <w:rFonts w:ascii="Times New Roman" w:hAnsi="Times New Roman" w:cs="Times New Roman"/>
        </w:rPr>
        <w:t>2.1. Ciljevi prostornog razvoja županijskog značaja</w:t>
      </w:r>
      <w:bookmarkEnd w:id="35"/>
      <w:r>
        <w:rPr>
          <w:rFonts w:ascii="Times New Roman" w:hAnsi="Times New Roman" w:cs="Times New Roman"/>
        </w:rPr>
        <w:t xml:space="preserve"> </w:t>
      </w:r>
    </w:p>
    <w:p w:rsidR="00012172" w:rsidRDefault="00012172">
      <w:pPr>
        <w:pStyle w:val="Naslov3"/>
        <w:rPr>
          <w:rFonts w:ascii="Times New Roman" w:hAnsi="Times New Roman" w:cs="Times New Roman"/>
        </w:rPr>
      </w:pPr>
      <w:bookmarkStart w:id="36" w:name="_Toc95140587"/>
      <w:r>
        <w:rPr>
          <w:rFonts w:ascii="Times New Roman" w:hAnsi="Times New Roman" w:cs="Times New Roman"/>
        </w:rPr>
        <w:t>2.1.1. Razvoj naselja posebnih funkcija i infrastrukturnih sustava</w:t>
      </w:r>
      <w:bookmarkEnd w:id="36"/>
      <w:r>
        <w:rPr>
          <w:rFonts w:ascii="Times New Roman" w:hAnsi="Times New Roman" w:cs="Times New Roman"/>
        </w:rPr>
        <w:t xml:space="preserve"> </w:t>
      </w:r>
    </w:p>
    <w:p w:rsidR="00012172" w:rsidRDefault="00012172"/>
    <w:p w:rsidR="00012172" w:rsidRDefault="00012172">
      <w:pPr>
        <w:jc w:val="both"/>
        <w:rPr>
          <w:rFonts w:ascii="Arial" w:hAnsi="Arial" w:cs="Arial"/>
          <w:sz w:val="22"/>
          <w:szCs w:val="22"/>
        </w:rPr>
      </w:pPr>
      <w:r>
        <w:rPr>
          <w:rFonts w:ascii="Arial" w:hAnsi="Arial" w:cs="Arial"/>
          <w:sz w:val="22"/>
          <w:szCs w:val="22"/>
        </w:rPr>
        <w:t>Županijskim prostornim planom zadan je sustav središnjih naselja sve do lokalne razine.  Gornja Rijeka označena je kao područno središte. Županijskim planom potiče se policentrični razvoj i pravilan raspored žarišnih naselja. Da bi Gornja Rijeka postala stvarnim područnim razvojnim središtem potrebno je konsolidirati prostor naselja i razvijati funkcije. Prije svega potrebno je stimulativnom financijskom politikom povećati udio u broju i veličini stambenih, radnih, uslužnih i rekreacijskih funkcija koje bi utjecale na povoljnija demografska kretanja i cjelokupni razvitak ovog područja. Društveni domovi u svim naseljima trebaju postati prostori koji će svojim novim polivalentnim sadržajima omogućiti poboljšanje kvalitete života stanovnika.</w:t>
      </w:r>
    </w:p>
    <w:p w:rsidR="00012172" w:rsidRDefault="00012172">
      <w:pPr>
        <w:jc w:val="both"/>
        <w:rPr>
          <w:rFonts w:ascii="Arial" w:hAnsi="Arial" w:cs="Arial"/>
          <w:sz w:val="22"/>
          <w:szCs w:val="22"/>
        </w:rPr>
      </w:pPr>
    </w:p>
    <w:p w:rsidR="00012172" w:rsidRDefault="00012172">
      <w:pPr>
        <w:jc w:val="both"/>
        <w:rPr>
          <w:rFonts w:ascii="Arial" w:hAnsi="Arial" w:cs="Arial"/>
          <w:sz w:val="22"/>
          <w:szCs w:val="22"/>
        </w:rPr>
      </w:pPr>
      <w:r>
        <w:rPr>
          <w:rFonts w:ascii="Arial" w:hAnsi="Arial" w:cs="Arial"/>
          <w:sz w:val="22"/>
          <w:szCs w:val="22"/>
        </w:rPr>
        <w:t xml:space="preserve">Cilj izgradnje infrastrukturnih objekata je omogućavanje minimalnih komunalnih standarda koji su preduvjet svekolikog razvoja. </w:t>
      </w:r>
    </w:p>
    <w:p w:rsidR="00012172" w:rsidRDefault="00012172">
      <w:pPr>
        <w:rPr>
          <w:rFonts w:ascii="Arial" w:hAnsi="Arial" w:cs="Arial"/>
          <w:sz w:val="22"/>
        </w:rPr>
      </w:pPr>
    </w:p>
    <w:p w:rsidR="00012172" w:rsidRDefault="00012172">
      <w:pPr>
        <w:pStyle w:val="Naslov3"/>
        <w:rPr>
          <w:rFonts w:ascii="Times New Roman" w:hAnsi="Times New Roman" w:cs="Times New Roman"/>
        </w:rPr>
      </w:pPr>
      <w:bookmarkStart w:id="37" w:name="_Toc95140588"/>
      <w:r>
        <w:rPr>
          <w:rFonts w:ascii="Times New Roman" w:hAnsi="Times New Roman" w:cs="Times New Roman"/>
        </w:rPr>
        <w:t>2.1.2. Racionalno korištenje prirodnih izvora</w:t>
      </w:r>
      <w:bookmarkEnd w:id="37"/>
      <w:r>
        <w:rPr>
          <w:rFonts w:ascii="Times New Roman" w:hAnsi="Times New Roman" w:cs="Times New Roman"/>
        </w:rPr>
        <w:t xml:space="preserve"> </w:t>
      </w:r>
    </w:p>
    <w:p w:rsidR="00012172" w:rsidRDefault="00012172"/>
    <w:p w:rsidR="00012172" w:rsidRDefault="00012172">
      <w:pPr>
        <w:rPr>
          <w:rFonts w:ascii="Arial" w:hAnsi="Arial" w:cs="Arial"/>
          <w:sz w:val="22"/>
        </w:rPr>
      </w:pPr>
      <w:r>
        <w:rPr>
          <w:rFonts w:ascii="Arial" w:hAnsi="Arial" w:cs="Arial"/>
          <w:sz w:val="22"/>
        </w:rPr>
        <w:t xml:space="preserve">Ciljevi prostornog razvoja od regionalnog i državnog značaja koji se odnose na zaštitu i racionalno korištenje resursa na području općine Gornja Rijeka su: </w:t>
      </w:r>
    </w:p>
    <w:p w:rsidR="00012172" w:rsidRDefault="00012172">
      <w:pPr>
        <w:rPr>
          <w:rFonts w:ascii="Arial" w:hAnsi="Arial" w:cs="Arial"/>
          <w:sz w:val="22"/>
        </w:rPr>
      </w:pPr>
      <w:r>
        <w:rPr>
          <w:rFonts w:ascii="Arial" w:hAnsi="Arial" w:cs="Arial"/>
          <w:sz w:val="22"/>
        </w:rPr>
        <w:t>- racionalno korištenje tla</w:t>
      </w:r>
    </w:p>
    <w:p w:rsidR="00012172" w:rsidRDefault="00012172">
      <w:pPr>
        <w:rPr>
          <w:rFonts w:ascii="Arial" w:hAnsi="Arial" w:cs="Arial"/>
          <w:sz w:val="22"/>
        </w:rPr>
      </w:pPr>
      <w:r>
        <w:rPr>
          <w:rFonts w:ascii="Arial" w:hAnsi="Arial" w:cs="Arial"/>
          <w:sz w:val="22"/>
        </w:rPr>
        <w:t>- iskorištavanje šuma i obnavljanje šumskih površina,</w:t>
      </w:r>
    </w:p>
    <w:p w:rsidR="00012172" w:rsidRDefault="00012172">
      <w:pPr>
        <w:ind w:left="720"/>
        <w:jc w:val="both"/>
        <w:rPr>
          <w:sz w:val="22"/>
        </w:rPr>
      </w:pPr>
    </w:p>
    <w:p w:rsidR="00012172" w:rsidRDefault="00012172">
      <w:pPr>
        <w:ind w:left="720"/>
        <w:jc w:val="both"/>
        <w:rPr>
          <w:sz w:val="22"/>
        </w:rPr>
      </w:pPr>
    </w:p>
    <w:p w:rsidR="00012172" w:rsidRDefault="00012172">
      <w:pPr>
        <w:pStyle w:val="Naslov4"/>
        <w:spacing w:before="0" w:after="0"/>
        <w:rPr>
          <w:rFonts w:cs="Arial"/>
          <w:sz w:val="22"/>
          <w:szCs w:val="22"/>
          <w:lang w:val="hr-HR"/>
        </w:rPr>
      </w:pPr>
      <w:r>
        <w:rPr>
          <w:rFonts w:cs="Arial"/>
          <w:sz w:val="22"/>
          <w:szCs w:val="22"/>
          <w:lang w:val="hr-HR"/>
        </w:rPr>
        <w:t>Šume</w:t>
      </w:r>
    </w:p>
    <w:p w:rsidR="00012172" w:rsidRDefault="00012172">
      <w:pPr>
        <w:jc w:val="both"/>
        <w:rPr>
          <w:rFonts w:ascii="Arial" w:hAnsi="Arial" w:cs="Arial"/>
          <w:sz w:val="22"/>
          <w:szCs w:val="22"/>
        </w:rPr>
      </w:pPr>
      <w:r>
        <w:rPr>
          <w:rFonts w:ascii="Arial" w:hAnsi="Arial" w:cs="Arial"/>
          <w:sz w:val="22"/>
          <w:szCs w:val="22"/>
        </w:rPr>
        <w:t xml:space="preserve">Ciljevi prostornog razvoja šumarske struke i nadalje su usmjereni na provođenje programa Hrvatskih šuma kroz šumsko-gospodarske osnove. Ti programi trebaju biti uključeni i u druge oblike uporabe zemlje. </w:t>
      </w:r>
      <w:r>
        <w:rPr>
          <w:rFonts w:ascii="Arial" w:hAnsi="Arial" w:cs="Arial"/>
          <w:sz w:val="22"/>
        </w:rPr>
        <w:t>Poticati razvoj urbanog šumarstva radi ozelenjivanja gradskih, rubnih gradskih, seoskih naselja, turističkih područja namijenjenih uljepšavanju izgleda krajolika, rekreaciji i proizvodnji.</w:t>
      </w:r>
    </w:p>
    <w:p w:rsidR="00012172" w:rsidRDefault="00012172">
      <w:pPr>
        <w:jc w:val="both"/>
        <w:rPr>
          <w:rFonts w:ascii="Arial" w:hAnsi="Arial" w:cs="Arial"/>
          <w:b/>
          <w:sz w:val="22"/>
        </w:rPr>
      </w:pPr>
    </w:p>
    <w:p w:rsidR="00012172" w:rsidRDefault="00012172">
      <w:pPr>
        <w:rPr>
          <w:rFonts w:ascii="Arial" w:hAnsi="Arial" w:cs="Arial"/>
          <w:b/>
          <w:sz w:val="22"/>
          <w:szCs w:val="22"/>
        </w:rPr>
      </w:pPr>
      <w:r>
        <w:rPr>
          <w:rFonts w:ascii="Arial" w:hAnsi="Arial" w:cs="Arial"/>
          <w:b/>
          <w:sz w:val="22"/>
          <w:szCs w:val="22"/>
        </w:rPr>
        <w:t>Racionalno korištenje tla</w:t>
      </w:r>
    </w:p>
    <w:p w:rsidR="00012172" w:rsidRDefault="00012172">
      <w:pPr>
        <w:pStyle w:val="Tijeloteksta2"/>
        <w:ind w:left="0" w:firstLine="0"/>
        <w:rPr>
          <w:rFonts w:cs="Arial"/>
          <w:sz w:val="22"/>
          <w:szCs w:val="22"/>
        </w:rPr>
      </w:pPr>
      <w:r>
        <w:rPr>
          <w:rFonts w:cs="Arial"/>
          <w:sz w:val="22"/>
          <w:szCs w:val="22"/>
        </w:rPr>
        <w:t xml:space="preserve">Tlo je prirodni izvor koji nastaje u dugom vremenskom periodu, a nekontroliranom eksploatacijom (intenzivnom poljoprivredom, zagađivanjem, kontaminiranjem) gubi svoja svojstva i nestaje. Tlo se mora zaštiti s ciljem očuvanja biološke raznolikosti i ostalih povoljnih ekoloških čimbenika. </w:t>
      </w:r>
      <w:r>
        <w:rPr>
          <w:rFonts w:cs="Arial"/>
          <w:sz w:val="22"/>
          <w:szCs w:val="22"/>
          <w:lang w:val="it-IT"/>
        </w:rPr>
        <w:t>Cilj</w:t>
      </w:r>
      <w:r>
        <w:rPr>
          <w:rFonts w:cs="Arial"/>
          <w:sz w:val="22"/>
          <w:szCs w:val="22"/>
        </w:rPr>
        <w:t xml:space="preserve"> </w:t>
      </w:r>
      <w:r>
        <w:rPr>
          <w:rFonts w:cs="Arial"/>
          <w:sz w:val="22"/>
          <w:szCs w:val="22"/>
          <w:lang w:val="it-IT"/>
        </w:rPr>
        <w:t>racionalnog</w:t>
      </w:r>
      <w:r>
        <w:rPr>
          <w:rFonts w:cs="Arial"/>
          <w:sz w:val="22"/>
          <w:szCs w:val="22"/>
        </w:rPr>
        <w:t xml:space="preserve"> </w:t>
      </w:r>
      <w:r>
        <w:rPr>
          <w:rFonts w:cs="Arial"/>
          <w:sz w:val="22"/>
          <w:szCs w:val="22"/>
          <w:lang w:val="it-IT"/>
        </w:rPr>
        <w:t>kori</w:t>
      </w:r>
      <w:r>
        <w:rPr>
          <w:rFonts w:cs="Arial"/>
          <w:sz w:val="22"/>
          <w:szCs w:val="22"/>
        </w:rPr>
        <w:t>š</w:t>
      </w:r>
      <w:r>
        <w:rPr>
          <w:rFonts w:cs="Arial"/>
          <w:sz w:val="22"/>
          <w:szCs w:val="22"/>
          <w:lang w:val="it-IT"/>
        </w:rPr>
        <w:t>tenja</w:t>
      </w:r>
      <w:r>
        <w:rPr>
          <w:rFonts w:cs="Arial"/>
          <w:sz w:val="22"/>
          <w:szCs w:val="22"/>
        </w:rPr>
        <w:t xml:space="preserve"> </w:t>
      </w:r>
      <w:r>
        <w:rPr>
          <w:rFonts w:cs="Arial"/>
          <w:sz w:val="22"/>
          <w:szCs w:val="22"/>
          <w:lang w:val="it-IT"/>
        </w:rPr>
        <w:t>je</w:t>
      </w:r>
      <w:r>
        <w:rPr>
          <w:rFonts w:cs="Arial"/>
          <w:sz w:val="22"/>
          <w:szCs w:val="22"/>
        </w:rPr>
        <w:t xml:space="preserve"> </w:t>
      </w:r>
      <w:r>
        <w:rPr>
          <w:rFonts w:cs="Arial"/>
          <w:sz w:val="22"/>
          <w:szCs w:val="22"/>
          <w:lang w:val="it-IT"/>
        </w:rPr>
        <w:t>da</w:t>
      </w:r>
      <w:r>
        <w:rPr>
          <w:rFonts w:cs="Arial"/>
          <w:sz w:val="22"/>
          <w:szCs w:val="22"/>
        </w:rPr>
        <w:t xml:space="preserve"> </w:t>
      </w:r>
      <w:r>
        <w:rPr>
          <w:rFonts w:cs="Arial"/>
          <w:sz w:val="22"/>
          <w:szCs w:val="22"/>
          <w:lang w:val="it-IT"/>
        </w:rPr>
        <w:t>se</w:t>
      </w:r>
      <w:r>
        <w:rPr>
          <w:rFonts w:cs="Arial"/>
          <w:sz w:val="22"/>
          <w:szCs w:val="22"/>
        </w:rPr>
        <w:t xml:space="preserve"> </w:t>
      </w:r>
      <w:r>
        <w:rPr>
          <w:rFonts w:cs="Arial"/>
          <w:sz w:val="22"/>
          <w:szCs w:val="22"/>
          <w:lang w:val="it-IT"/>
        </w:rPr>
        <w:t>tlo</w:t>
      </w:r>
      <w:r>
        <w:rPr>
          <w:rFonts w:cs="Arial"/>
          <w:sz w:val="22"/>
          <w:szCs w:val="22"/>
        </w:rPr>
        <w:t xml:space="preserve"> </w:t>
      </w:r>
      <w:r>
        <w:rPr>
          <w:rFonts w:cs="Arial"/>
          <w:sz w:val="22"/>
          <w:szCs w:val="22"/>
          <w:lang w:val="it-IT"/>
        </w:rPr>
        <w:t>ne</w:t>
      </w:r>
      <w:r>
        <w:rPr>
          <w:rFonts w:cs="Arial"/>
          <w:sz w:val="22"/>
          <w:szCs w:val="22"/>
        </w:rPr>
        <w:t xml:space="preserve"> </w:t>
      </w:r>
      <w:r>
        <w:rPr>
          <w:rFonts w:cs="Arial"/>
          <w:sz w:val="22"/>
          <w:szCs w:val="22"/>
          <w:lang w:val="it-IT"/>
        </w:rPr>
        <w:t xml:space="preserve">iscrpljuje, </w:t>
      </w:r>
      <w:r>
        <w:rPr>
          <w:rFonts w:cs="Arial"/>
          <w:sz w:val="22"/>
          <w:szCs w:val="22"/>
        </w:rPr>
        <w:t xml:space="preserve"> </w:t>
      </w:r>
      <w:r>
        <w:rPr>
          <w:rFonts w:cs="Arial"/>
          <w:sz w:val="22"/>
          <w:szCs w:val="22"/>
          <w:lang w:val="it-IT"/>
        </w:rPr>
        <w:t>ve</w:t>
      </w:r>
      <w:r>
        <w:rPr>
          <w:rFonts w:cs="Arial"/>
          <w:sz w:val="22"/>
          <w:szCs w:val="22"/>
        </w:rPr>
        <w:t xml:space="preserve">ć </w:t>
      </w:r>
      <w:r>
        <w:rPr>
          <w:rFonts w:cs="Arial"/>
          <w:sz w:val="22"/>
          <w:szCs w:val="22"/>
          <w:lang w:val="it-IT"/>
        </w:rPr>
        <w:t>da</w:t>
      </w:r>
      <w:r>
        <w:rPr>
          <w:rFonts w:cs="Arial"/>
          <w:sz w:val="22"/>
          <w:szCs w:val="22"/>
        </w:rPr>
        <w:t xml:space="preserve"> </w:t>
      </w:r>
      <w:r>
        <w:rPr>
          <w:rFonts w:cs="Arial"/>
          <w:sz w:val="22"/>
          <w:szCs w:val="22"/>
          <w:lang w:val="it-IT"/>
        </w:rPr>
        <w:t>se</w:t>
      </w:r>
      <w:r>
        <w:rPr>
          <w:rFonts w:cs="Arial"/>
          <w:sz w:val="22"/>
          <w:szCs w:val="22"/>
        </w:rPr>
        <w:t xml:space="preserve"> </w:t>
      </w:r>
      <w:r>
        <w:rPr>
          <w:rFonts w:cs="Arial"/>
          <w:sz w:val="22"/>
          <w:szCs w:val="22"/>
          <w:lang w:val="it-IT"/>
        </w:rPr>
        <w:t>oboga</w:t>
      </w:r>
      <w:r>
        <w:rPr>
          <w:rFonts w:cs="Arial"/>
          <w:sz w:val="22"/>
          <w:szCs w:val="22"/>
        </w:rPr>
        <w:t>ć</w:t>
      </w:r>
      <w:r>
        <w:rPr>
          <w:rFonts w:cs="Arial"/>
          <w:sz w:val="22"/>
          <w:szCs w:val="22"/>
          <w:lang w:val="it-IT"/>
        </w:rPr>
        <w:t>uje</w:t>
      </w:r>
      <w:r>
        <w:rPr>
          <w:rFonts w:cs="Arial"/>
          <w:sz w:val="22"/>
          <w:szCs w:val="22"/>
        </w:rPr>
        <w:t>. Potrebno  je spriječiti nekontroliranu uporabu zaštitnih sredstava u poljoprivrednoj proizvodnji i pridavati veći značaj tzv. organskoj poljoprivredi koja poštuje prirodu biljaka, životinja i krajobraza u cjelini</w:t>
      </w:r>
      <w:r>
        <w:rPr>
          <w:rFonts w:cs="Arial"/>
          <w:sz w:val="22"/>
          <w:szCs w:val="22"/>
          <w:lang w:val="de-DE"/>
        </w:rPr>
        <w:t>Jedan</w:t>
      </w:r>
      <w:r>
        <w:rPr>
          <w:rFonts w:cs="Arial"/>
          <w:sz w:val="22"/>
          <w:szCs w:val="22"/>
        </w:rPr>
        <w:t xml:space="preserve"> </w:t>
      </w:r>
      <w:r>
        <w:rPr>
          <w:rFonts w:cs="Arial"/>
          <w:sz w:val="22"/>
          <w:szCs w:val="22"/>
          <w:lang w:val="de-DE"/>
        </w:rPr>
        <w:t>od</w:t>
      </w:r>
      <w:r>
        <w:rPr>
          <w:rFonts w:cs="Arial"/>
          <w:sz w:val="22"/>
          <w:szCs w:val="22"/>
        </w:rPr>
        <w:t xml:space="preserve"> </w:t>
      </w:r>
      <w:r>
        <w:rPr>
          <w:rFonts w:cs="Arial"/>
          <w:sz w:val="22"/>
          <w:szCs w:val="22"/>
          <w:lang w:val="de-DE"/>
        </w:rPr>
        <w:t>na</w:t>
      </w:r>
      <w:r>
        <w:rPr>
          <w:rFonts w:cs="Arial"/>
          <w:sz w:val="22"/>
          <w:szCs w:val="22"/>
        </w:rPr>
        <w:t>č</w:t>
      </w:r>
      <w:r>
        <w:rPr>
          <w:rFonts w:cs="Arial"/>
          <w:sz w:val="22"/>
          <w:szCs w:val="22"/>
          <w:lang w:val="de-DE"/>
        </w:rPr>
        <w:t>ina</w:t>
      </w:r>
      <w:r>
        <w:rPr>
          <w:rFonts w:cs="Arial"/>
          <w:sz w:val="22"/>
          <w:szCs w:val="22"/>
        </w:rPr>
        <w:t xml:space="preserve"> </w:t>
      </w:r>
      <w:r>
        <w:rPr>
          <w:rFonts w:cs="Arial"/>
          <w:sz w:val="22"/>
          <w:szCs w:val="22"/>
          <w:lang w:val="de-DE"/>
        </w:rPr>
        <w:t>da</w:t>
      </w:r>
      <w:r>
        <w:rPr>
          <w:rFonts w:cs="Arial"/>
          <w:sz w:val="22"/>
          <w:szCs w:val="22"/>
        </w:rPr>
        <w:t xml:space="preserve"> </w:t>
      </w:r>
      <w:r>
        <w:rPr>
          <w:rFonts w:cs="Arial"/>
          <w:sz w:val="22"/>
          <w:szCs w:val="22"/>
          <w:lang w:val="de-DE"/>
        </w:rPr>
        <w:t>tlo</w:t>
      </w:r>
      <w:r>
        <w:rPr>
          <w:rFonts w:cs="Arial"/>
          <w:sz w:val="22"/>
          <w:szCs w:val="22"/>
        </w:rPr>
        <w:t xml:space="preserve"> </w:t>
      </w:r>
      <w:r>
        <w:rPr>
          <w:rFonts w:cs="Arial"/>
          <w:sz w:val="22"/>
          <w:szCs w:val="22"/>
          <w:lang w:val="de-DE"/>
        </w:rPr>
        <w:t>ne</w:t>
      </w:r>
      <w:r>
        <w:rPr>
          <w:rFonts w:cs="Arial"/>
          <w:sz w:val="22"/>
          <w:szCs w:val="22"/>
        </w:rPr>
        <w:t xml:space="preserve"> </w:t>
      </w:r>
      <w:r>
        <w:rPr>
          <w:rFonts w:cs="Arial"/>
          <w:sz w:val="22"/>
          <w:szCs w:val="22"/>
          <w:lang w:val="de-DE"/>
        </w:rPr>
        <w:t>gubi</w:t>
      </w:r>
      <w:r>
        <w:rPr>
          <w:rFonts w:cs="Arial"/>
          <w:sz w:val="22"/>
          <w:szCs w:val="22"/>
        </w:rPr>
        <w:t xml:space="preserve"> </w:t>
      </w:r>
      <w:r>
        <w:rPr>
          <w:rFonts w:cs="Arial"/>
          <w:sz w:val="22"/>
          <w:szCs w:val="22"/>
          <w:lang w:val="de-DE"/>
        </w:rPr>
        <w:t>na</w:t>
      </w:r>
      <w:r>
        <w:rPr>
          <w:rFonts w:cs="Arial"/>
          <w:sz w:val="22"/>
          <w:szCs w:val="22"/>
        </w:rPr>
        <w:t xml:space="preserve"> </w:t>
      </w:r>
      <w:r>
        <w:rPr>
          <w:rFonts w:cs="Arial"/>
          <w:sz w:val="22"/>
          <w:szCs w:val="22"/>
          <w:lang w:val="de-DE"/>
        </w:rPr>
        <w:t>vrijednosti</w:t>
      </w:r>
      <w:r>
        <w:rPr>
          <w:rFonts w:cs="Arial"/>
          <w:sz w:val="22"/>
          <w:szCs w:val="22"/>
        </w:rPr>
        <w:t xml:space="preserve"> </w:t>
      </w:r>
      <w:r>
        <w:rPr>
          <w:rFonts w:cs="Arial"/>
          <w:sz w:val="22"/>
          <w:szCs w:val="22"/>
          <w:lang w:val="de-DE"/>
        </w:rPr>
        <w:t>je</w:t>
      </w:r>
      <w:r>
        <w:rPr>
          <w:rFonts w:cs="Arial"/>
          <w:sz w:val="22"/>
          <w:szCs w:val="22"/>
        </w:rPr>
        <w:t xml:space="preserve"> </w:t>
      </w:r>
      <w:r>
        <w:rPr>
          <w:rFonts w:cs="Arial"/>
          <w:sz w:val="22"/>
          <w:szCs w:val="22"/>
          <w:lang w:val="de-DE"/>
        </w:rPr>
        <w:t>i</w:t>
      </w:r>
      <w:r>
        <w:rPr>
          <w:rFonts w:cs="Arial"/>
          <w:sz w:val="22"/>
          <w:szCs w:val="22"/>
        </w:rPr>
        <w:t xml:space="preserve"> </w:t>
      </w:r>
      <w:r>
        <w:rPr>
          <w:rFonts w:cs="Arial"/>
          <w:sz w:val="22"/>
          <w:szCs w:val="22"/>
          <w:lang w:val="de-DE"/>
        </w:rPr>
        <w:t>redovito</w:t>
      </w:r>
      <w:r>
        <w:rPr>
          <w:rFonts w:cs="Arial"/>
          <w:sz w:val="22"/>
          <w:szCs w:val="22"/>
        </w:rPr>
        <w:t xml:space="preserve"> </w:t>
      </w:r>
      <w:r>
        <w:rPr>
          <w:rFonts w:cs="Arial"/>
          <w:sz w:val="22"/>
          <w:szCs w:val="22"/>
          <w:lang w:val="de-DE"/>
        </w:rPr>
        <w:t>mijenjanje</w:t>
      </w:r>
      <w:r>
        <w:rPr>
          <w:rFonts w:cs="Arial"/>
          <w:sz w:val="22"/>
          <w:szCs w:val="22"/>
        </w:rPr>
        <w:t xml:space="preserve"> </w:t>
      </w:r>
      <w:r>
        <w:rPr>
          <w:rFonts w:cs="Arial"/>
          <w:sz w:val="22"/>
          <w:szCs w:val="22"/>
          <w:lang w:val="de-DE"/>
        </w:rPr>
        <w:t>kultura</w:t>
      </w:r>
      <w:r>
        <w:rPr>
          <w:rFonts w:cs="Arial"/>
          <w:sz w:val="22"/>
          <w:szCs w:val="22"/>
        </w:rPr>
        <w:t xml:space="preserve"> </w:t>
      </w:r>
      <w:r>
        <w:rPr>
          <w:rFonts w:cs="Arial"/>
          <w:sz w:val="22"/>
          <w:szCs w:val="22"/>
          <w:lang w:val="de-DE"/>
        </w:rPr>
        <w:t>koje</w:t>
      </w:r>
      <w:r>
        <w:rPr>
          <w:rFonts w:cs="Arial"/>
          <w:sz w:val="22"/>
          <w:szCs w:val="22"/>
        </w:rPr>
        <w:t xml:space="preserve"> </w:t>
      </w:r>
      <w:r>
        <w:rPr>
          <w:rFonts w:cs="Arial"/>
          <w:sz w:val="22"/>
          <w:szCs w:val="22"/>
          <w:lang w:val="de-DE"/>
        </w:rPr>
        <w:t>se</w:t>
      </w:r>
      <w:r>
        <w:rPr>
          <w:rFonts w:cs="Arial"/>
          <w:sz w:val="22"/>
          <w:szCs w:val="22"/>
        </w:rPr>
        <w:t xml:space="preserve"> </w:t>
      </w:r>
      <w:r>
        <w:rPr>
          <w:rFonts w:cs="Arial"/>
          <w:sz w:val="22"/>
          <w:szCs w:val="22"/>
          <w:lang w:val="de-DE"/>
        </w:rPr>
        <w:t>uzgajaju</w:t>
      </w:r>
      <w:r>
        <w:rPr>
          <w:rFonts w:cs="Arial"/>
          <w:sz w:val="22"/>
          <w:szCs w:val="22"/>
        </w:rPr>
        <w:t xml:space="preserve">. Korištenje tla, odnosno agrotehnološke aktivnosti moraju biti usuglašene s vodnim gospodarstvom. </w:t>
      </w:r>
    </w:p>
    <w:p w:rsidR="00012172" w:rsidRDefault="00012172">
      <w:pPr>
        <w:pStyle w:val="StandardWeb"/>
        <w:spacing w:before="0" w:beforeAutospacing="0" w:after="0" w:afterAutospacing="0"/>
      </w:pPr>
    </w:p>
    <w:p w:rsidR="00012172" w:rsidRDefault="00012172">
      <w:pPr>
        <w:pStyle w:val="Naslov3"/>
        <w:rPr>
          <w:sz w:val="22"/>
        </w:rPr>
      </w:pPr>
      <w:bookmarkStart w:id="38" w:name="_Toc95140589"/>
      <w:r>
        <w:rPr>
          <w:sz w:val="22"/>
        </w:rPr>
        <w:t>2.1.3. Očuvanje ekološke stabilnosti i vrijednih dijelova okoliša</w:t>
      </w:r>
      <w:bookmarkEnd w:id="38"/>
      <w:r>
        <w:rPr>
          <w:sz w:val="22"/>
        </w:rPr>
        <w:t xml:space="preserve"> </w:t>
      </w:r>
    </w:p>
    <w:p w:rsidR="00012172" w:rsidRDefault="00012172">
      <w:pPr>
        <w:rPr>
          <w:rFonts w:ascii="Arial" w:hAnsi="Arial" w:cs="Arial"/>
          <w:sz w:val="22"/>
        </w:rPr>
      </w:pPr>
    </w:p>
    <w:p w:rsidR="00012172" w:rsidRDefault="00012172">
      <w:pPr>
        <w:ind w:firstLine="360"/>
        <w:jc w:val="both"/>
        <w:rPr>
          <w:rFonts w:ascii="Arial" w:hAnsi="Arial" w:cs="Arial"/>
          <w:sz w:val="22"/>
        </w:rPr>
      </w:pPr>
      <w:r>
        <w:rPr>
          <w:rFonts w:ascii="Arial" w:hAnsi="Arial" w:cs="Arial"/>
          <w:sz w:val="22"/>
        </w:rPr>
        <w:t xml:space="preserve">Cilj ovog Plana je očuvanje i unaprjeđenje ekološke stabilnosti. Uzimajući u obzir trenutno stanje u prostoru Općine Gornja Rijeka, kao i trenda koji se može očekivati u sljedećim </w:t>
      </w:r>
      <w:r>
        <w:rPr>
          <w:rFonts w:ascii="Arial" w:hAnsi="Arial" w:cs="Arial"/>
          <w:sz w:val="22"/>
        </w:rPr>
        <w:lastRenderedPageBreak/>
        <w:t>godinama, (</w:t>
      </w:r>
      <w:r>
        <w:rPr>
          <w:rFonts w:ascii="Arial" w:hAnsi="Arial" w:cs="Arial"/>
          <w:i/>
          <w:iCs/>
          <w:sz w:val="22"/>
        </w:rPr>
        <w:t>razvoj seoskog turizma, ribolova na ribnjacima,planinarenja, prisutnost zaštićenih dijelova prirode i potencijalno iskorištavanje spomenutih ljepota prirode,.</w:t>
      </w:r>
      <w:r>
        <w:rPr>
          <w:rFonts w:ascii="Arial" w:hAnsi="Arial" w:cs="Arial"/>
          <w:sz w:val="22"/>
        </w:rPr>
        <w:t xml:space="preserve">.) može se reći da područje Općine nije ozbiljnije ugroženo u ekološkom smislu. Za očekivati je da će se u budućnosti ekološka stabilnost područja zadržati, te da neće biti većih pritisaka  na njeno narušavanje. Za očekivati je da će se svi zahvati (na području Općine i u njenoj neposrednoj blizini) koji eventualno mogu narušiti ekološku stabilnost (sječa šuma, gradnja građevina i infrastruktura </w:t>
      </w:r>
      <w:r>
        <w:rPr>
          <w:rFonts w:ascii="Arial" w:hAnsi="Arial" w:cs="Arial"/>
          <w:i/>
          <w:iCs/>
          <w:sz w:val="22"/>
        </w:rPr>
        <w:t xml:space="preserve">u i izvan zaštićenog područja, </w:t>
      </w:r>
      <w:r>
        <w:rPr>
          <w:rFonts w:ascii="Arial" w:hAnsi="Arial" w:cs="Arial"/>
          <w:sz w:val="22"/>
        </w:rPr>
        <w:t>rad u obližnjem kamenolomu Vojnovec i dr.</w:t>
      </w:r>
      <w:r>
        <w:rPr>
          <w:rFonts w:ascii="Arial" w:hAnsi="Arial" w:cs="Arial"/>
          <w:i/>
          <w:iCs/>
          <w:sz w:val="22"/>
        </w:rPr>
        <w:t>)</w:t>
      </w:r>
      <w:r>
        <w:rPr>
          <w:rFonts w:ascii="Arial" w:hAnsi="Arial" w:cs="Arial"/>
          <w:sz w:val="22"/>
        </w:rPr>
        <w:t>moći zadržati pod kontrolom, odnosno da će se odvijati prema odredbama ovog Plana i u skladu sa drugim važećim strateškim dokumentima i zakonskim propisima.</w:t>
      </w:r>
    </w:p>
    <w:p w:rsidR="00012172" w:rsidRDefault="00012172">
      <w:pPr>
        <w:ind w:firstLine="360"/>
        <w:jc w:val="both"/>
        <w:rPr>
          <w:rFonts w:ascii="Arial" w:hAnsi="Arial" w:cs="Arial"/>
          <w:sz w:val="22"/>
        </w:rPr>
      </w:pPr>
      <w:r>
        <w:rPr>
          <w:rFonts w:ascii="Arial" w:hAnsi="Arial" w:cs="Arial"/>
          <w:sz w:val="22"/>
        </w:rPr>
        <w:t xml:space="preserve">Očuvanje ekološke stabilnosti ponajviše ovisi o stanju i zaštiti okoliša odnosno njenih komponenti, a to su zrak, voda, tlo, šume i poljoprivredne površine. Vodotoci Općine Gornja Rijeka su potencijalno ugroženi eventualnim ispuštanjem nepročišćenih otpadnih voda naseljenih mjesta, gospodarskih farmi. U tu svrhu potrebno je što prije uspostaviti kompletnu infrastrukturnu kanalizacijsku mrežu te kvalitetno riješiti pitanje otpadnih voda u svim naseljima (preporuča se primjena novijih tehnologija, bio-lagune i sl.). Kalnički kraj je poznat po stočarstvu i mnogobrojnim farmama. Spomenute farme trebaju imati adekvatno riješeno pitanje otpadnih voda. U slučaju realizacije nekog od gospodarskih pogona koji mogu imati veće količine tehnoloških otpadnih voda, nastalih tijekom proizvodnje, inzistirati će se na izgradnji separatnih uređaja za predtretman otpadnih voda prije njihovog ispuštanja u recipijent. Zbog izrazito stočarskog kraja sa brojnim farmama, potrebno je riješiti pitanje vezano uz problem neškodljivog uklanjanja otpada životinjskog porijekla. U tom pogledu potrebno je uvažavati zakonske odredbe te pratiti utjecaj na okoliš (vodu, tlo i zrak). </w:t>
      </w:r>
    </w:p>
    <w:p w:rsidR="00012172" w:rsidRDefault="00012172">
      <w:pPr>
        <w:ind w:firstLine="360"/>
        <w:jc w:val="both"/>
        <w:rPr>
          <w:rFonts w:ascii="Arial" w:hAnsi="Arial" w:cs="Arial"/>
          <w:sz w:val="22"/>
        </w:rPr>
      </w:pPr>
      <w:r>
        <w:rPr>
          <w:rFonts w:ascii="Arial" w:hAnsi="Arial" w:cs="Arial"/>
          <w:sz w:val="22"/>
        </w:rPr>
        <w:t xml:space="preserve">Važno je naglasiti da na području Općine postoje zaštićeni dijelovi prirode (kategorije značajni krajobraz i </w:t>
      </w:r>
      <w:r w:rsidR="004C746B">
        <w:rPr>
          <w:rFonts w:ascii="Arial" w:hAnsi="Arial" w:cs="Arial"/>
          <w:sz w:val="22"/>
        </w:rPr>
        <w:t>posebni botanički rezervat</w:t>
      </w:r>
      <w:r>
        <w:rPr>
          <w:rFonts w:ascii="Arial" w:hAnsi="Arial" w:cs="Arial"/>
          <w:sz w:val="22"/>
        </w:rPr>
        <w:t>) koji štite prirodnu baštinu i njene ljepote. Iako su zaštićeni, u njima život nije zabranjen! U takvim područjima je moguća gospodarska djelatnost, ali pod posebnim uvjetima koje propisuje Zakon o zaštiti prirode i u skladu sa prirodnim zakonitostima te bez negativnog utjecaja na okoliš.  Uvažavajući specifične prirodne i kulturne karakteristike i lokaliteta/atrakcija, potrebno je odrediti one vrste turizma koje mogu optimalno koristiti raspoložive resurse, te istodobno uvjetovati izgradnju koja je moguća i prihvatljiva s obzirom na pretežita obilježja prostora (prirodna i kulturna). Vrlo je bitan i ekološki aspekt turizma koji se temelji na očuvanju prirodnih posebnosti i primjeni ekoloških načela u turizmu, a teži optimalnom ekonomskom efektuuz minimalno degradiranje životne sredine.</w:t>
      </w:r>
    </w:p>
    <w:p w:rsidR="00012172" w:rsidRDefault="00012172">
      <w:pPr>
        <w:ind w:firstLine="360"/>
        <w:jc w:val="both"/>
        <w:rPr>
          <w:rFonts w:ascii="Arial" w:hAnsi="Arial" w:cs="Arial"/>
          <w:sz w:val="22"/>
        </w:rPr>
      </w:pPr>
      <w:r>
        <w:rPr>
          <w:rFonts w:ascii="Arial" w:hAnsi="Arial" w:cs="Arial"/>
          <w:sz w:val="22"/>
        </w:rPr>
        <w:t xml:space="preserve">I na kraju, ekološka stabilnost jednog relativno malog područja, kao što je to Općina Gornja Rijeka u velikoj je mjeri uvjetovana ekološkom situacijom okolnog područja a i šireg državnog područja. Iz svega toga proizlazi da je briga o zaštiti okoliša i osiguranje prirodne ravnoteže i održivog razvoja zajednička briga svih stanovnika i gospodarskih subjekata države. </w:t>
      </w:r>
    </w:p>
    <w:p w:rsidR="00012172" w:rsidRDefault="00012172">
      <w:pPr>
        <w:rPr>
          <w:color w:val="FF0000"/>
        </w:rPr>
      </w:pPr>
    </w:p>
    <w:p w:rsidR="00012172" w:rsidRDefault="00012172"/>
    <w:p w:rsidR="00012172" w:rsidRDefault="00012172"/>
    <w:p w:rsidR="00012172" w:rsidRDefault="00012172">
      <w:pPr>
        <w:pStyle w:val="Naslov2"/>
        <w:rPr>
          <w:rFonts w:ascii="Times New Roman" w:hAnsi="Times New Roman" w:cs="Times New Roman"/>
          <w:i w:val="0"/>
          <w:iCs w:val="0"/>
        </w:rPr>
      </w:pPr>
      <w:bookmarkStart w:id="39" w:name="_Toc95140590"/>
      <w:r>
        <w:rPr>
          <w:rFonts w:ascii="Times New Roman" w:hAnsi="Times New Roman" w:cs="Times New Roman"/>
          <w:i w:val="0"/>
          <w:iCs w:val="0"/>
        </w:rPr>
        <w:t>2.2. Ciljevi prostornog razvoja općinskog značaja</w:t>
      </w:r>
      <w:bookmarkEnd w:id="39"/>
      <w:r>
        <w:rPr>
          <w:rFonts w:ascii="Times New Roman" w:hAnsi="Times New Roman" w:cs="Times New Roman"/>
          <w:i w:val="0"/>
          <w:iCs w:val="0"/>
        </w:rPr>
        <w:t xml:space="preserve"> </w:t>
      </w:r>
    </w:p>
    <w:p w:rsidR="00012172" w:rsidRDefault="00012172"/>
    <w:p w:rsidR="00012172" w:rsidRDefault="00012172">
      <w:pPr>
        <w:pStyle w:val="Naslov3"/>
        <w:rPr>
          <w:rFonts w:ascii="Times New Roman" w:hAnsi="Times New Roman" w:cs="Times New Roman"/>
        </w:rPr>
      </w:pPr>
      <w:bookmarkStart w:id="40" w:name="_Toc95140591"/>
      <w:r>
        <w:rPr>
          <w:rFonts w:ascii="Times New Roman" w:hAnsi="Times New Roman" w:cs="Times New Roman"/>
        </w:rPr>
        <w:t>2.2.1. Demografski razvoj</w:t>
      </w:r>
      <w:bookmarkEnd w:id="40"/>
      <w:r>
        <w:rPr>
          <w:rFonts w:ascii="Times New Roman" w:hAnsi="Times New Roman" w:cs="Times New Roman"/>
        </w:rPr>
        <w:t xml:space="preserve"> </w:t>
      </w:r>
    </w:p>
    <w:p w:rsidR="00012172" w:rsidRDefault="00012172">
      <w:pPr>
        <w:rPr>
          <w:rFonts w:ascii="Arial" w:hAnsi="Arial" w:cs="Arial"/>
        </w:rPr>
      </w:pPr>
    </w:p>
    <w:p w:rsidR="00012172" w:rsidRDefault="00012172">
      <w:pPr>
        <w:jc w:val="both"/>
        <w:rPr>
          <w:rFonts w:ascii="Arial" w:hAnsi="Arial" w:cs="Arial"/>
          <w:sz w:val="22"/>
        </w:rPr>
      </w:pPr>
      <w:r>
        <w:rPr>
          <w:rFonts w:ascii="Arial" w:hAnsi="Arial" w:cs="Arial"/>
          <w:sz w:val="22"/>
        </w:rPr>
        <w:t xml:space="preserve">Stanovništvo je značajan čimbenik dugoročnog društveno-gospodarskog razvitka i korištenja prostora, tako da je demografski razvitak jedan od prioriteta u prostornom planiranju.  U Podravini demografska problematika je izražena i potrebno je donijeti niz programa i mjera kojima bi se stvorilo pozitivno okružje i zaustavili negativni demografski procesi. Ukoliko se ne zaustave negativni demografski procesi oni će postati limitirajući čimbenik svekolikog razvitka  ovog područja. Zato je potrebno provoditi odgovarajuću populacijsku politiku. </w:t>
      </w:r>
    </w:p>
    <w:p w:rsidR="00012172" w:rsidRDefault="00012172">
      <w:pPr>
        <w:jc w:val="both"/>
        <w:rPr>
          <w:rFonts w:ascii="Arial" w:hAnsi="Arial" w:cs="Arial"/>
          <w:sz w:val="22"/>
        </w:rPr>
      </w:pPr>
    </w:p>
    <w:p w:rsidR="00012172" w:rsidRDefault="00012172">
      <w:pPr>
        <w:jc w:val="both"/>
        <w:rPr>
          <w:rFonts w:ascii="Arial" w:hAnsi="Arial" w:cs="Arial"/>
          <w:sz w:val="22"/>
        </w:rPr>
      </w:pPr>
      <w:r>
        <w:rPr>
          <w:rFonts w:ascii="Arial" w:hAnsi="Arial" w:cs="Arial"/>
          <w:sz w:val="22"/>
        </w:rPr>
        <w:t>Dugoročni i prioritetni ciljevi demografskog razvitka Općine su:</w:t>
      </w:r>
    </w:p>
    <w:p w:rsidR="00012172" w:rsidRDefault="00EC21D5">
      <w:pPr>
        <w:numPr>
          <w:ilvl w:val="0"/>
          <w:numId w:val="10"/>
        </w:numPr>
        <w:jc w:val="both"/>
        <w:rPr>
          <w:rFonts w:ascii="Arial" w:hAnsi="Arial" w:cs="Arial"/>
          <w:sz w:val="22"/>
        </w:rPr>
      </w:pPr>
      <w:r>
        <w:rPr>
          <w:rFonts w:ascii="Arial" w:hAnsi="Arial" w:cs="Arial"/>
          <w:sz w:val="22"/>
        </w:rPr>
        <w:t>Zau</w:t>
      </w:r>
      <w:r w:rsidR="00012172">
        <w:rPr>
          <w:rFonts w:ascii="Arial" w:hAnsi="Arial" w:cs="Arial"/>
          <w:sz w:val="22"/>
        </w:rPr>
        <w:t xml:space="preserve">staviti apsolutno opadanje broja stanovnika, a nakon toga osigurati njegovu stagnaciju ili lagani porast </w:t>
      </w:r>
    </w:p>
    <w:p w:rsidR="00012172" w:rsidRDefault="00012172">
      <w:pPr>
        <w:numPr>
          <w:ilvl w:val="0"/>
          <w:numId w:val="10"/>
        </w:numPr>
        <w:jc w:val="both"/>
        <w:rPr>
          <w:rFonts w:ascii="Arial" w:hAnsi="Arial" w:cs="Arial"/>
          <w:sz w:val="22"/>
        </w:rPr>
      </w:pPr>
      <w:r>
        <w:rPr>
          <w:rFonts w:ascii="Arial" w:hAnsi="Arial" w:cs="Arial"/>
          <w:sz w:val="22"/>
        </w:rPr>
        <w:t>Smanjiti negativno prirodno kretanje stanovništva</w:t>
      </w:r>
    </w:p>
    <w:p w:rsidR="00012172" w:rsidRDefault="00012172">
      <w:pPr>
        <w:numPr>
          <w:ilvl w:val="0"/>
          <w:numId w:val="10"/>
        </w:numPr>
        <w:jc w:val="both"/>
        <w:rPr>
          <w:rFonts w:ascii="Arial" w:hAnsi="Arial" w:cs="Arial"/>
          <w:sz w:val="22"/>
        </w:rPr>
      </w:pPr>
      <w:r>
        <w:rPr>
          <w:rFonts w:ascii="Arial" w:hAnsi="Arial" w:cs="Arial"/>
          <w:sz w:val="22"/>
        </w:rPr>
        <w:t xml:space="preserve">Prostor Općine učiniti privlačnim za doseljavanje stanovništva i ostvariti pozitivnu migracijsku bilancu </w:t>
      </w:r>
    </w:p>
    <w:p w:rsidR="00012172" w:rsidRDefault="00012172">
      <w:pPr>
        <w:numPr>
          <w:ilvl w:val="0"/>
          <w:numId w:val="10"/>
        </w:numPr>
        <w:jc w:val="both"/>
        <w:rPr>
          <w:rFonts w:ascii="Arial" w:hAnsi="Arial" w:cs="Arial"/>
          <w:sz w:val="22"/>
        </w:rPr>
      </w:pPr>
      <w:r>
        <w:rPr>
          <w:rFonts w:ascii="Arial" w:hAnsi="Arial" w:cs="Arial"/>
          <w:sz w:val="22"/>
        </w:rPr>
        <w:t xml:space="preserve">Poboljšati kvalitativna obilježja stanovništva, kod čega najveću pozornost treba posvetiti poboljšanju obrazovne strukture stanovništva i prekvalificiranju nezaposlenih. </w:t>
      </w:r>
    </w:p>
    <w:p w:rsidR="00EC21D5" w:rsidRDefault="00EC21D5">
      <w:pPr>
        <w:jc w:val="both"/>
        <w:rPr>
          <w:rFonts w:ascii="Arial" w:hAnsi="Arial" w:cs="Arial"/>
          <w:sz w:val="22"/>
          <w:szCs w:val="22"/>
        </w:rPr>
      </w:pPr>
      <w:r>
        <w:rPr>
          <w:rFonts w:ascii="Arial" w:hAnsi="Arial" w:cs="Arial"/>
          <w:sz w:val="22"/>
          <w:szCs w:val="22"/>
        </w:rPr>
        <w:t>U cilju provođenja pronatalitetne politike izgradit će se vrtić.</w:t>
      </w:r>
    </w:p>
    <w:p w:rsidR="00012172" w:rsidRDefault="00012172">
      <w:pPr>
        <w:jc w:val="both"/>
        <w:rPr>
          <w:rFonts w:ascii="Arial" w:hAnsi="Arial" w:cs="Arial"/>
          <w:sz w:val="22"/>
          <w:szCs w:val="22"/>
        </w:rPr>
      </w:pPr>
      <w:r>
        <w:rPr>
          <w:rFonts w:ascii="Arial" w:hAnsi="Arial" w:cs="Arial"/>
          <w:sz w:val="22"/>
          <w:szCs w:val="22"/>
        </w:rPr>
        <w:t>Kod projekcija stanovništva prikazana je projekcija iz Demografske studije, te su prikazane projekcije s varijantom da će se broj stanovnika kretati kao u prethodnom popisnom periodu (1991.-2001.).</w:t>
      </w:r>
    </w:p>
    <w:p w:rsidR="00012172" w:rsidRDefault="00012172"/>
    <w:p w:rsidR="00012172" w:rsidRDefault="00012172">
      <w:pPr>
        <w:pStyle w:val="Opisslike"/>
        <w:rPr>
          <w:b/>
        </w:rPr>
      </w:pPr>
      <w:bookmarkStart w:id="41" w:name="_Toc132763261"/>
      <w:r>
        <w:rPr>
          <w:b/>
        </w:rPr>
        <w:t xml:space="preserve">Tablica </w:t>
      </w:r>
      <w:r>
        <w:rPr>
          <w:b/>
        </w:rPr>
        <w:fldChar w:fldCharType="begin"/>
      </w:r>
      <w:r>
        <w:rPr>
          <w:b/>
        </w:rPr>
        <w:instrText xml:space="preserve"> SEQ Tablica \* ARABIC </w:instrText>
      </w:r>
      <w:r>
        <w:rPr>
          <w:b/>
        </w:rPr>
        <w:fldChar w:fldCharType="separate"/>
      </w:r>
      <w:r w:rsidR="002B1815">
        <w:rPr>
          <w:b/>
          <w:noProof/>
        </w:rPr>
        <w:t>11</w:t>
      </w:r>
      <w:r>
        <w:rPr>
          <w:b/>
        </w:rPr>
        <w:fldChar w:fldCharType="end"/>
      </w:r>
      <w:r>
        <w:rPr>
          <w:b/>
        </w:rPr>
        <w:t>: Projekcija kretanja broja stanovnika (2001-2011)</w:t>
      </w:r>
      <w:bookmarkEnd w:id="41"/>
    </w:p>
    <w:tbl>
      <w:tblPr>
        <w:tblW w:w="9202" w:type="dxa"/>
        <w:tblInd w:w="98" w:type="dxa"/>
        <w:tblLook w:val="0000" w:firstRow="0" w:lastRow="0" w:firstColumn="0" w:lastColumn="0" w:noHBand="0" w:noVBand="0"/>
      </w:tblPr>
      <w:tblGrid>
        <w:gridCol w:w="3070"/>
        <w:gridCol w:w="1205"/>
        <w:gridCol w:w="1147"/>
        <w:gridCol w:w="1260"/>
        <w:gridCol w:w="1260"/>
        <w:gridCol w:w="1260"/>
      </w:tblGrid>
      <w:tr w:rsidR="00012172">
        <w:trPr>
          <w:cantSplit/>
          <w:trHeight w:val="200"/>
        </w:trPr>
        <w:tc>
          <w:tcPr>
            <w:tcW w:w="3070" w:type="dxa"/>
            <w:vMerge w:val="restart"/>
            <w:tcBorders>
              <w:top w:val="single" w:sz="8" w:space="0" w:color="auto"/>
              <w:left w:val="single" w:sz="8" w:space="0" w:color="auto"/>
              <w:right w:val="single" w:sz="4" w:space="0" w:color="auto"/>
            </w:tcBorders>
            <w:noWrap/>
            <w:vAlign w:val="bottom"/>
          </w:tcPr>
          <w:p w:rsidR="00012172" w:rsidRDefault="00012172">
            <w:pPr>
              <w:rPr>
                <w:rFonts w:ascii="Arial" w:hAnsi="Arial" w:cs="Arial"/>
                <w:b/>
                <w:bCs/>
                <w:sz w:val="20"/>
                <w:szCs w:val="20"/>
              </w:rPr>
            </w:pPr>
            <w:r>
              <w:rPr>
                <w:rFonts w:ascii="Arial" w:hAnsi="Arial" w:cs="Arial"/>
                <w:b/>
                <w:bCs/>
                <w:sz w:val="20"/>
                <w:szCs w:val="20"/>
              </w:rPr>
              <w:t> </w:t>
            </w:r>
          </w:p>
        </w:tc>
        <w:tc>
          <w:tcPr>
            <w:tcW w:w="1205" w:type="dxa"/>
            <w:vMerge w:val="restart"/>
            <w:tcBorders>
              <w:top w:val="single" w:sz="8" w:space="0" w:color="auto"/>
              <w:left w:val="nil"/>
              <w:right w:val="single" w:sz="8" w:space="0" w:color="auto"/>
            </w:tcBorders>
            <w:vAlign w:val="bottom"/>
          </w:tcPr>
          <w:p w:rsidR="00012172" w:rsidRDefault="00012172">
            <w:pPr>
              <w:tabs>
                <w:tab w:val="left" w:pos="744"/>
              </w:tabs>
              <w:jc w:val="center"/>
              <w:rPr>
                <w:rFonts w:ascii="Arial" w:hAnsi="Arial" w:cs="Arial"/>
                <w:b/>
                <w:bCs/>
                <w:sz w:val="20"/>
                <w:szCs w:val="20"/>
              </w:rPr>
            </w:pPr>
            <w:r>
              <w:rPr>
                <w:rFonts w:ascii="Arial" w:hAnsi="Arial" w:cs="Arial"/>
                <w:b/>
                <w:bCs/>
                <w:sz w:val="20"/>
                <w:szCs w:val="20"/>
              </w:rPr>
              <w:t>Popis 2001.</w:t>
            </w:r>
          </w:p>
        </w:tc>
        <w:tc>
          <w:tcPr>
            <w:tcW w:w="2407" w:type="dxa"/>
            <w:gridSpan w:val="2"/>
            <w:tcBorders>
              <w:top w:val="single" w:sz="8" w:space="0" w:color="auto"/>
              <w:left w:val="single" w:sz="8" w:space="0" w:color="auto"/>
              <w:bottom w:val="single" w:sz="8" w:space="0" w:color="auto"/>
              <w:right w:val="single" w:sz="4" w:space="0" w:color="auto"/>
            </w:tcBorders>
          </w:tcPr>
          <w:p w:rsidR="00012172" w:rsidRDefault="00012172">
            <w:pPr>
              <w:tabs>
                <w:tab w:val="left" w:pos="744"/>
              </w:tabs>
              <w:jc w:val="center"/>
              <w:rPr>
                <w:rFonts w:ascii="Arial" w:hAnsi="Arial" w:cs="Arial"/>
                <w:b/>
                <w:bCs/>
                <w:sz w:val="20"/>
                <w:szCs w:val="20"/>
              </w:rPr>
            </w:pPr>
            <w:r>
              <w:rPr>
                <w:rFonts w:ascii="Arial" w:hAnsi="Arial" w:cs="Arial"/>
                <w:b/>
                <w:bCs/>
                <w:sz w:val="20"/>
                <w:szCs w:val="20"/>
              </w:rPr>
              <w:t>Prognoza  po stopi</w:t>
            </w:r>
          </w:p>
          <w:p w:rsidR="00012172" w:rsidRDefault="00012172">
            <w:pPr>
              <w:tabs>
                <w:tab w:val="left" w:pos="744"/>
              </w:tabs>
              <w:jc w:val="center"/>
              <w:rPr>
                <w:rFonts w:ascii="Arial" w:hAnsi="Arial" w:cs="Arial"/>
                <w:b/>
                <w:bCs/>
                <w:sz w:val="20"/>
                <w:szCs w:val="20"/>
              </w:rPr>
            </w:pPr>
            <w:r>
              <w:rPr>
                <w:rFonts w:ascii="Arial" w:hAnsi="Arial" w:cs="Arial"/>
                <w:b/>
                <w:bCs/>
                <w:sz w:val="20"/>
                <w:szCs w:val="20"/>
              </w:rPr>
              <w:t>(1991.-2001)</w:t>
            </w:r>
          </w:p>
        </w:tc>
        <w:tc>
          <w:tcPr>
            <w:tcW w:w="2520" w:type="dxa"/>
            <w:gridSpan w:val="2"/>
            <w:tcBorders>
              <w:top w:val="single" w:sz="8" w:space="0" w:color="auto"/>
              <w:left w:val="nil"/>
              <w:bottom w:val="single" w:sz="4" w:space="0" w:color="auto"/>
              <w:right w:val="single" w:sz="8" w:space="0" w:color="auto"/>
            </w:tcBorders>
            <w:noWrap/>
            <w:vAlign w:val="center"/>
          </w:tcPr>
          <w:p w:rsidR="00012172" w:rsidRDefault="00012172">
            <w:pPr>
              <w:pStyle w:val="Naslov5"/>
            </w:pPr>
            <w:r>
              <w:t>Projekcija iz Studije</w:t>
            </w:r>
          </w:p>
        </w:tc>
      </w:tr>
      <w:tr w:rsidR="00012172">
        <w:trPr>
          <w:cantSplit/>
          <w:trHeight w:val="240"/>
        </w:trPr>
        <w:tc>
          <w:tcPr>
            <w:tcW w:w="3070" w:type="dxa"/>
            <w:vMerge/>
            <w:tcBorders>
              <w:left w:val="single" w:sz="8" w:space="0" w:color="auto"/>
              <w:bottom w:val="single" w:sz="4" w:space="0" w:color="auto"/>
              <w:right w:val="single" w:sz="4" w:space="0" w:color="auto"/>
            </w:tcBorders>
            <w:noWrap/>
            <w:vAlign w:val="bottom"/>
          </w:tcPr>
          <w:p w:rsidR="00012172" w:rsidRDefault="00012172">
            <w:pPr>
              <w:rPr>
                <w:rFonts w:ascii="Arial" w:hAnsi="Arial" w:cs="Arial"/>
                <w:b/>
                <w:bCs/>
                <w:sz w:val="20"/>
                <w:szCs w:val="20"/>
              </w:rPr>
            </w:pPr>
          </w:p>
        </w:tc>
        <w:tc>
          <w:tcPr>
            <w:tcW w:w="1205" w:type="dxa"/>
            <w:vMerge/>
            <w:tcBorders>
              <w:left w:val="nil"/>
              <w:bottom w:val="single" w:sz="4" w:space="0" w:color="auto"/>
              <w:right w:val="single" w:sz="8" w:space="0" w:color="auto"/>
            </w:tcBorders>
          </w:tcPr>
          <w:p w:rsidR="00012172" w:rsidRDefault="00012172">
            <w:pPr>
              <w:tabs>
                <w:tab w:val="left" w:pos="744"/>
              </w:tabs>
              <w:jc w:val="center"/>
              <w:rPr>
                <w:rFonts w:ascii="Arial" w:hAnsi="Arial" w:cs="Arial"/>
                <w:b/>
                <w:bCs/>
                <w:sz w:val="20"/>
                <w:szCs w:val="20"/>
              </w:rPr>
            </w:pPr>
          </w:p>
        </w:tc>
        <w:tc>
          <w:tcPr>
            <w:tcW w:w="1147" w:type="dxa"/>
            <w:tcBorders>
              <w:top w:val="single" w:sz="8" w:space="0" w:color="auto"/>
              <w:left w:val="single" w:sz="8" w:space="0" w:color="auto"/>
              <w:bottom w:val="single" w:sz="4" w:space="0" w:color="auto"/>
              <w:right w:val="single" w:sz="8" w:space="0" w:color="auto"/>
            </w:tcBorders>
          </w:tcPr>
          <w:p w:rsidR="00012172" w:rsidRDefault="00012172">
            <w:pPr>
              <w:tabs>
                <w:tab w:val="left" w:pos="744"/>
              </w:tabs>
              <w:jc w:val="center"/>
              <w:rPr>
                <w:rFonts w:ascii="Arial" w:hAnsi="Arial" w:cs="Arial"/>
                <w:b/>
                <w:bCs/>
                <w:sz w:val="20"/>
                <w:szCs w:val="20"/>
              </w:rPr>
            </w:pPr>
            <w:r>
              <w:rPr>
                <w:rFonts w:ascii="Arial" w:hAnsi="Arial" w:cs="Arial"/>
                <w:b/>
                <w:bCs/>
                <w:sz w:val="20"/>
                <w:szCs w:val="20"/>
              </w:rPr>
              <w:t>Za 2011.</w:t>
            </w:r>
          </w:p>
        </w:tc>
        <w:tc>
          <w:tcPr>
            <w:tcW w:w="1260" w:type="dxa"/>
            <w:tcBorders>
              <w:top w:val="single" w:sz="8" w:space="0" w:color="auto"/>
              <w:left w:val="single" w:sz="8" w:space="0" w:color="auto"/>
              <w:bottom w:val="single" w:sz="4" w:space="0" w:color="auto"/>
              <w:right w:val="single" w:sz="4" w:space="0" w:color="auto"/>
            </w:tcBorders>
            <w:noWrap/>
            <w:vAlign w:val="bottom"/>
          </w:tcPr>
          <w:p w:rsidR="00012172" w:rsidRDefault="00012172">
            <w:pPr>
              <w:tabs>
                <w:tab w:val="left" w:pos="744"/>
              </w:tabs>
              <w:jc w:val="center"/>
              <w:rPr>
                <w:rFonts w:ascii="Arial" w:hAnsi="Arial" w:cs="Arial"/>
                <w:b/>
                <w:bCs/>
                <w:sz w:val="20"/>
                <w:szCs w:val="20"/>
              </w:rPr>
            </w:pPr>
            <w:r>
              <w:rPr>
                <w:rFonts w:ascii="Arial" w:hAnsi="Arial" w:cs="Arial"/>
                <w:b/>
                <w:bCs/>
                <w:sz w:val="20"/>
                <w:szCs w:val="20"/>
              </w:rPr>
              <w:t>2021.</w:t>
            </w:r>
          </w:p>
        </w:tc>
        <w:tc>
          <w:tcPr>
            <w:tcW w:w="1260" w:type="dxa"/>
            <w:tcBorders>
              <w:top w:val="single" w:sz="4" w:space="0" w:color="auto"/>
              <w:left w:val="nil"/>
              <w:bottom w:val="single" w:sz="4" w:space="0" w:color="auto"/>
              <w:right w:val="single" w:sz="4" w:space="0" w:color="auto"/>
            </w:tcBorders>
            <w:noWrap/>
            <w:vAlign w:val="bottom"/>
          </w:tcPr>
          <w:p w:rsidR="00012172" w:rsidRDefault="00012172">
            <w:pPr>
              <w:jc w:val="center"/>
              <w:rPr>
                <w:rFonts w:ascii="Arial" w:hAnsi="Arial" w:cs="Arial"/>
                <w:b/>
                <w:bCs/>
                <w:sz w:val="20"/>
                <w:szCs w:val="20"/>
              </w:rPr>
            </w:pPr>
            <w:r>
              <w:rPr>
                <w:rFonts w:ascii="Arial" w:hAnsi="Arial" w:cs="Arial"/>
                <w:b/>
                <w:bCs/>
                <w:sz w:val="20"/>
                <w:szCs w:val="20"/>
              </w:rPr>
              <w:t>2001.</w:t>
            </w:r>
          </w:p>
        </w:tc>
        <w:tc>
          <w:tcPr>
            <w:tcW w:w="1260" w:type="dxa"/>
            <w:tcBorders>
              <w:top w:val="single" w:sz="4" w:space="0" w:color="auto"/>
              <w:left w:val="nil"/>
              <w:bottom w:val="single" w:sz="4" w:space="0" w:color="auto"/>
              <w:right w:val="single" w:sz="8" w:space="0" w:color="auto"/>
            </w:tcBorders>
            <w:noWrap/>
            <w:vAlign w:val="bottom"/>
          </w:tcPr>
          <w:p w:rsidR="00012172" w:rsidRDefault="00012172">
            <w:pPr>
              <w:jc w:val="center"/>
              <w:rPr>
                <w:rFonts w:ascii="Arial" w:hAnsi="Arial" w:cs="Arial"/>
                <w:b/>
                <w:bCs/>
                <w:sz w:val="20"/>
                <w:szCs w:val="20"/>
              </w:rPr>
            </w:pPr>
            <w:r>
              <w:rPr>
                <w:rFonts w:ascii="Arial" w:hAnsi="Arial" w:cs="Arial"/>
                <w:b/>
                <w:bCs/>
                <w:sz w:val="20"/>
                <w:szCs w:val="20"/>
              </w:rPr>
              <w:t>2011.</w:t>
            </w:r>
          </w:p>
        </w:tc>
      </w:tr>
      <w:tr w:rsidR="00012172">
        <w:trPr>
          <w:trHeight w:val="255"/>
        </w:trPr>
        <w:tc>
          <w:tcPr>
            <w:tcW w:w="3070" w:type="dxa"/>
            <w:tcBorders>
              <w:top w:val="nil"/>
              <w:left w:val="single" w:sz="8" w:space="0" w:color="auto"/>
              <w:bottom w:val="single" w:sz="4" w:space="0" w:color="auto"/>
              <w:right w:val="single" w:sz="4" w:space="0" w:color="auto"/>
            </w:tcBorders>
            <w:noWrap/>
            <w:vAlign w:val="bottom"/>
          </w:tcPr>
          <w:p w:rsidR="00012172" w:rsidRDefault="00012172">
            <w:pPr>
              <w:rPr>
                <w:rFonts w:ascii="Arial" w:hAnsi="Arial" w:cs="Arial"/>
                <w:sz w:val="22"/>
                <w:szCs w:val="20"/>
              </w:rPr>
            </w:pPr>
            <w:r>
              <w:rPr>
                <w:sz w:val="22"/>
              </w:rPr>
              <w:t>Barlabaševec</w:t>
            </w:r>
          </w:p>
        </w:tc>
        <w:tc>
          <w:tcPr>
            <w:tcW w:w="1205" w:type="dxa"/>
            <w:tcBorders>
              <w:top w:val="nil"/>
              <w:left w:val="nil"/>
              <w:bottom w:val="single" w:sz="4" w:space="0" w:color="auto"/>
              <w:right w:val="single" w:sz="8" w:space="0" w:color="auto"/>
            </w:tcBorders>
            <w:vAlign w:val="center"/>
          </w:tcPr>
          <w:p w:rsidR="00012172" w:rsidRDefault="00012172">
            <w:pPr>
              <w:jc w:val="center"/>
              <w:rPr>
                <w:rFonts w:ascii="Arial" w:hAnsi="Arial" w:cs="Arial"/>
                <w:sz w:val="22"/>
                <w:szCs w:val="20"/>
              </w:rPr>
            </w:pPr>
            <w:r>
              <w:rPr>
                <w:sz w:val="22"/>
              </w:rPr>
              <w:t>22</w:t>
            </w:r>
          </w:p>
        </w:tc>
        <w:tc>
          <w:tcPr>
            <w:tcW w:w="1147" w:type="dxa"/>
            <w:tcBorders>
              <w:top w:val="nil"/>
              <w:left w:val="single" w:sz="8" w:space="0" w:color="auto"/>
              <w:bottom w:val="single" w:sz="4" w:space="0" w:color="auto"/>
              <w:right w:val="single" w:sz="8" w:space="0" w:color="auto"/>
            </w:tcBorders>
            <w:vAlign w:val="center"/>
          </w:tcPr>
          <w:p w:rsidR="00012172" w:rsidRDefault="00012172">
            <w:pPr>
              <w:jc w:val="center"/>
              <w:rPr>
                <w:rFonts w:ascii="Arial" w:hAnsi="Arial" w:cs="Arial"/>
                <w:sz w:val="20"/>
                <w:szCs w:val="20"/>
              </w:rPr>
            </w:pPr>
            <w:r>
              <w:rPr>
                <w:rFonts w:ascii="Arial" w:hAnsi="Arial" w:cs="Arial"/>
                <w:sz w:val="20"/>
                <w:szCs w:val="20"/>
              </w:rPr>
              <w:t>17</w:t>
            </w:r>
          </w:p>
        </w:tc>
        <w:tc>
          <w:tcPr>
            <w:tcW w:w="1260" w:type="dxa"/>
            <w:tcBorders>
              <w:top w:val="nil"/>
              <w:left w:val="single" w:sz="8" w:space="0" w:color="auto"/>
              <w:bottom w:val="single" w:sz="4" w:space="0" w:color="auto"/>
              <w:right w:val="single" w:sz="4"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13</w:t>
            </w:r>
          </w:p>
        </w:tc>
        <w:tc>
          <w:tcPr>
            <w:tcW w:w="1260" w:type="dxa"/>
            <w:tcBorders>
              <w:top w:val="nil"/>
              <w:left w:val="nil"/>
              <w:bottom w:val="single" w:sz="4" w:space="0" w:color="auto"/>
              <w:right w:val="single" w:sz="4"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23</w:t>
            </w:r>
          </w:p>
        </w:tc>
        <w:tc>
          <w:tcPr>
            <w:tcW w:w="1260" w:type="dxa"/>
            <w:tcBorders>
              <w:top w:val="nil"/>
              <w:left w:val="nil"/>
              <w:bottom w:val="single" w:sz="4" w:space="0" w:color="auto"/>
              <w:right w:val="single" w:sz="8"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18</w:t>
            </w:r>
          </w:p>
        </w:tc>
      </w:tr>
      <w:tr w:rsidR="00012172">
        <w:trPr>
          <w:trHeight w:val="255"/>
        </w:trPr>
        <w:tc>
          <w:tcPr>
            <w:tcW w:w="3070" w:type="dxa"/>
            <w:tcBorders>
              <w:top w:val="nil"/>
              <w:left w:val="single" w:sz="8" w:space="0" w:color="auto"/>
              <w:bottom w:val="single" w:sz="4" w:space="0" w:color="auto"/>
              <w:right w:val="single" w:sz="4" w:space="0" w:color="auto"/>
            </w:tcBorders>
            <w:noWrap/>
            <w:vAlign w:val="bottom"/>
          </w:tcPr>
          <w:p w:rsidR="00012172" w:rsidRDefault="00012172">
            <w:pPr>
              <w:rPr>
                <w:rFonts w:ascii="Arial" w:hAnsi="Arial" w:cs="Arial"/>
                <w:sz w:val="20"/>
                <w:szCs w:val="20"/>
              </w:rPr>
            </w:pPr>
            <w:r>
              <w:rPr>
                <w:sz w:val="22"/>
              </w:rPr>
              <w:t>Deklešanec</w:t>
            </w:r>
          </w:p>
        </w:tc>
        <w:tc>
          <w:tcPr>
            <w:tcW w:w="1205" w:type="dxa"/>
            <w:tcBorders>
              <w:top w:val="nil"/>
              <w:left w:val="nil"/>
              <w:bottom w:val="single" w:sz="4" w:space="0" w:color="auto"/>
              <w:right w:val="single" w:sz="8" w:space="0" w:color="auto"/>
            </w:tcBorders>
          </w:tcPr>
          <w:p w:rsidR="00012172" w:rsidRDefault="00012172">
            <w:pPr>
              <w:jc w:val="center"/>
              <w:rPr>
                <w:sz w:val="22"/>
              </w:rPr>
            </w:pPr>
            <w:r>
              <w:rPr>
                <w:sz w:val="22"/>
              </w:rPr>
              <w:t>141</w:t>
            </w:r>
          </w:p>
        </w:tc>
        <w:tc>
          <w:tcPr>
            <w:tcW w:w="1147" w:type="dxa"/>
            <w:tcBorders>
              <w:top w:val="nil"/>
              <w:left w:val="single" w:sz="8" w:space="0" w:color="auto"/>
              <w:bottom w:val="single" w:sz="4" w:space="0" w:color="auto"/>
              <w:right w:val="single" w:sz="8" w:space="0" w:color="auto"/>
            </w:tcBorders>
            <w:vAlign w:val="center"/>
          </w:tcPr>
          <w:p w:rsidR="00012172" w:rsidRDefault="00012172">
            <w:pPr>
              <w:jc w:val="center"/>
              <w:rPr>
                <w:rFonts w:ascii="Arial" w:hAnsi="Arial" w:cs="Arial"/>
                <w:sz w:val="20"/>
                <w:szCs w:val="20"/>
              </w:rPr>
            </w:pPr>
            <w:r>
              <w:rPr>
                <w:rFonts w:ascii="Arial" w:hAnsi="Arial" w:cs="Arial"/>
                <w:sz w:val="20"/>
                <w:szCs w:val="20"/>
              </w:rPr>
              <w:t>133</w:t>
            </w:r>
          </w:p>
        </w:tc>
        <w:tc>
          <w:tcPr>
            <w:tcW w:w="1260" w:type="dxa"/>
            <w:tcBorders>
              <w:top w:val="nil"/>
              <w:left w:val="single" w:sz="8" w:space="0" w:color="auto"/>
              <w:bottom w:val="single" w:sz="4" w:space="0" w:color="auto"/>
              <w:right w:val="single" w:sz="4"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123</w:t>
            </w:r>
          </w:p>
        </w:tc>
        <w:tc>
          <w:tcPr>
            <w:tcW w:w="1260" w:type="dxa"/>
            <w:tcBorders>
              <w:top w:val="nil"/>
              <w:left w:val="nil"/>
              <w:bottom w:val="single" w:sz="4" w:space="0" w:color="auto"/>
              <w:right w:val="single" w:sz="4"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136</w:t>
            </w:r>
          </w:p>
        </w:tc>
        <w:tc>
          <w:tcPr>
            <w:tcW w:w="1260" w:type="dxa"/>
            <w:tcBorders>
              <w:top w:val="nil"/>
              <w:left w:val="nil"/>
              <w:bottom w:val="single" w:sz="4" w:space="0" w:color="auto"/>
              <w:right w:val="single" w:sz="8"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118</w:t>
            </w:r>
          </w:p>
        </w:tc>
      </w:tr>
      <w:tr w:rsidR="00012172">
        <w:trPr>
          <w:trHeight w:val="255"/>
        </w:trPr>
        <w:tc>
          <w:tcPr>
            <w:tcW w:w="3070" w:type="dxa"/>
            <w:tcBorders>
              <w:top w:val="nil"/>
              <w:left w:val="single" w:sz="8" w:space="0" w:color="auto"/>
              <w:bottom w:val="single" w:sz="4" w:space="0" w:color="auto"/>
              <w:right w:val="single" w:sz="4" w:space="0" w:color="auto"/>
            </w:tcBorders>
            <w:noWrap/>
            <w:vAlign w:val="bottom"/>
          </w:tcPr>
          <w:p w:rsidR="00012172" w:rsidRDefault="00012172">
            <w:pPr>
              <w:rPr>
                <w:rFonts w:ascii="Arial" w:hAnsi="Arial" w:cs="Arial"/>
                <w:sz w:val="20"/>
                <w:szCs w:val="20"/>
              </w:rPr>
            </w:pPr>
            <w:r>
              <w:rPr>
                <w:sz w:val="22"/>
              </w:rPr>
              <w:t>Donja Rijeka</w:t>
            </w:r>
          </w:p>
        </w:tc>
        <w:tc>
          <w:tcPr>
            <w:tcW w:w="1205" w:type="dxa"/>
            <w:tcBorders>
              <w:top w:val="nil"/>
              <w:left w:val="nil"/>
              <w:bottom w:val="single" w:sz="4" w:space="0" w:color="auto"/>
              <w:right w:val="single" w:sz="8" w:space="0" w:color="auto"/>
            </w:tcBorders>
          </w:tcPr>
          <w:p w:rsidR="00012172" w:rsidRDefault="00012172">
            <w:pPr>
              <w:jc w:val="center"/>
              <w:rPr>
                <w:sz w:val="22"/>
              </w:rPr>
            </w:pPr>
            <w:r>
              <w:rPr>
                <w:sz w:val="22"/>
              </w:rPr>
              <w:t>241</w:t>
            </w:r>
          </w:p>
        </w:tc>
        <w:tc>
          <w:tcPr>
            <w:tcW w:w="1147" w:type="dxa"/>
            <w:tcBorders>
              <w:top w:val="nil"/>
              <w:left w:val="single" w:sz="8" w:space="0" w:color="auto"/>
              <w:bottom w:val="single" w:sz="4" w:space="0" w:color="auto"/>
              <w:right w:val="single" w:sz="8" w:space="0" w:color="auto"/>
            </w:tcBorders>
            <w:vAlign w:val="center"/>
          </w:tcPr>
          <w:p w:rsidR="00012172" w:rsidRDefault="00012172">
            <w:pPr>
              <w:jc w:val="center"/>
              <w:rPr>
                <w:rFonts w:ascii="Arial" w:hAnsi="Arial" w:cs="Arial"/>
                <w:sz w:val="20"/>
                <w:szCs w:val="20"/>
              </w:rPr>
            </w:pPr>
            <w:r>
              <w:rPr>
                <w:rFonts w:ascii="Arial" w:hAnsi="Arial" w:cs="Arial"/>
                <w:sz w:val="20"/>
                <w:szCs w:val="20"/>
              </w:rPr>
              <w:t>208</w:t>
            </w:r>
          </w:p>
        </w:tc>
        <w:tc>
          <w:tcPr>
            <w:tcW w:w="1260" w:type="dxa"/>
            <w:tcBorders>
              <w:top w:val="nil"/>
              <w:left w:val="single" w:sz="8" w:space="0" w:color="auto"/>
              <w:bottom w:val="single" w:sz="4" w:space="0" w:color="auto"/>
              <w:right w:val="single" w:sz="4"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179</w:t>
            </w:r>
          </w:p>
        </w:tc>
        <w:tc>
          <w:tcPr>
            <w:tcW w:w="1260" w:type="dxa"/>
            <w:tcBorders>
              <w:top w:val="nil"/>
              <w:left w:val="nil"/>
              <w:bottom w:val="single" w:sz="4" w:space="0" w:color="auto"/>
              <w:right w:val="single" w:sz="4"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247</w:t>
            </w:r>
          </w:p>
        </w:tc>
        <w:tc>
          <w:tcPr>
            <w:tcW w:w="1260" w:type="dxa"/>
            <w:tcBorders>
              <w:top w:val="nil"/>
              <w:left w:val="nil"/>
              <w:bottom w:val="single" w:sz="4" w:space="0" w:color="auto"/>
              <w:right w:val="single" w:sz="8"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210</w:t>
            </w:r>
          </w:p>
        </w:tc>
      </w:tr>
      <w:tr w:rsidR="00012172">
        <w:trPr>
          <w:trHeight w:val="255"/>
        </w:trPr>
        <w:tc>
          <w:tcPr>
            <w:tcW w:w="3070" w:type="dxa"/>
            <w:tcBorders>
              <w:top w:val="nil"/>
              <w:left w:val="single" w:sz="8" w:space="0" w:color="auto"/>
              <w:bottom w:val="single" w:sz="4" w:space="0" w:color="auto"/>
              <w:right w:val="single" w:sz="4" w:space="0" w:color="auto"/>
            </w:tcBorders>
            <w:noWrap/>
            <w:vAlign w:val="bottom"/>
          </w:tcPr>
          <w:p w:rsidR="00012172" w:rsidRDefault="00012172">
            <w:pPr>
              <w:rPr>
                <w:rFonts w:ascii="Arial" w:hAnsi="Arial" w:cs="Arial"/>
                <w:sz w:val="20"/>
                <w:szCs w:val="20"/>
              </w:rPr>
            </w:pPr>
            <w:r>
              <w:rPr>
                <w:sz w:val="22"/>
              </w:rPr>
              <w:t>Dropkovec</w:t>
            </w:r>
          </w:p>
        </w:tc>
        <w:tc>
          <w:tcPr>
            <w:tcW w:w="1205" w:type="dxa"/>
            <w:tcBorders>
              <w:top w:val="nil"/>
              <w:left w:val="nil"/>
              <w:bottom w:val="single" w:sz="4" w:space="0" w:color="auto"/>
              <w:right w:val="single" w:sz="8" w:space="0" w:color="auto"/>
            </w:tcBorders>
          </w:tcPr>
          <w:p w:rsidR="00012172" w:rsidRDefault="00012172">
            <w:pPr>
              <w:jc w:val="center"/>
              <w:rPr>
                <w:sz w:val="22"/>
              </w:rPr>
            </w:pPr>
            <w:r>
              <w:rPr>
                <w:sz w:val="22"/>
              </w:rPr>
              <w:t>193</w:t>
            </w:r>
          </w:p>
        </w:tc>
        <w:tc>
          <w:tcPr>
            <w:tcW w:w="1147" w:type="dxa"/>
            <w:tcBorders>
              <w:top w:val="nil"/>
              <w:left w:val="single" w:sz="8" w:space="0" w:color="auto"/>
              <w:bottom w:val="single" w:sz="4" w:space="0" w:color="auto"/>
              <w:right w:val="single" w:sz="8" w:space="0" w:color="auto"/>
            </w:tcBorders>
            <w:vAlign w:val="center"/>
          </w:tcPr>
          <w:p w:rsidR="00012172" w:rsidRDefault="00012172">
            <w:pPr>
              <w:jc w:val="center"/>
              <w:rPr>
                <w:rFonts w:ascii="Arial" w:hAnsi="Arial" w:cs="Arial"/>
                <w:sz w:val="20"/>
                <w:szCs w:val="20"/>
              </w:rPr>
            </w:pPr>
            <w:r>
              <w:rPr>
                <w:rFonts w:ascii="Arial" w:hAnsi="Arial" w:cs="Arial"/>
                <w:sz w:val="20"/>
                <w:szCs w:val="20"/>
              </w:rPr>
              <w:t>168</w:t>
            </w:r>
          </w:p>
        </w:tc>
        <w:tc>
          <w:tcPr>
            <w:tcW w:w="1260" w:type="dxa"/>
            <w:tcBorders>
              <w:top w:val="nil"/>
              <w:left w:val="single" w:sz="8" w:space="0" w:color="auto"/>
              <w:bottom w:val="single" w:sz="4" w:space="0" w:color="auto"/>
              <w:right w:val="single" w:sz="4"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147</w:t>
            </w:r>
          </w:p>
        </w:tc>
        <w:tc>
          <w:tcPr>
            <w:tcW w:w="1260" w:type="dxa"/>
            <w:tcBorders>
              <w:top w:val="nil"/>
              <w:left w:val="nil"/>
              <w:bottom w:val="single" w:sz="4" w:space="0" w:color="auto"/>
              <w:right w:val="single" w:sz="4"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178</w:t>
            </w:r>
          </w:p>
        </w:tc>
        <w:tc>
          <w:tcPr>
            <w:tcW w:w="1260" w:type="dxa"/>
            <w:tcBorders>
              <w:top w:val="nil"/>
              <w:left w:val="nil"/>
              <w:bottom w:val="single" w:sz="4" w:space="0" w:color="auto"/>
              <w:right w:val="single" w:sz="8"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139</w:t>
            </w:r>
          </w:p>
        </w:tc>
      </w:tr>
      <w:tr w:rsidR="00012172">
        <w:trPr>
          <w:trHeight w:val="255"/>
        </w:trPr>
        <w:tc>
          <w:tcPr>
            <w:tcW w:w="3070" w:type="dxa"/>
            <w:tcBorders>
              <w:top w:val="nil"/>
              <w:left w:val="single" w:sz="8" w:space="0" w:color="auto"/>
              <w:bottom w:val="single" w:sz="4" w:space="0" w:color="auto"/>
              <w:right w:val="single" w:sz="4" w:space="0" w:color="auto"/>
            </w:tcBorders>
            <w:noWrap/>
            <w:vAlign w:val="bottom"/>
          </w:tcPr>
          <w:p w:rsidR="00012172" w:rsidRDefault="00012172">
            <w:pPr>
              <w:rPr>
                <w:rFonts w:ascii="Arial" w:hAnsi="Arial" w:cs="Arial"/>
                <w:sz w:val="20"/>
                <w:szCs w:val="20"/>
              </w:rPr>
            </w:pPr>
            <w:r>
              <w:rPr>
                <w:sz w:val="22"/>
              </w:rPr>
              <w:t>Fajerovec</w:t>
            </w:r>
          </w:p>
        </w:tc>
        <w:tc>
          <w:tcPr>
            <w:tcW w:w="1205" w:type="dxa"/>
            <w:tcBorders>
              <w:top w:val="nil"/>
              <w:left w:val="nil"/>
              <w:bottom w:val="single" w:sz="4" w:space="0" w:color="auto"/>
              <w:right w:val="single" w:sz="8" w:space="0" w:color="auto"/>
            </w:tcBorders>
          </w:tcPr>
          <w:p w:rsidR="00012172" w:rsidRDefault="00012172">
            <w:pPr>
              <w:jc w:val="center"/>
              <w:rPr>
                <w:sz w:val="22"/>
              </w:rPr>
            </w:pPr>
            <w:r>
              <w:rPr>
                <w:sz w:val="22"/>
              </w:rPr>
              <w:t>100</w:t>
            </w:r>
          </w:p>
        </w:tc>
        <w:tc>
          <w:tcPr>
            <w:tcW w:w="1147" w:type="dxa"/>
            <w:tcBorders>
              <w:top w:val="nil"/>
              <w:left w:val="single" w:sz="8" w:space="0" w:color="auto"/>
              <w:bottom w:val="single" w:sz="4" w:space="0" w:color="auto"/>
              <w:right w:val="single" w:sz="8" w:space="0" w:color="auto"/>
            </w:tcBorders>
            <w:vAlign w:val="center"/>
          </w:tcPr>
          <w:p w:rsidR="00012172" w:rsidRDefault="00012172">
            <w:pPr>
              <w:jc w:val="center"/>
              <w:rPr>
                <w:rFonts w:ascii="Arial" w:hAnsi="Arial" w:cs="Arial"/>
                <w:sz w:val="20"/>
                <w:szCs w:val="20"/>
              </w:rPr>
            </w:pPr>
            <w:r>
              <w:rPr>
                <w:rFonts w:ascii="Arial" w:hAnsi="Arial" w:cs="Arial"/>
                <w:sz w:val="20"/>
                <w:szCs w:val="20"/>
              </w:rPr>
              <w:t>89</w:t>
            </w:r>
          </w:p>
        </w:tc>
        <w:tc>
          <w:tcPr>
            <w:tcW w:w="1260" w:type="dxa"/>
            <w:tcBorders>
              <w:top w:val="nil"/>
              <w:left w:val="single" w:sz="8" w:space="0" w:color="auto"/>
              <w:bottom w:val="single" w:sz="4" w:space="0" w:color="auto"/>
              <w:right w:val="single" w:sz="4"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80</w:t>
            </w:r>
          </w:p>
        </w:tc>
        <w:tc>
          <w:tcPr>
            <w:tcW w:w="1260" w:type="dxa"/>
            <w:tcBorders>
              <w:top w:val="nil"/>
              <w:left w:val="nil"/>
              <w:bottom w:val="single" w:sz="4" w:space="0" w:color="auto"/>
              <w:right w:val="single" w:sz="4"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101</w:t>
            </w:r>
          </w:p>
        </w:tc>
        <w:tc>
          <w:tcPr>
            <w:tcW w:w="1260" w:type="dxa"/>
            <w:tcBorders>
              <w:top w:val="nil"/>
              <w:left w:val="nil"/>
              <w:bottom w:val="single" w:sz="4" w:space="0" w:color="auto"/>
              <w:right w:val="single" w:sz="8"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88</w:t>
            </w:r>
          </w:p>
        </w:tc>
      </w:tr>
      <w:tr w:rsidR="00012172">
        <w:trPr>
          <w:trHeight w:val="255"/>
        </w:trPr>
        <w:tc>
          <w:tcPr>
            <w:tcW w:w="3070" w:type="dxa"/>
            <w:tcBorders>
              <w:top w:val="nil"/>
              <w:left w:val="single" w:sz="8" w:space="0" w:color="auto"/>
              <w:bottom w:val="single" w:sz="4" w:space="0" w:color="auto"/>
              <w:right w:val="single" w:sz="4" w:space="0" w:color="auto"/>
            </w:tcBorders>
            <w:noWrap/>
            <w:vAlign w:val="bottom"/>
          </w:tcPr>
          <w:p w:rsidR="00012172" w:rsidRDefault="00012172">
            <w:pPr>
              <w:rPr>
                <w:rFonts w:ascii="Arial" w:hAnsi="Arial" w:cs="Arial"/>
                <w:sz w:val="20"/>
                <w:szCs w:val="20"/>
              </w:rPr>
            </w:pPr>
            <w:r>
              <w:rPr>
                <w:sz w:val="22"/>
              </w:rPr>
              <w:t>Fodrovec Riječki</w:t>
            </w:r>
          </w:p>
        </w:tc>
        <w:tc>
          <w:tcPr>
            <w:tcW w:w="1205" w:type="dxa"/>
            <w:tcBorders>
              <w:top w:val="nil"/>
              <w:left w:val="nil"/>
              <w:bottom w:val="single" w:sz="4" w:space="0" w:color="auto"/>
              <w:right w:val="single" w:sz="8" w:space="0" w:color="auto"/>
            </w:tcBorders>
          </w:tcPr>
          <w:p w:rsidR="00012172" w:rsidRDefault="00012172">
            <w:pPr>
              <w:jc w:val="center"/>
              <w:rPr>
                <w:sz w:val="22"/>
              </w:rPr>
            </w:pPr>
            <w:r>
              <w:rPr>
                <w:sz w:val="22"/>
              </w:rPr>
              <w:t>86</w:t>
            </w:r>
          </w:p>
        </w:tc>
        <w:tc>
          <w:tcPr>
            <w:tcW w:w="1147" w:type="dxa"/>
            <w:tcBorders>
              <w:top w:val="nil"/>
              <w:left w:val="single" w:sz="8" w:space="0" w:color="auto"/>
              <w:bottom w:val="single" w:sz="4" w:space="0" w:color="auto"/>
              <w:right w:val="single" w:sz="8" w:space="0" w:color="auto"/>
            </w:tcBorders>
            <w:vAlign w:val="center"/>
          </w:tcPr>
          <w:p w:rsidR="00012172" w:rsidRDefault="00012172">
            <w:pPr>
              <w:jc w:val="center"/>
              <w:rPr>
                <w:rFonts w:ascii="Arial" w:hAnsi="Arial" w:cs="Arial"/>
                <w:sz w:val="20"/>
                <w:szCs w:val="20"/>
              </w:rPr>
            </w:pPr>
            <w:r>
              <w:rPr>
                <w:rFonts w:ascii="Arial" w:hAnsi="Arial" w:cs="Arial"/>
                <w:sz w:val="20"/>
                <w:szCs w:val="20"/>
              </w:rPr>
              <w:t>82</w:t>
            </w:r>
          </w:p>
        </w:tc>
        <w:tc>
          <w:tcPr>
            <w:tcW w:w="1260" w:type="dxa"/>
            <w:tcBorders>
              <w:top w:val="nil"/>
              <w:left w:val="single" w:sz="8" w:space="0" w:color="auto"/>
              <w:bottom w:val="single" w:sz="4" w:space="0" w:color="auto"/>
              <w:right w:val="single" w:sz="4"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78</w:t>
            </w:r>
          </w:p>
        </w:tc>
        <w:tc>
          <w:tcPr>
            <w:tcW w:w="1260" w:type="dxa"/>
            <w:tcBorders>
              <w:top w:val="nil"/>
              <w:left w:val="nil"/>
              <w:bottom w:val="single" w:sz="4" w:space="0" w:color="auto"/>
              <w:right w:val="single" w:sz="4"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78</w:t>
            </w:r>
          </w:p>
        </w:tc>
        <w:tc>
          <w:tcPr>
            <w:tcW w:w="1260" w:type="dxa"/>
            <w:tcBorders>
              <w:top w:val="nil"/>
              <w:left w:val="nil"/>
              <w:bottom w:val="single" w:sz="4" w:space="0" w:color="auto"/>
              <w:right w:val="single" w:sz="8"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65</w:t>
            </w:r>
          </w:p>
        </w:tc>
      </w:tr>
      <w:tr w:rsidR="00012172">
        <w:trPr>
          <w:trHeight w:val="255"/>
        </w:trPr>
        <w:tc>
          <w:tcPr>
            <w:tcW w:w="3070" w:type="dxa"/>
            <w:tcBorders>
              <w:top w:val="nil"/>
              <w:left w:val="single" w:sz="8" w:space="0" w:color="auto"/>
              <w:bottom w:val="single" w:sz="4" w:space="0" w:color="auto"/>
              <w:right w:val="single" w:sz="4" w:space="0" w:color="auto"/>
            </w:tcBorders>
            <w:noWrap/>
            <w:vAlign w:val="bottom"/>
          </w:tcPr>
          <w:p w:rsidR="00012172" w:rsidRDefault="00012172">
            <w:pPr>
              <w:rPr>
                <w:rFonts w:ascii="Arial" w:hAnsi="Arial" w:cs="Arial"/>
                <w:sz w:val="20"/>
                <w:szCs w:val="20"/>
              </w:rPr>
            </w:pPr>
            <w:r>
              <w:rPr>
                <w:sz w:val="22"/>
                <w:lang w:val="de-DE"/>
              </w:rPr>
              <w:t>Gornja</w:t>
            </w:r>
            <w:r>
              <w:rPr>
                <w:sz w:val="22"/>
              </w:rPr>
              <w:t xml:space="preserve"> </w:t>
            </w:r>
            <w:r>
              <w:rPr>
                <w:sz w:val="22"/>
                <w:lang w:val="de-DE"/>
              </w:rPr>
              <w:t>Rijeka</w:t>
            </w:r>
          </w:p>
        </w:tc>
        <w:tc>
          <w:tcPr>
            <w:tcW w:w="1205" w:type="dxa"/>
            <w:tcBorders>
              <w:top w:val="nil"/>
              <w:left w:val="nil"/>
              <w:bottom w:val="single" w:sz="4" w:space="0" w:color="auto"/>
              <w:right w:val="single" w:sz="8" w:space="0" w:color="auto"/>
            </w:tcBorders>
          </w:tcPr>
          <w:p w:rsidR="00012172" w:rsidRDefault="00012172">
            <w:pPr>
              <w:jc w:val="center"/>
              <w:rPr>
                <w:sz w:val="22"/>
              </w:rPr>
            </w:pPr>
            <w:r>
              <w:rPr>
                <w:sz w:val="22"/>
              </w:rPr>
              <w:t>383</w:t>
            </w:r>
          </w:p>
        </w:tc>
        <w:tc>
          <w:tcPr>
            <w:tcW w:w="1147" w:type="dxa"/>
            <w:tcBorders>
              <w:top w:val="nil"/>
              <w:left w:val="single" w:sz="8" w:space="0" w:color="auto"/>
              <w:bottom w:val="single" w:sz="4" w:space="0" w:color="auto"/>
              <w:right w:val="single" w:sz="8" w:space="0" w:color="auto"/>
            </w:tcBorders>
            <w:vAlign w:val="center"/>
          </w:tcPr>
          <w:p w:rsidR="00012172" w:rsidRDefault="00012172">
            <w:pPr>
              <w:jc w:val="center"/>
              <w:rPr>
                <w:rFonts w:ascii="Arial" w:hAnsi="Arial" w:cs="Arial"/>
                <w:sz w:val="20"/>
                <w:szCs w:val="20"/>
              </w:rPr>
            </w:pPr>
            <w:r>
              <w:rPr>
                <w:rFonts w:ascii="Arial" w:hAnsi="Arial" w:cs="Arial"/>
                <w:sz w:val="20"/>
                <w:szCs w:val="20"/>
              </w:rPr>
              <w:t>330</w:t>
            </w:r>
          </w:p>
        </w:tc>
        <w:tc>
          <w:tcPr>
            <w:tcW w:w="1260" w:type="dxa"/>
            <w:tcBorders>
              <w:top w:val="nil"/>
              <w:left w:val="single" w:sz="8" w:space="0" w:color="auto"/>
              <w:bottom w:val="single" w:sz="4" w:space="0" w:color="auto"/>
              <w:right w:val="single" w:sz="4"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284</w:t>
            </w:r>
          </w:p>
        </w:tc>
        <w:tc>
          <w:tcPr>
            <w:tcW w:w="1260" w:type="dxa"/>
            <w:tcBorders>
              <w:top w:val="nil"/>
              <w:left w:val="nil"/>
              <w:bottom w:val="single" w:sz="4" w:space="0" w:color="auto"/>
              <w:right w:val="single" w:sz="4"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405</w:t>
            </w:r>
          </w:p>
        </w:tc>
        <w:tc>
          <w:tcPr>
            <w:tcW w:w="1260" w:type="dxa"/>
            <w:tcBorders>
              <w:top w:val="nil"/>
              <w:left w:val="nil"/>
              <w:bottom w:val="single" w:sz="4" w:space="0" w:color="auto"/>
              <w:right w:val="single" w:sz="8"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356</w:t>
            </w:r>
          </w:p>
        </w:tc>
      </w:tr>
      <w:tr w:rsidR="00012172">
        <w:trPr>
          <w:trHeight w:val="255"/>
        </w:trPr>
        <w:tc>
          <w:tcPr>
            <w:tcW w:w="3070" w:type="dxa"/>
            <w:tcBorders>
              <w:top w:val="nil"/>
              <w:left w:val="single" w:sz="8" w:space="0" w:color="auto"/>
              <w:bottom w:val="single" w:sz="4" w:space="0" w:color="auto"/>
              <w:right w:val="single" w:sz="4" w:space="0" w:color="auto"/>
            </w:tcBorders>
            <w:noWrap/>
            <w:vAlign w:val="bottom"/>
          </w:tcPr>
          <w:p w:rsidR="00012172" w:rsidRDefault="00012172">
            <w:pPr>
              <w:rPr>
                <w:rFonts w:ascii="Arial" w:hAnsi="Arial" w:cs="Arial"/>
                <w:sz w:val="20"/>
                <w:szCs w:val="20"/>
              </w:rPr>
            </w:pPr>
            <w:r>
              <w:rPr>
                <w:sz w:val="22"/>
                <w:lang w:val="de-DE"/>
              </w:rPr>
              <w:t>Kolarec</w:t>
            </w:r>
          </w:p>
        </w:tc>
        <w:tc>
          <w:tcPr>
            <w:tcW w:w="1205" w:type="dxa"/>
            <w:tcBorders>
              <w:top w:val="nil"/>
              <w:left w:val="nil"/>
              <w:bottom w:val="single" w:sz="4" w:space="0" w:color="auto"/>
              <w:right w:val="single" w:sz="8" w:space="0" w:color="auto"/>
            </w:tcBorders>
          </w:tcPr>
          <w:p w:rsidR="00012172" w:rsidRDefault="00012172">
            <w:pPr>
              <w:jc w:val="center"/>
              <w:rPr>
                <w:sz w:val="22"/>
              </w:rPr>
            </w:pPr>
            <w:r>
              <w:rPr>
                <w:sz w:val="22"/>
              </w:rPr>
              <w:t>184</w:t>
            </w:r>
          </w:p>
        </w:tc>
        <w:tc>
          <w:tcPr>
            <w:tcW w:w="1147" w:type="dxa"/>
            <w:tcBorders>
              <w:top w:val="nil"/>
              <w:left w:val="single" w:sz="8" w:space="0" w:color="auto"/>
              <w:bottom w:val="single" w:sz="4" w:space="0" w:color="auto"/>
              <w:right w:val="single" w:sz="8" w:space="0" w:color="auto"/>
            </w:tcBorders>
            <w:vAlign w:val="center"/>
          </w:tcPr>
          <w:p w:rsidR="00012172" w:rsidRDefault="00012172">
            <w:pPr>
              <w:jc w:val="center"/>
              <w:rPr>
                <w:rFonts w:ascii="Arial" w:hAnsi="Arial" w:cs="Arial"/>
                <w:sz w:val="20"/>
                <w:szCs w:val="20"/>
              </w:rPr>
            </w:pPr>
            <w:r>
              <w:rPr>
                <w:rFonts w:ascii="Arial" w:hAnsi="Arial" w:cs="Arial"/>
                <w:sz w:val="20"/>
                <w:szCs w:val="20"/>
              </w:rPr>
              <w:t>155</w:t>
            </w:r>
          </w:p>
        </w:tc>
        <w:tc>
          <w:tcPr>
            <w:tcW w:w="1260" w:type="dxa"/>
            <w:tcBorders>
              <w:top w:val="nil"/>
              <w:left w:val="single" w:sz="8" w:space="0" w:color="auto"/>
              <w:bottom w:val="single" w:sz="4" w:space="0" w:color="auto"/>
              <w:right w:val="single" w:sz="4"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131</w:t>
            </w:r>
          </w:p>
        </w:tc>
        <w:tc>
          <w:tcPr>
            <w:tcW w:w="1260" w:type="dxa"/>
            <w:tcBorders>
              <w:top w:val="nil"/>
              <w:left w:val="nil"/>
              <w:bottom w:val="single" w:sz="4" w:space="0" w:color="auto"/>
              <w:right w:val="single" w:sz="4"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186</w:t>
            </w:r>
          </w:p>
        </w:tc>
        <w:tc>
          <w:tcPr>
            <w:tcW w:w="1260" w:type="dxa"/>
            <w:tcBorders>
              <w:top w:val="nil"/>
              <w:left w:val="nil"/>
              <w:bottom w:val="single" w:sz="4" w:space="0" w:color="auto"/>
              <w:right w:val="single" w:sz="8"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154</w:t>
            </w:r>
          </w:p>
        </w:tc>
      </w:tr>
      <w:tr w:rsidR="00012172">
        <w:trPr>
          <w:trHeight w:val="255"/>
        </w:trPr>
        <w:tc>
          <w:tcPr>
            <w:tcW w:w="3070" w:type="dxa"/>
            <w:tcBorders>
              <w:top w:val="nil"/>
              <w:left w:val="single" w:sz="8" w:space="0" w:color="auto"/>
              <w:bottom w:val="single" w:sz="4" w:space="0" w:color="auto"/>
              <w:right w:val="single" w:sz="4" w:space="0" w:color="auto"/>
            </w:tcBorders>
            <w:noWrap/>
            <w:vAlign w:val="bottom"/>
          </w:tcPr>
          <w:p w:rsidR="00012172" w:rsidRDefault="00012172">
            <w:pPr>
              <w:rPr>
                <w:rFonts w:ascii="Arial" w:hAnsi="Arial" w:cs="Arial"/>
                <w:sz w:val="20"/>
                <w:szCs w:val="20"/>
              </w:rPr>
            </w:pPr>
            <w:r>
              <w:rPr>
                <w:sz w:val="22"/>
                <w:lang w:val="de-DE"/>
              </w:rPr>
              <w:t>Kostanjevec</w:t>
            </w:r>
            <w:r>
              <w:rPr>
                <w:sz w:val="22"/>
              </w:rPr>
              <w:t xml:space="preserve"> </w:t>
            </w:r>
            <w:r>
              <w:rPr>
                <w:sz w:val="22"/>
                <w:lang w:val="de-DE"/>
              </w:rPr>
              <w:t>Rije</w:t>
            </w:r>
            <w:r>
              <w:rPr>
                <w:sz w:val="22"/>
              </w:rPr>
              <w:t>č</w:t>
            </w:r>
            <w:r>
              <w:rPr>
                <w:sz w:val="22"/>
                <w:lang w:val="de-DE"/>
              </w:rPr>
              <w:t>ki</w:t>
            </w:r>
          </w:p>
        </w:tc>
        <w:tc>
          <w:tcPr>
            <w:tcW w:w="1205" w:type="dxa"/>
            <w:tcBorders>
              <w:top w:val="nil"/>
              <w:left w:val="nil"/>
              <w:bottom w:val="single" w:sz="4" w:space="0" w:color="auto"/>
              <w:right w:val="single" w:sz="8" w:space="0" w:color="auto"/>
            </w:tcBorders>
          </w:tcPr>
          <w:p w:rsidR="00012172" w:rsidRDefault="00012172">
            <w:pPr>
              <w:jc w:val="center"/>
              <w:rPr>
                <w:sz w:val="22"/>
              </w:rPr>
            </w:pPr>
            <w:r>
              <w:rPr>
                <w:sz w:val="22"/>
              </w:rPr>
              <w:t>285</w:t>
            </w:r>
          </w:p>
        </w:tc>
        <w:tc>
          <w:tcPr>
            <w:tcW w:w="1147" w:type="dxa"/>
            <w:tcBorders>
              <w:top w:val="nil"/>
              <w:left w:val="single" w:sz="8" w:space="0" w:color="auto"/>
              <w:bottom w:val="single" w:sz="4" w:space="0" w:color="auto"/>
              <w:right w:val="single" w:sz="8" w:space="0" w:color="auto"/>
            </w:tcBorders>
            <w:vAlign w:val="center"/>
          </w:tcPr>
          <w:p w:rsidR="00012172" w:rsidRDefault="00012172">
            <w:pPr>
              <w:jc w:val="center"/>
              <w:rPr>
                <w:rFonts w:ascii="Arial" w:hAnsi="Arial" w:cs="Arial"/>
                <w:sz w:val="20"/>
                <w:szCs w:val="20"/>
              </w:rPr>
            </w:pPr>
            <w:r>
              <w:rPr>
                <w:rFonts w:ascii="Arial" w:hAnsi="Arial" w:cs="Arial"/>
                <w:sz w:val="20"/>
                <w:szCs w:val="20"/>
              </w:rPr>
              <w:t>257</w:t>
            </w:r>
          </w:p>
        </w:tc>
        <w:tc>
          <w:tcPr>
            <w:tcW w:w="1260" w:type="dxa"/>
            <w:tcBorders>
              <w:top w:val="nil"/>
              <w:left w:val="single" w:sz="8" w:space="0" w:color="auto"/>
              <w:bottom w:val="single" w:sz="4" w:space="0" w:color="auto"/>
              <w:right w:val="single" w:sz="4"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232</w:t>
            </w:r>
          </w:p>
        </w:tc>
        <w:tc>
          <w:tcPr>
            <w:tcW w:w="1260" w:type="dxa"/>
            <w:tcBorders>
              <w:top w:val="nil"/>
              <w:left w:val="nil"/>
              <w:bottom w:val="single" w:sz="4" w:space="0" w:color="auto"/>
              <w:right w:val="single" w:sz="4"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160</w:t>
            </w:r>
          </w:p>
        </w:tc>
        <w:tc>
          <w:tcPr>
            <w:tcW w:w="1260" w:type="dxa"/>
            <w:tcBorders>
              <w:top w:val="nil"/>
              <w:left w:val="nil"/>
              <w:bottom w:val="single" w:sz="4" w:space="0" w:color="auto"/>
              <w:right w:val="single" w:sz="8"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208</w:t>
            </w:r>
          </w:p>
        </w:tc>
      </w:tr>
      <w:tr w:rsidR="00012172">
        <w:trPr>
          <w:trHeight w:val="255"/>
        </w:trPr>
        <w:tc>
          <w:tcPr>
            <w:tcW w:w="3070" w:type="dxa"/>
            <w:tcBorders>
              <w:top w:val="nil"/>
              <w:left w:val="single" w:sz="8" w:space="0" w:color="auto"/>
              <w:bottom w:val="single" w:sz="4" w:space="0" w:color="auto"/>
              <w:right w:val="single" w:sz="4" w:space="0" w:color="auto"/>
            </w:tcBorders>
            <w:noWrap/>
            <w:vAlign w:val="bottom"/>
          </w:tcPr>
          <w:p w:rsidR="00012172" w:rsidRDefault="00012172">
            <w:pPr>
              <w:rPr>
                <w:rFonts w:ascii="Arial" w:hAnsi="Arial" w:cs="Arial"/>
                <w:sz w:val="20"/>
                <w:szCs w:val="20"/>
              </w:rPr>
            </w:pPr>
            <w:r>
              <w:rPr>
                <w:sz w:val="22"/>
                <w:lang w:val="de-DE"/>
              </w:rPr>
              <w:t>Luka</w:t>
            </w:r>
            <w:r>
              <w:rPr>
                <w:sz w:val="22"/>
              </w:rPr>
              <w:t>č</w:t>
            </w:r>
            <w:r>
              <w:rPr>
                <w:sz w:val="22"/>
                <w:lang w:val="de-DE"/>
              </w:rPr>
              <w:t>evec</w:t>
            </w:r>
          </w:p>
        </w:tc>
        <w:tc>
          <w:tcPr>
            <w:tcW w:w="1205" w:type="dxa"/>
            <w:tcBorders>
              <w:top w:val="nil"/>
              <w:left w:val="nil"/>
              <w:bottom w:val="single" w:sz="4" w:space="0" w:color="auto"/>
              <w:right w:val="single" w:sz="8" w:space="0" w:color="auto"/>
            </w:tcBorders>
          </w:tcPr>
          <w:p w:rsidR="00012172" w:rsidRDefault="00012172">
            <w:pPr>
              <w:jc w:val="center"/>
              <w:rPr>
                <w:sz w:val="22"/>
              </w:rPr>
            </w:pPr>
            <w:r>
              <w:rPr>
                <w:sz w:val="22"/>
              </w:rPr>
              <w:t>25</w:t>
            </w:r>
          </w:p>
        </w:tc>
        <w:tc>
          <w:tcPr>
            <w:tcW w:w="1147" w:type="dxa"/>
            <w:tcBorders>
              <w:top w:val="nil"/>
              <w:left w:val="single" w:sz="8" w:space="0" w:color="auto"/>
              <w:bottom w:val="single" w:sz="4" w:space="0" w:color="auto"/>
              <w:right w:val="single" w:sz="8" w:space="0" w:color="auto"/>
            </w:tcBorders>
            <w:vAlign w:val="center"/>
          </w:tcPr>
          <w:p w:rsidR="00012172" w:rsidRDefault="00012172">
            <w:pPr>
              <w:jc w:val="center"/>
              <w:rPr>
                <w:rFonts w:ascii="Arial" w:hAnsi="Arial" w:cs="Arial"/>
                <w:sz w:val="20"/>
                <w:szCs w:val="20"/>
              </w:rPr>
            </w:pPr>
            <w:r>
              <w:rPr>
                <w:rFonts w:ascii="Arial" w:hAnsi="Arial" w:cs="Arial"/>
                <w:sz w:val="20"/>
                <w:szCs w:val="20"/>
              </w:rPr>
              <w:t>19</w:t>
            </w:r>
          </w:p>
        </w:tc>
        <w:tc>
          <w:tcPr>
            <w:tcW w:w="1260" w:type="dxa"/>
            <w:tcBorders>
              <w:top w:val="nil"/>
              <w:left w:val="single" w:sz="8" w:space="0" w:color="auto"/>
              <w:bottom w:val="single" w:sz="4" w:space="0" w:color="auto"/>
              <w:right w:val="single" w:sz="4"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15</w:t>
            </w:r>
          </w:p>
        </w:tc>
        <w:tc>
          <w:tcPr>
            <w:tcW w:w="1260" w:type="dxa"/>
            <w:tcBorders>
              <w:top w:val="nil"/>
              <w:left w:val="nil"/>
              <w:bottom w:val="single" w:sz="4" w:space="0" w:color="auto"/>
              <w:right w:val="single" w:sz="4"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24</w:t>
            </w:r>
          </w:p>
        </w:tc>
        <w:tc>
          <w:tcPr>
            <w:tcW w:w="1260" w:type="dxa"/>
            <w:tcBorders>
              <w:top w:val="nil"/>
              <w:left w:val="nil"/>
              <w:bottom w:val="single" w:sz="4" w:space="0" w:color="auto"/>
              <w:right w:val="single" w:sz="8"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16</w:t>
            </w:r>
          </w:p>
        </w:tc>
      </w:tr>
      <w:tr w:rsidR="00012172">
        <w:trPr>
          <w:trHeight w:val="255"/>
        </w:trPr>
        <w:tc>
          <w:tcPr>
            <w:tcW w:w="3070" w:type="dxa"/>
            <w:tcBorders>
              <w:top w:val="nil"/>
              <w:left w:val="single" w:sz="8" w:space="0" w:color="auto"/>
              <w:bottom w:val="single" w:sz="4" w:space="0" w:color="auto"/>
              <w:right w:val="single" w:sz="4" w:space="0" w:color="auto"/>
            </w:tcBorders>
            <w:noWrap/>
            <w:vAlign w:val="bottom"/>
          </w:tcPr>
          <w:p w:rsidR="00012172" w:rsidRDefault="00012172">
            <w:pPr>
              <w:rPr>
                <w:rFonts w:ascii="Arial" w:hAnsi="Arial" w:cs="Arial"/>
                <w:sz w:val="20"/>
                <w:szCs w:val="20"/>
              </w:rPr>
            </w:pPr>
            <w:r>
              <w:rPr>
                <w:sz w:val="22"/>
              </w:rPr>
              <w:t>Nemčevec</w:t>
            </w:r>
          </w:p>
        </w:tc>
        <w:tc>
          <w:tcPr>
            <w:tcW w:w="1205" w:type="dxa"/>
            <w:tcBorders>
              <w:top w:val="nil"/>
              <w:left w:val="nil"/>
              <w:bottom w:val="single" w:sz="4" w:space="0" w:color="auto"/>
              <w:right w:val="single" w:sz="8" w:space="0" w:color="auto"/>
            </w:tcBorders>
          </w:tcPr>
          <w:p w:rsidR="00012172" w:rsidRDefault="00012172">
            <w:pPr>
              <w:jc w:val="center"/>
              <w:rPr>
                <w:sz w:val="22"/>
              </w:rPr>
            </w:pPr>
            <w:r>
              <w:rPr>
                <w:sz w:val="22"/>
              </w:rPr>
              <w:t>29</w:t>
            </w:r>
          </w:p>
        </w:tc>
        <w:tc>
          <w:tcPr>
            <w:tcW w:w="1147" w:type="dxa"/>
            <w:tcBorders>
              <w:top w:val="nil"/>
              <w:left w:val="single" w:sz="8" w:space="0" w:color="auto"/>
              <w:bottom w:val="single" w:sz="4" w:space="0" w:color="auto"/>
              <w:right w:val="single" w:sz="8" w:space="0" w:color="auto"/>
            </w:tcBorders>
            <w:vAlign w:val="center"/>
          </w:tcPr>
          <w:p w:rsidR="00012172" w:rsidRDefault="00012172">
            <w:pPr>
              <w:jc w:val="center"/>
              <w:rPr>
                <w:rFonts w:ascii="Arial" w:hAnsi="Arial" w:cs="Arial"/>
                <w:sz w:val="20"/>
                <w:szCs w:val="20"/>
              </w:rPr>
            </w:pPr>
            <w:r>
              <w:rPr>
                <w:rFonts w:ascii="Arial" w:hAnsi="Arial" w:cs="Arial"/>
                <w:sz w:val="20"/>
                <w:szCs w:val="20"/>
              </w:rPr>
              <w:t>19</w:t>
            </w:r>
          </w:p>
        </w:tc>
        <w:tc>
          <w:tcPr>
            <w:tcW w:w="1260" w:type="dxa"/>
            <w:tcBorders>
              <w:top w:val="nil"/>
              <w:left w:val="single" w:sz="8" w:space="0" w:color="auto"/>
              <w:bottom w:val="single" w:sz="4" w:space="0" w:color="auto"/>
              <w:right w:val="single" w:sz="4"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12</w:t>
            </w:r>
          </w:p>
        </w:tc>
        <w:tc>
          <w:tcPr>
            <w:tcW w:w="1260" w:type="dxa"/>
            <w:tcBorders>
              <w:top w:val="nil"/>
              <w:left w:val="nil"/>
              <w:bottom w:val="single" w:sz="4" w:space="0" w:color="auto"/>
              <w:right w:val="single" w:sz="4"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34</w:t>
            </w:r>
          </w:p>
        </w:tc>
        <w:tc>
          <w:tcPr>
            <w:tcW w:w="1260" w:type="dxa"/>
            <w:tcBorders>
              <w:top w:val="nil"/>
              <w:left w:val="nil"/>
              <w:bottom w:val="single" w:sz="4" w:space="0" w:color="auto"/>
              <w:right w:val="single" w:sz="8"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24</w:t>
            </w:r>
          </w:p>
        </w:tc>
      </w:tr>
      <w:tr w:rsidR="00012172">
        <w:trPr>
          <w:trHeight w:val="270"/>
        </w:trPr>
        <w:tc>
          <w:tcPr>
            <w:tcW w:w="3070" w:type="dxa"/>
            <w:tcBorders>
              <w:top w:val="nil"/>
              <w:left w:val="single" w:sz="8" w:space="0" w:color="auto"/>
              <w:bottom w:val="single" w:sz="8" w:space="0" w:color="auto"/>
              <w:right w:val="single" w:sz="4" w:space="0" w:color="auto"/>
            </w:tcBorders>
            <w:noWrap/>
            <w:vAlign w:val="bottom"/>
          </w:tcPr>
          <w:p w:rsidR="00012172" w:rsidRDefault="00012172">
            <w:pPr>
              <w:rPr>
                <w:rFonts w:ascii="Arial" w:hAnsi="Arial" w:cs="Arial"/>
                <w:b/>
                <w:bCs/>
                <w:sz w:val="20"/>
                <w:szCs w:val="20"/>
              </w:rPr>
            </w:pPr>
            <w:r>
              <w:rPr>
                <w:sz w:val="22"/>
              </w:rPr>
              <w:t>Pofuki</w:t>
            </w:r>
          </w:p>
        </w:tc>
        <w:tc>
          <w:tcPr>
            <w:tcW w:w="1205" w:type="dxa"/>
            <w:tcBorders>
              <w:top w:val="nil"/>
              <w:left w:val="nil"/>
              <w:bottom w:val="single" w:sz="8" w:space="0" w:color="auto"/>
              <w:right w:val="single" w:sz="8" w:space="0" w:color="auto"/>
            </w:tcBorders>
          </w:tcPr>
          <w:p w:rsidR="00012172" w:rsidRDefault="00012172">
            <w:pPr>
              <w:jc w:val="center"/>
              <w:rPr>
                <w:sz w:val="22"/>
              </w:rPr>
            </w:pPr>
            <w:r>
              <w:rPr>
                <w:sz w:val="22"/>
              </w:rPr>
              <w:t>221</w:t>
            </w:r>
          </w:p>
        </w:tc>
        <w:tc>
          <w:tcPr>
            <w:tcW w:w="1147" w:type="dxa"/>
            <w:tcBorders>
              <w:top w:val="nil"/>
              <w:left w:val="single" w:sz="8" w:space="0" w:color="auto"/>
              <w:bottom w:val="single" w:sz="8" w:space="0" w:color="auto"/>
              <w:right w:val="single" w:sz="8" w:space="0" w:color="auto"/>
            </w:tcBorders>
            <w:vAlign w:val="center"/>
          </w:tcPr>
          <w:p w:rsidR="00012172" w:rsidRDefault="00012172">
            <w:pPr>
              <w:jc w:val="center"/>
              <w:rPr>
                <w:rFonts w:ascii="Arial" w:hAnsi="Arial" w:cs="Arial"/>
                <w:sz w:val="20"/>
                <w:szCs w:val="20"/>
              </w:rPr>
            </w:pPr>
            <w:r>
              <w:rPr>
                <w:rFonts w:ascii="Arial" w:hAnsi="Arial" w:cs="Arial"/>
                <w:sz w:val="20"/>
                <w:szCs w:val="20"/>
              </w:rPr>
              <w:t>204</w:t>
            </w:r>
          </w:p>
        </w:tc>
        <w:tc>
          <w:tcPr>
            <w:tcW w:w="1260" w:type="dxa"/>
            <w:tcBorders>
              <w:top w:val="nil"/>
              <w:left w:val="single" w:sz="8" w:space="0" w:color="auto"/>
              <w:bottom w:val="single" w:sz="8" w:space="0" w:color="auto"/>
              <w:right w:val="single" w:sz="4"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188</w:t>
            </w:r>
          </w:p>
        </w:tc>
        <w:tc>
          <w:tcPr>
            <w:tcW w:w="1260" w:type="dxa"/>
            <w:tcBorders>
              <w:top w:val="nil"/>
              <w:left w:val="nil"/>
              <w:bottom w:val="single" w:sz="8" w:space="0" w:color="auto"/>
              <w:right w:val="single" w:sz="4"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213</w:t>
            </w:r>
          </w:p>
        </w:tc>
        <w:tc>
          <w:tcPr>
            <w:tcW w:w="1260" w:type="dxa"/>
            <w:tcBorders>
              <w:top w:val="nil"/>
              <w:left w:val="nil"/>
              <w:bottom w:val="single" w:sz="8" w:space="0" w:color="auto"/>
              <w:right w:val="single" w:sz="8"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184</w:t>
            </w:r>
          </w:p>
        </w:tc>
      </w:tr>
      <w:tr w:rsidR="00012172">
        <w:trPr>
          <w:trHeight w:val="270"/>
        </w:trPr>
        <w:tc>
          <w:tcPr>
            <w:tcW w:w="3070" w:type="dxa"/>
            <w:tcBorders>
              <w:top w:val="nil"/>
              <w:left w:val="single" w:sz="8" w:space="0" w:color="auto"/>
              <w:bottom w:val="single" w:sz="8" w:space="0" w:color="auto"/>
              <w:right w:val="single" w:sz="4" w:space="0" w:color="auto"/>
            </w:tcBorders>
            <w:noWrap/>
            <w:vAlign w:val="bottom"/>
          </w:tcPr>
          <w:p w:rsidR="00012172" w:rsidRDefault="00012172">
            <w:pPr>
              <w:rPr>
                <w:rFonts w:ascii="Arial" w:hAnsi="Arial" w:cs="Arial"/>
                <w:b/>
                <w:bCs/>
                <w:sz w:val="20"/>
                <w:szCs w:val="20"/>
              </w:rPr>
            </w:pPr>
            <w:r>
              <w:rPr>
                <w:sz w:val="22"/>
              </w:rPr>
              <w:t>Štrigovec</w:t>
            </w:r>
          </w:p>
        </w:tc>
        <w:tc>
          <w:tcPr>
            <w:tcW w:w="1205" w:type="dxa"/>
            <w:tcBorders>
              <w:top w:val="nil"/>
              <w:left w:val="nil"/>
              <w:bottom w:val="single" w:sz="8" w:space="0" w:color="auto"/>
              <w:right w:val="single" w:sz="8" w:space="0" w:color="auto"/>
            </w:tcBorders>
          </w:tcPr>
          <w:p w:rsidR="00012172" w:rsidRDefault="00012172">
            <w:pPr>
              <w:jc w:val="center"/>
              <w:rPr>
                <w:sz w:val="22"/>
              </w:rPr>
            </w:pPr>
            <w:r>
              <w:rPr>
                <w:sz w:val="22"/>
              </w:rPr>
              <w:t>42</w:t>
            </w:r>
          </w:p>
        </w:tc>
        <w:tc>
          <w:tcPr>
            <w:tcW w:w="1147" w:type="dxa"/>
            <w:tcBorders>
              <w:top w:val="nil"/>
              <w:left w:val="single" w:sz="8" w:space="0" w:color="auto"/>
              <w:bottom w:val="single" w:sz="8" w:space="0" w:color="auto"/>
              <w:right w:val="single" w:sz="8" w:space="0" w:color="auto"/>
            </w:tcBorders>
            <w:vAlign w:val="center"/>
          </w:tcPr>
          <w:p w:rsidR="00012172" w:rsidRDefault="00012172">
            <w:pPr>
              <w:jc w:val="center"/>
              <w:rPr>
                <w:rFonts w:ascii="Arial" w:hAnsi="Arial" w:cs="Arial"/>
                <w:sz w:val="20"/>
                <w:szCs w:val="20"/>
              </w:rPr>
            </w:pPr>
            <w:r>
              <w:rPr>
                <w:rFonts w:ascii="Arial" w:hAnsi="Arial" w:cs="Arial"/>
                <w:sz w:val="20"/>
                <w:szCs w:val="20"/>
              </w:rPr>
              <w:t>35</w:t>
            </w:r>
          </w:p>
        </w:tc>
        <w:tc>
          <w:tcPr>
            <w:tcW w:w="1260" w:type="dxa"/>
            <w:tcBorders>
              <w:top w:val="nil"/>
              <w:left w:val="single" w:sz="8" w:space="0" w:color="auto"/>
              <w:bottom w:val="single" w:sz="8" w:space="0" w:color="auto"/>
              <w:right w:val="single" w:sz="4"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30</w:t>
            </w:r>
          </w:p>
        </w:tc>
        <w:tc>
          <w:tcPr>
            <w:tcW w:w="1260" w:type="dxa"/>
            <w:tcBorders>
              <w:top w:val="nil"/>
              <w:left w:val="nil"/>
              <w:bottom w:val="single" w:sz="8" w:space="0" w:color="auto"/>
              <w:right w:val="single" w:sz="4"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47</w:t>
            </w:r>
          </w:p>
        </w:tc>
        <w:tc>
          <w:tcPr>
            <w:tcW w:w="1260" w:type="dxa"/>
            <w:tcBorders>
              <w:top w:val="nil"/>
              <w:left w:val="nil"/>
              <w:bottom w:val="single" w:sz="8" w:space="0" w:color="auto"/>
              <w:right w:val="single" w:sz="8"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42</w:t>
            </w:r>
          </w:p>
        </w:tc>
      </w:tr>
      <w:tr w:rsidR="00012172">
        <w:trPr>
          <w:trHeight w:val="270"/>
        </w:trPr>
        <w:tc>
          <w:tcPr>
            <w:tcW w:w="3070" w:type="dxa"/>
            <w:tcBorders>
              <w:top w:val="nil"/>
              <w:left w:val="single" w:sz="8" w:space="0" w:color="auto"/>
              <w:bottom w:val="single" w:sz="8" w:space="0" w:color="auto"/>
              <w:right w:val="single" w:sz="4" w:space="0" w:color="auto"/>
            </w:tcBorders>
            <w:noWrap/>
            <w:vAlign w:val="bottom"/>
          </w:tcPr>
          <w:p w:rsidR="00012172" w:rsidRDefault="00012172">
            <w:pPr>
              <w:rPr>
                <w:rFonts w:ascii="Arial" w:hAnsi="Arial" w:cs="Arial"/>
                <w:b/>
                <w:bCs/>
                <w:sz w:val="20"/>
                <w:szCs w:val="20"/>
              </w:rPr>
            </w:pPr>
            <w:r>
              <w:rPr>
                <w:sz w:val="22"/>
              </w:rPr>
              <w:t>Vukšinec Riječki</w:t>
            </w:r>
          </w:p>
        </w:tc>
        <w:tc>
          <w:tcPr>
            <w:tcW w:w="1205" w:type="dxa"/>
            <w:tcBorders>
              <w:top w:val="nil"/>
              <w:left w:val="nil"/>
              <w:bottom w:val="single" w:sz="8" w:space="0" w:color="auto"/>
              <w:right w:val="single" w:sz="8" w:space="0" w:color="auto"/>
            </w:tcBorders>
          </w:tcPr>
          <w:p w:rsidR="00012172" w:rsidRDefault="00012172">
            <w:pPr>
              <w:jc w:val="center"/>
              <w:rPr>
                <w:sz w:val="22"/>
              </w:rPr>
            </w:pPr>
            <w:r>
              <w:rPr>
                <w:sz w:val="22"/>
              </w:rPr>
              <w:t>83</w:t>
            </w:r>
          </w:p>
        </w:tc>
        <w:tc>
          <w:tcPr>
            <w:tcW w:w="1147" w:type="dxa"/>
            <w:tcBorders>
              <w:top w:val="nil"/>
              <w:left w:val="single" w:sz="8" w:space="0" w:color="auto"/>
              <w:bottom w:val="single" w:sz="8" w:space="0" w:color="auto"/>
              <w:right w:val="single" w:sz="8" w:space="0" w:color="auto"/>
            </w:tcBorders>
            <w:vAlign w:val="center"/>
          </w:tcPr>
          <w:p w:rsidR="00012172" w:rsidRDefault="00012172">
            <w:pPr>
              <w:jc w:val="center"/>
              <w:rPr>
                <w:rFonts w:ascii="Arial" w:hAnsi="Arial" w:cs="Arial"/>
                <w:sz w:val="20"/>
                <w:szCs w:val="20"/>
              </w:rPr>
            </w:pPr>
            <w:r>
              <w:rPr>
                <w:rFonts w:ascii="Arial" w:hAnsi="Arial" w:cs="Arial"/>
                <w:sz w:val="20"/>
                <w:szCs w:val="20"/>
              </w:rPr>
              <w:t>81</w:t>
            </w:r>
          </w:p>
        </w:tc>
        <w:tc>
          <w:tcPr>
            <w:tcW w:w="1260" w:type="dxa"/>
            <w:tcBorders>
              <w:top w:val="nil"/>
              <w:left w:val="single" w:sz="8" w:space="0" w:color="auto"/>
              <w:bottom w:val="single" w:sz="8" w:space="0" w:color="auto"/>
              <w:right w:val="single" w:sz="4"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79</w:t>
            </w:r>
          </w:p>
        </w:tc>
        <w:tc>
          <w:tcPr>
            <w:tcW w:w="1260" w:type="dxa"/>
            <w:tcBorders>
              <w:top w:val="nil"/>
              <w:left w:val="nil"/>
              <w:bottom w:val="single" w:sz="8" w:space="0" w:color="auto"/>
              <w:right w:val="single" w:sz="4"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83</w:t>
            </w:r>
          </w:p>
        </w:tc>
        <w:tc>
          <w:tcPr>
            <w:tcW w:w="1260" w:type="dxa"/>
            <w:tcBorders>
              <w:top w:val="nil"/>
              <w:left w:val="nil"/>
              <w:bottom w:val="single" w:sz="8" w:space="0" w:color="auto"/>
              <w:right w:val="single" w:sz="8" w:space="0" w:color="auto"/>
            </w:tcBorders>
            <w:noWrap/>
            <w:vAlign w:val="center"/>
          </w:tcPr>
          <w:p w:rsidR="00012172" w:rsidRDefault="00012172">
            <w:pPr>
              <w:jc w:val="center"/>
              <w:rPr>
                <w:rFonts w:ascii="Arial" w:hAnsi="Arial" w:cs="Arial"/>
                <w:sz w:val="20"/>
                <w:szCs w:val="20"/>
              </w:rPr>
            </w:pPr>
            <w:r>
              <w:rPr>
                <w:rFonts w:ascii="Arial" w:hAnsi="Arial" w:cs="Arial"/>
                <w:sz w:val="20"/>
                <w:szCs w:val="20"/>
              </w:rPr>
              <w:t>69</w:t>
            </w:r>
          </w:p>
        </w:tc>
      </w:tr>
      <w:tr w:rsidR="00012172">
        <w:trPr>
          <w:trHeight w:val="270"/>
        </w:trPr>
        <w:tc>
          <w:tcPr>
            <w:tcW w:w="3070" w:type="dxa"/>
            <w:tcBorders>
              <w:top w:val="nil"/>
              <w:left w:val="single" w:sz="8" w:space="0" w:color="auto"/>
              <w:bottom w:val="single" w:sz="8" w:space="0" w:color="auto"/>
              <w:right w:val="single" w:sz="4" w:space="0" w:color="auto"/>
            </w:tcBorders>
            <w:noWrap/>
            <w:vAlign w:val="bottom"/>
          </w:tcPr>
          <w:p w:rsidR="00012172" w:rsidRDefault="00012172">
            <w:pPr>
              <w:pStyle w:val="Naslov6"/>
              <w:rPr>
                <w:rFonts w:ascii="Times New Roman" w:hAnsi="Times New Roman"/>
                <w:szCs w:val="20"/>
              </w:rPr>
            </w:pPr>
            <w:r>
              <w:rPr>
                <w:rFonts w:ascii="Times New Roman" w:hAnsi="Times New Roman"/>
                <w:szCs w:val="20"/>
              </w:rPr>
              <w:t>Općina</w:t>
            </w:r>
          </w:p>
        </w:tc>
        <w:tc>
          <w:tcPr>
            <w:tcW w:w="1205" w:type="dxa"/>
            <w:tcBorders>
              <w:top w:val="nil"/>
              <w:left w:val="nil"/>
              <w:bottom w:val="single" w:sz="8" w:space="0" w:color="auto"/>
              <w:right w:val="single" w:sz="8" w:space="0" w:color="auto"/>
            </w:tcBorders>
            <w:vAlign w:val="center"/>
          </w:tcPr>
          <w:p w:rsidR="00012172" w:rsidRDefault="00012172">
            <w:pPr>
              <w:jc w:val="center"/>
              <w:rPr>
                <w:b/>
                <w:bCs/>
                <w:sz w:val="22"/>
                <w:szCs w:val="20"/>
              </w:rPr>
            </w:pPr>
            <w:r>
              <w:rPr>
                <w:b/>
                <w:bCs/>
                <w:sz w:val="22"/>
                <w:szCs w:val="20"/>
              </w:rPr>
              <w:t>2.035</w:t>
            </w:r>
          </w:p>
        </w:tc>
        <w:tc>
          <w:tcPr>
            <w:tcW w:w="1147" w:type="dxa"/>
            <w:tcBorders>
              <w:top w:val="nil"/>
              <w:left w:val="single" w:sz="8" w:space="0" w:color="auto"/>
              <w:bottom w:val="single" w:sz="8" w:space="0" w:color="auto"/>
              <w:right w:val="single" w:sz="8" w:space="0" w:color="auto"/>
            </w:tcBorders>
            <w:vAlign w:val="center"/>
          </w:tcPr>
          <w:p w:rsidR="00012172" w:rsidRDefault="00012172">
            <w:pPr>
              <w:jc w:val="center"/>
              <w:rPr>
                <w:b/>
                <w:bCs/>
                <w:sz w:val="22"/>
                <w:szCs w:val="20"/>
              </w:rPr>
            </w:pPr>
            <w:r>
              <w:rPr>
                <w:b/>
                <w:bCs/>
                <w:sz w:val="22"/>
                <w:szCs w:val="20"/>
              </w:rPr>
              <w:fldChar w:fldCharType="begin"/>
            </w:r>
            <w:r>
              <w:rPr>
                <w:b/>
                <w:bCs/>
                <w:sz w:val="22"/>
                <w:szCs w:val="20"/>
              </w:rPr>
              <w:instrText xml:space="preserve"> =SUM(ABOVE) </w:instrText>
            </w:r>
            <w:r>
              <w:rPr>
                <w:b/>
                <w:bCs/>
                <w:sz w:val="22"/>
                <w:szCs w:val="20"/>
              </w:rPr>
              <w:fldChar w:fldCharType="separate"/>
            </w:r>
            <w:r>
              <w:rPr>
                <w:b/>
                <w:bCs/>
                <w:noProof/>
                <w:sz w:val="22"/>
                <w:szCs w:val="20"/>
              </w:rPr>
              <w:t>1797</w:t>
            </w:r>
            <w:r>
              <w:rPr>
                <w:b/>
                <w:bCs/>
                <w:sz w:val="22"/>
                <w:szCs w:val="20"/>
              </w:rPr>
              <w:fldChar w:fldCharType="end"/>
            </w:r>
          </w:p>
        </w:tc>
        <w:tc>
          <w:tcPr>
            <w:tcW w:w="1260" w:type="dxa"/>
            <w:tcBorders>
              <w:top w:val="nil"/>
              <w:left w:val="single" w:sz="8" w:space="0" w:color="auto"/>
              <w:bottom w:val="single" w:sz="8" w:space="0" w:color="auto"/>
              <w:right w:val="single" w:sz="4" w:space="0" w:color="auto"/>
            </w:tcBorders>
            <w:noWrap/>
            <w:vAlign w:val="center"/>
          </w:tcPr>
          <w:p w:rsidR="00012172" w:rsidRDefault="00012172">
            <w:pPr>
              <w:jc w:val="center"/>
              <w:rPr>
                <w:b/>
                <w:bCs/>
                <w:sz w:val="22"/>
                <w:szCs w:val="20"/>
              </w:rPr>
            </w:pPr>
            <w:r>
              <w:rPr>
                <w:b/>
                <w:bCs/>
                <w:sz w:val="22"/>
                <w:szCs w:val="20"/>
              </w:rPr>
              <w:fldChar w:fldCharType="begin"/>
            </w:r>
            <w:r>
              <w:rPr>
                <w:b/>
                <w:bCs/>
                <w:sz w:val="22"/>
                <w:szCs w:val="20"/>
              </w:rPr>
              <w:instrText xml:space="preserve"> =SUM(ABOVE) </w:instrText>
            </w:r>
            <w:r>
              <w:rPr>
                <w:b/>
                <w:bCs/>
                <w:sz w:val="22"/>
                <w:szCs w:val="20"/>
              </w:rPr>
              <w:fldChar w:fldCharType="separate"/>
            </w:r>
            <w:r>
              <w:rPr>
                <w:b/>
                <w:bCs/>
                <w:noProof/>
                <w:sz w:val="22"/>
                <w:szCs w:val="20"/>
              </w:rPr>
              <w:t>1591</w:t>
            </w:r>
            <w:r>
              <w:rPr>
                <w:b/>
                <w:bCs/>
                <w:sz w:val="22"/>
                <w:szCs w:val="20"/>
              </w:rPr>
              <w:fldChar w:fldCharType="end"/>
            </w:r>
          </w:p>
        </w:tc>
        <w:tc>
          <w:tcPr>
            <w:tcW w:w="1260" w:type="dxa"/>
            <w:tcBorders>
              <w:top w:val="nil"/>
              <w:left w:val="nil"/>
              <w:bottom w:val="single" w:sz="8" w:space="0" w:color="auto"/>
              <w:right w:val="single" w:sz="4" w:space="0" w:color="auto"/>
            </w:tcBorders>
            <w:noWrap/>
            <w:vAlign w:val="center"/>
          </w:tcPr>
          <w:p w:rsidR="00012172" w:rsidRDefault="00012172">
            <w:pPr>
              <w:jc w:val="center"/>
              <w:rPr>
                <w:b/>
                <w:bCs/>
                <w:sz w:val="22"/>
                <w:szCs w:val="20"/>
              </w:rPr>
            </w:pPr>
            <w:r>
              <w:rPr>
                <w:b/>
                <w:bCs/>
                <w:sz w:val="22"/>
                <w:szCs w:val="20"/>
              </w:rPr>
              <w:fldChar w:fldCharType="begin"/>
            </w:r>
            <w:r>
              <w:rPr>
                <w:b/>
                <w:bCs/>
                <w:sz w:val="22"/>
                <w:szCs w:val="20"/>
              </w:rPr>
              <w:instrText xml:space="preserve"> =SUM(ABOVE) </w:instrText>
            </w:r>
            <w:r>
              <w:rPr>
                <w:b/>
                <w:bCs/>
                <w:sz w:val="22"/>
                <w:szCs w:val="20"/>
              </w:rPr>
              <w:fldChar w:fldCharType="separate"/>
            </w:r>
            <w:r>
              <w:rPr>
                <w:b/>
                <w:bCs/>
                <w:noProof/>
                <w:sz w:val="22"/>
                <w:szCs w:val="20"/>
              </w:rPr>
              <w:t>1915</w:t>
            </w:r>
            <w:r>
              <w:rPr>
                <w:b/>
                <w:bCs/>
                <w:sz w:val="22"/>
                <w:szCs w:val="20"/>
              </w:rPr>
              <w:fldChar w:fldCharType="end"/>
            </w:r>
          </w:p>
        </w:tc>
        <w:tc>
          <w:tcPr>
            <w:tcW w:w="1260" w:type="dxa"/>
            <w:tcBorders>
              <w:top w:val="nil"/>
              <w:left w:val="nil"/>
              <w:bottom w:val="single" w:sz="8" w:space="0" w:color="auto"/>
              <w:right w:val="single" w:sz="8" w:space="0" w:color="auto"/>
            </w:tcBorders>
            <w:noWrap/>
            <w:vAlign w:val="center"/>
          </w:tcPr>
          <w:p w:rsidR="00012172" w:rsidRDefault="00012172">
            <w:pPr>
              <w:jc w:val="center"/>
              <w:rPr>
                <w:b/>
                <w:bCs/>
                <w:sz w:val="22"/>
                <w:szCs w:val="20"/>
              </w:rPr>
            </w:pPr>
            <w:r>
              <w:rPr>
                <w:b/>
                <w:bCs/>
                <w:sz w:val="22"/>
                <w:szCs w:val="20"/>
              </w:rPr>
              <w:fldChar w:fldCharType="begin"/>
            </w:r>
            <w:r>
              <w:rPr>
                <w:b/>
                <w:bCs/>
                <w:sz w:val="22"/>
                <w:szCs w:val="20"/>
              </w:rPr>
              <w:instrText xml:space="preserve"> =SUM(ABOVE) </w:instrText>
            </w:r>
            <w:r>
              <w:rPr>
                <w:b/>
                <w:bCs/>
                <w:sz w:val="22"/>
                <w:szCs w:val="20"/>
              </w:rPr>
              <w:fldChar w:fldCharType="separate"/>
            </w:r>
            <w:r>
              <w:rPr>
                <w:b/>
                <w:bCs/>
                <w:noProof/>
                <w:sz w:val="22"/>
                <w:szCs w:val="20"/>
              </w:rPr>
              <w:t>1691</w:t>
            </w:r>
            <w:r>
              <w:rPr>
                <w:b/>
                <w:bCs/>
                <w:sz w:val="22"/>
                <w:szCs w:val="20"/>
              </w:rPr>
              <w:fldChar w:fldCharType="end"/>
            </w:r>
          </w:p>
        </w:tc>
      </w:tr>
    </w:tbl>
    <w:p w:rsidR="00012172" w:rsidRDefault="00012172">
      <w:pPr>
        <w:rPr>
          <w:rFonts w:ascii="Arial" w:hAnsi="Arial" w:cs="Arial"/>
          <w:sz w:val="20"/>
        </w:rPr>
      </w:pPr>
      <w:r>
        <w:rPr>
          <w:rFonts w:ascii="Arial" w:hAnsi="Arial" w:cs="Arial"/>
          <w:sz w:val="20"/>
        </w:rPr>
        <w:t xml:space="preserve">Izvor: Feletar, D. (1999); Demografska studija Koprivničko-križevačke </w:t>
      </w:r>
    </w:p>
    <w:p w:rsidR="00012172" w:rsidRDefault="00012172">
      <w:pPr>
        <w:rPr>
          <w:rFonts w:ascii="Arial" w:hAnsi="Arial" w:cs="Arial"/>
          <w:sz w:val="20"/>
        </w:rPr>
      </w:pPr>
      <w:r>
        <w:rPr>
          <w:rFonts w:ascii="Arial" w:hAnsi="Arial" w:cs="Arial"/>
          <w:sz w:val="20"/>
        </w:rPr>
        <w:t>županije, Geografski institut «Petar Matković», Zagreb</w:t>
      </w:r>
    </w:p>
    <w:p w:rsidR="00012172" w:rsidRDefault="00012172">
      <w:pPr>
        <w:pStyle w:val="Opisslike"/>
        <w:rPr>
          <w:b/>
          <w:bCs w:val="0"/>
        </w:rPr>
      </w:pPr>
    </w:p>
    <w:p w:rsidR="00012172" w:rsidRDefault="00012172">
      <w:pPr>
        <w:rPr>
          <w:rFonts w:ascii="Arial" w:hAnsi="Arial" w:cs="Arial"/>
        </w:rPr>
      </w:pPr>
    </w:p>
    <w:p w:rsidR="00012172" w:rsidRDefault="00012172">
      <w:pPr>
        <w:pStyle w:val="Naslov3"/>
        <w:rPr>
          <w:rFonts w:ascii="Times New Roman" w:hAnsi="Times New Roman" w:cs="Times New Roman"/>
        </w:rPr>
      </w:pPr>
      <w:bookmarkStart w:id="42" w:name="_Toc95140592"/>
      <w:r>
        <w:rPr>
          <w:rFonts w:ascii="Times New Roman" w:hAnsi="Times New Roman" w:cs="Times New Roman"/>
        </w:rPr>
        <w:t>2.2.2. Odabir prostorno razvojne strukture</w:t>
      </w:r>
      <w:bookmarkEnd w:id="42"/>
      <w:r>
        <w:rPr>
          <w:rFonts w:ascii="Times New Roman" w:hAnsi="Times New Roman" w:cs="Times New Roman"/>
        </w:rPr>
        <w:t xml:space="preserve"> </w:t>
      </w:r>
    </w:p>
    <w:p w:rsidR="00012172" w:rsidRDefault="00012172"/>
    <w:p w:rsidR="00012172" w:rsidRDefault="00012172">
      <w:pPr>
        <w:jc w:val="both"/>
        <w:rPr>
          <w:rFonts w:ascii="Arial" w:hAnsi="Arial" w:cs="Arial"/>
          <w:sz w:val="22"/>
        </w:rPr>
      </w:pPr>
      <w:r>
        <w:rPr>
          <w:rFonts w:ascii="Arial" w:hAnsi="Arial" w:cs="Arial"/>
          <w:sz w:val="22"/>
          <w:lang w:val="de-DE"/>
        </w:rPr>
        <w:t>Polaze</w:t>
      </w:r>
      <w:r>
        <w:rPr>
          <w:rFonts w:ascii="Arial" w:hAnsi="Arial" w:cs="Arial"/>
          <w:sz w:val="22"/>
        </w:rPr>
        <w:t>ć</w:t>
      </w:r>
      <w:r>
        <w:rPr>
          <w:rFonts w:ascii="Arial" w:hAnsi="Arial" w:cs="Arial"/>
          <w:sz w:val="22"/>
          <w:lang w:val="de-DE"/>
        </w:rPr>
        <w:t>i</w:t>
      </w:r>
      <w:r>
        <w:rPr>
          <w:rFonts w:ascii="Arial" w:hAnsi="Arial" w:cs="Arial"/>
          <w:sz w:val="22"/>
        </w:rPr>
        <w:t xml:space="preserve"> </w:t>
      </w:r>
      <w:r>
        <w:rPr>
          <w:rFonts w:ascii="Arial" w:hAnsi="Arial" w:cs="Arial"/>
          <w:sz w:val="22"/>
          <w:lang w:val="de-DE"/>
        </w:rPr>
        <w:t>od</w:t>
      </w:r>
      <w:r>
        <w:rPr>
          <w:rFonts w:ascii="Arial" w:hAnsi="Arial" w:cs="Arial"/>
          <w:sz w:val="22"/>
        </w:rPr>
        <w:t xml:space="preserve"> </w:t>
      </w:r>
      <w:r>
        <w:rPr>
          <w:rFonts w:ascii="Arial" w:hAnsi="Arial" w:cs="Arial"/>
          <w:sz w:val="22"/>
          <w:lang w:val="de-DE"/>
        </w:rPr>
        <w:t>dana</w:t>
      </w:r>
      <w:r>
        <w:rPr>
          <w:rFonts w:ascii="Arial" w:hAnsi="Arial" w:cs="Arial"/>
          <w:sz w:val="22"/>
        </w:rPr>
        <w:t>š</w:t>
      </w:r>
      <w:r>
        <w:rPr>
          <w:rFonts w:ascii="Arial" w:hAnsi="Arial" w:cs="Arial"/>
          <w:sz w:val="22"/>
          <w:lang w:val="de-DE"/>
        </w:rPr>
        <w:t>nje</w:t>
      </w:r>
      <w:r>
        <w:rPr>
          <w:rFonts w:ascii="Arial" w:hAnsi="Arial" w:cs="Arial"/>
          <w:sz w:val="22"/>
        </w:rPr>
        <w:t xml:space="preserve"> prostorno-</w:t>
      </w:r>
      <w:r>
        <w:rPr>
          <w:rFonts w:ascii="Arial" w:hAnsi="Arial" w:cs="Arial"/>
          <w:sz w:val="22"/>
          <w:lang w:val="de-DE"/>
        </w:rPr>
        <w:t>gospodarske</w:t>
      </w:r>
      <w:r>
        <w:rPr>
          <w:rFonts w:ascii="Arial" w:hAnsi="Arial" w:cs="Arial"/>
          <w:sz w:val="22"/>
        </w:rPr>
        <w:t xml:space="preserve"> </w:t>
      </w:r>
      <w:r>
        <w:rPr>
          <w:rFonts w:ascii="Arial" w:hAnsi="Arial" w:cs="Arial"/>
          <w:sz w:val="22"/>
          <w:lang w:val="de-DE"/>
        </w:rPr>
        <w:t>strukture</w:t>
      </w:r>
      <w:r>
        <w:rPr>
          <w:rFonts w:ascii="Arial" w:hAnsi="Arial" w:cs="Arial"/>
          <w:sz w:val="22"/>
        </w:rPr>
        <w:t xml:space="preserve"> </w:t>
      </w:r>
      <w:r>
        <w:rPr>
          <w:rFonts w:ascii="Arial" w:hAnsi="Arial" w:cs="Arial"/>
          <w:sz w:val="22"/>
          <w:lang w:val="de-DE"/>
        </w:rPr>
        <w:t>i</w:t>
      </w:r>
      <w:r>
        <w:rPr>
          <w:rFonts w:ascii="Arial" w:hAnsi="Arial" w:cs="Arial"/>
          <w:sz w:val="22"/>
        </w:rPr>
        <w:t xml:space="preserve"> </w:t>
      </w:r>
      <w:r>
        <w:rPr>
          <w:rFonts w:ascii="Arial" w:hAnsi="Arial" w:cs="Arial"/>
          <w:sz w:val="22"/>
          <w:lang w:val="de-DE"/>
        </w:rPr>
        <w:t>dostignutog</w:t>
      </w:r>
      <w:r>
        <w:rPr>
          <w:rFonts w:ascii="Arial" w:hAnsi="Arial" w:cs="Arial"/>
          <w:sz w:val="22"/>
        </w:rPr>
        <w:t xml:space="preserve"> </w:t>
      </w:r>
      <w:r>
        <w:rPr>
          <w:rFonts w:ascii="Arial" w:hAnsi="Arial" w:cs="Arial"/>
          <w:sz w:val="22"/>
          <w:lang w:val="de-DE"/>
        </w:rPr>
        <w:t>stupnja</w:t>
      </w:r>
      <w:r>
        <w:rPr>
          <w:rFonts w:ascii="Arial" w:hAnsi="Arial" w:cs="Arial"/>
          <w:sz w:val="22"/>
        </w:rPr>
        <w:t xml:space="preserve"> </w:t>
      </w:r>
      <w:r>
        <w:rPr>
          <w:rFonts w:ascii="Arial" w:hAnsi="Arial" w:cs="Arial"/>
          <w:sz w:val="22"/>
          <w:lang w:val="de-DE"/>
        </w:rPr>
        <w:t>razvitka</w:t>
      </w:r>
      <w:r>
        <w:rPr>
          <w:rFonts w:ascii="Arial" w:hAnsi="Arial" w:cs="Arial"/>
          <w:sz w:val="22"/>
        </w:rPr>
        <w:t xml:space="preserve"> </w:t>
      </w:r>
      <w:r>
        <w:rPr>
          <w:rFonts w:ascii="Arial" w:hAnsi="Arial" w:cs="Arial"/>
          <w:sz w:val="22"/>
          <w:lang w:val="de-DE"/>
        </w:rPr>
        <w:t>te</w:t>
      </w:r>
      <w:r>
        <w:rPr>
          <w:rFonts w:ascii="Arial" w:hAnsi="Arial" w:cs="Arial"/>
          <w:sz w:val="22"/>
        </w:rPr>
        <w:t xml:space="preserve"> </w:t>
      </w:r>
      <w:r>
        <w:rPr>
          <w:rFonts w:ascii="Arial" w:hAnsi="Arial" w:cs="Arial"/>
          <w:sz w:val="22"/>
          <w:lang w:val="de-DE"/>
        </w:rPr>
        <w:t>uzimaju</w:t>
      </w:r>
      <w:r>
        <w:rPr>
          <w:rFonts w:ascii="Arial" w:hAnsi="Arial" w:cs="Arial"/>
          <w:sz w:val="22"/>
        </w:rPr>
        <w:t>ć</w:t>
      </w:r>
      <w:r>
        <w:rPr>
          <w:rFonts w:ascii="Arial" w:hAnsi="Arial" w:cs="Arial"/>
          <w:sz w:val="22"/>
          <w:lang w:val="de-DE"/>
        </w:rPr>
        <w:t>i</w:t>
      </w:r>
      <w:r>
        <w:rPr>
          <w:rFonts w:ascii="Arial" w:hAnsi="Arial" w:cs="Arial"/>
          <w:sz w:val="22"/>
        </w:rPr>
        <w:t xml:space="preserve"> </w:t>
      </w:r>
      <w:r>
        <w:rPr>
          <w:rFonts w:ascii="Arial" w:hAnsi="Arial" w:cs="Arial"/>
          <w:sz w:val="22"/>
          <w:lang w:val="de-DE"/>
        </w:rPr>
        <w:t>u</w:t>
      </w:r>
      <w:r>
        <w:rPr>
          <w:rFonts w:ascii="Arial" w:hAnsi="Arial" w:cs="Arial"/>
          <w:sz w:val="22"/>
        </w:rPr>
        <w:t xml:space="preserve"> </w:t>
      </w:r>
      <w:r>
        <w:rPr>
          <w:rFonts w:ascii="Arial" w:hAnsi="Arial" w:cs="Arial"/>
          <w:sz w:val="22"/>
          <w:lang w:val="de-DE"/>
        </w:rPr>
        <w:t>obzir</w:t>
      </w:r>
      <w:r>
        <w:rPr>
          <w:rFonts w:ascii="Arial" w:hAnsi="Arial" w:cs="Arial"/>
          <w:sz w:val="22"/>
        </w:rPr>
        <w:t xml:space="preserve"> </w:t>
      </w:r>
      <w:r>
        <w:rPr>
          <w:rFonts w:ascii="Arial" w:hAnsi="Arial" w:cs="Arial"/>
          <w:sz w:val="22"/>
          <w:lang w:val="de-DE"/>
        </w:rPr>
        <w:t>tendencije</w:t>
      </w:r>
      <w:r>
        <w:rPr>
          <w:rFonts w:ascii="Arial" w:hAnsi="Arial" w:cs="Arial"/>
          <w:sz w:val="22"/>
        </w:rPr>
        <w:t xml:space="preserve"> s</w:t>
      </w:r>
      <w:r>
        <w:rPr>
          <w:rFonts w:ascii="Arial" w:hAnsi="Arial" w:cs="Arial"/>
          <w:sz w:val="22"/>
          <w:lang w:val="de-DE"/>
        </w:rPr>
        <w:t>uvremenog</w:t>
      </w:r>
      <w:r>
        <w:rPr>
          <w:rFonts w:ascii="Arial" w:hAnsi="Arial" w:cs="Arial"/>
          <w:sz w:val="22"/>
        </w:rPr>
        <w:t xml:space="preserve"> </w:t>
      </w:r>
      <w:r>
        <w:rPr>
          <w:rFonts w:ascii="Arial" w:hAnsi="Arial" w:cs="Arial"/>
          <w:sz w:val="22"/>
          <w:lang w:val="de-DE"/>
        </w:rPr>
        <w:t>prostorno</w:t>
      </w:r>
      <w:r>
        <w:rPr>
          <w:rFonts w:ascii="Arial" w:hAnsi="Arial" w:cs="Arial"/>
          <w:sz w:val="22"/>
        </w:rPr>
        <w:t>-</w:t>
      </w:r>
      <w:r>
        <w:rPr>
          <w:rFonts w:ascii="Arial" w:hAnsi="Arial" w:cs="Arial"/>
          <w:sz w:val="22"/>
          <w:lang w:val="de-DE"/>
        </w:rPr>
        <w:t>gospodarskog</w:t>
      </w:r>
      <w:r>
        <w:rPr>
          <w:rFonts w:ascii="Arial" w:hAnsi="Arial" w:cs="Arial"/>
          <w:sz w:val="22"/>
        </w:rPr>
        <w:t xml:space="preserve"> </w:t>
      </w:r>
      <w:r>
        <w:rPr>
          <w:rFonts w:ascii="Arial" w:hAnsi="Arial" w:cs="Arial"/>
          <w:sz w:val="22"/>
          <w:lang w:val="de-DE"/>
        </w:rPr>
        <w:t>razvoja</w:t>
      </w:r>
      <w:r>
        <w:rPr>
          <w:rFonts w:ascii="Arial" w:hAnsi="Arial" w:cs="Arial"/>
          <w:sz w:val="22"/>
        </w:rPr>
        <w:t xml:space="preserve"> </w:t>
      </w:r>
      <w:r>
        <w:rPr>
          <w:rFonts w:ascii="Arial" w:hAnsi="Arial" w:cs="Arial"/>
          <w:sz w:val="22"/>
          <w:lang w:val="de-DE"/>
        </w:rPr>
        <w:t>za</w:t>
      </w:r>
      <w:r>
        <w:rPr>
          <w:rFonts w:ascii="Arial" w:hAnsi="Arial" w:cs="Arial"/>
          <w:sz w:val="22"/>
        </w:rPr>
        <w:t xml:space="preserve"> </w:t>
      </w:r>
      <w:r>
        <w:rPr>
          <w:rFonts w:ascii="Arial" w:hAnsi="Arial" w:cs="Arial"/>
          <w:sz w:val="22"/>
          <w:lang w:val="de-DE"/>
        </w:rPr>
        <w:t>op</w:t>
      </w:r>
      <w:r>
        <w:rPr>
          <w:rFonts w:ascii="Arial" w:hAnsi="Arial" w:cs="Arial"/>
          <w:sz w:val="22"/>
        </w:rPr>
        <w:t>ć</w:t>
      </w:r>
      <w:r>
        <w:rPr>
          <w:rFonts w:ascii="Arial" w:hAnsi="Arial" w:cs="Arial"/>
          <w:sz w:val="22"/>
          <w:lang w:val="de-DE"/>
        </w:rPr>
        <w:t>inu</w:t>
      </w:r>
      <w:r>
        <w:rPr>
          <w:rFonts w:ascii="Arial" w:hAnsi="Arial" w:cs="Arial"/>
          <w:sz w:val="22"/>
        </w:rPr>
        <w:t xml:space="preserve">  </w:t>
      </w:r>
      <w:r>
        <w:rPr>
          <w:rFonts w:ascii="Arial" w:hAnsi="Arial" w:cs="Arial"/>
          <w:sz w:val="22"/>
          <w:lang w:val="de-DE"/>
        </w:rPr>
        <w:t>Gornja</w:t>
      </w:r>
      <w:r>
        <w:rPr>
          <w:rFonts w:ascii="Arial" w:hAnsi="Arial" w:cs="Arial"/>
          <w:sz w:val="22"/>
        </w:rPr>
        <w:t xml:space="preserve"> </w:t>
      </w:r>
      <w:r>
        <w:rPr>
          <w:rFonts w:ascii="Arial" w:hAnsi="Arial" w:cs="Arial"/>
          <w:sz w:val="22"/>
          <w:lang w:val="de-DE"/>
        </w:rPr>
        <w:t>Rijeka</w:t>
      </w:r>
      <w:r>
        <w:rPr>
          <w:rFonts w:ascii="Arial" w:hAnsi="Arial" w:cs="Arial"/>
          <w:sz w:val="22"/>
        </w:rPr>
        <w:t xml:space="preserve"> </w:t>
      </w:r>
      <w:r>
        <w:rPr>
          <w:rFonts w:ascii="Arial" w:hAnsi="Arial" w:cs="Arial"/>
          <w:sz w:val="22"/>
          <w:lang w:val="de-DE"/>
        </w:rPr>
        <w:t>od</w:t>
      </w:r>
      <w:r>
        <w:rPr>
          <w:rFonts w:ascii="Arial" w:hAnsi="Arial" w:cs="Arial"/>
          <w:sz w:val="22"/>
        </w:rPr>
        <w:t xml:space="preserve"> </w:t>
      </w:r>
      <w:r>
        <w:rPr>
          <w:rFonts w:ascii="Arial" w:hAnsi="Arial" w:cs="Arial"/>
          <w:sz w:val="22"/>
          <w:lang w:val="de-DE"/>
        </w:rPr>
        <w:t>posebne</w:t>
      </w:r>
      <w:r>
        <w:rPr>
          <w:rFonts w:ascii="Arial" w:hAnsi="Arial" w:cs="Arial"/>
          <w:sz w:val="22"/>
        </w:rPr>
        <w:t xml:space="preserve"> </w:t>
      </w:r>
      <w:r>
        <w:rPr>
          <w:rFonts w:ascii="Arial" w:hAnsi="Arial" w:cs="Arial"/>
          <w:sz w:val="22"/>
          <w:lang w:val="de-DE"/>
        </w:rPr>
        <w:t>va</w:t>
      </w:r>
      <w:r>
        <w:rPr>
          <w:rFonts w:ascii="Arial" w:hAnsi="Arial" w:cs="Arial"/>
          <w:sz w:val="22"/>
        </w:rPr>
        <w:t>ž</w:t>
      </w:r>
      <w:r>
        <w:rPr>
          <w:rFonts w:ascii="Arial" w:hAnsi="Arial" w:cs="Arial"/>
          <w:sz w:val="22"/>
          <w:lang w:val="de-DE"/>
        </w:rPr>
        <w:t>nosti</w:t>
      </w:r>
      <w:r>
        <w:rPr>
          <w:rFonts w:ascii="Arial" w:hAnsi="Arial" w:cs="Arial"/>
          <w:sz w:val="22"/>
        </w:rPr>
        <w:t xml:space="preserve"> </w:t>
      </w:r>
      <w:r>
        <w:rPr>
          <w:rFonts w:ascii="Arial" w:hAnsi="Arial" w:cs="Arial"/>
          <w:sz w:val="22"/>
          <w:lang w:val="de-DE"/>
        </w:rPr>
        <w:t>su</w:t>
      </w:r>
      <w:r>
        <w:rPr>
          <w:rFonts w:ascii="Arial" w:hAnsi="Arial" w:cs="Arial"/>
          <w:sz w:val="22"/>
        </w:rPr>
        <w:t>:</w:t>
      </w:r>
    </w:p>
    <w:p w:rsidR="00012172" w:rsidRDefault="00012172">
      <w:pPr>
        <w:numPr>
          <w:ilvl w:val="0"/>
          <w:numId w:val="11"/>
        </w:numPr>
        <w:jc w:val="both"/>
        <w:rPr>
          <w:rFonts w:ascii="Arial" w:hAnsi="Arial" w:cs="Arial"/>
          <w:sz w:val="22"/>
          <w:lang w:val="it-IT"/>
        </w:rPr>
      </w:pPr>
      <w:r>
        <w:rPr>
          <w:rFonts w:ascii="Arial" w:hAnsi="Arial" w:cs="Arial"/>
          <w:sz w:val="22"/>
          <w:lang w:val="it-IT"/>
        </w:rPr>
        <w:t>Poljoprivreda</w:t>
      </w:r>
    </w:p>
    <w:p w:rsidR="00012172" w:rsidRDefault="00012172">
      <w:pPr>
        <w:numPr>
          <w:ilvl w:val="0"/>
          <w:numId w:val="11"/>
        </w:numPr>
        <w:jc w:val="both"/>
        <w:rPr>
          <w:rFonts w:ascii="Arial" w:hAnsi="Arial" w:cs="Arial"/>
          <w:sz w:val="22"/>
          <w:lang w:val="it-IT"/>
        </w:rPr>
      </w:pPr>
      <w:r>
        <w:rPr>
          <w:rFonts w:ascii="Arial" w:hAnsi="Arial" w:cs="Arial"/>
          <w:sz w:val="22"/>
          <w:lang w:val="it-IT"/>
        </w:rPr>
        <w:t>Obrt i malo poduzetništvo</w:t>
      </w:r>
    </w:p>
    <w:p w:rsidR="00012172" w:rsidRDefault="00012172">
      <w:pPr>
        <w:numPr>
          <w:ilvl w:val="0"/>
          <w:numId w:val="11"/>
        </w:numPr>
        <w:jc w:val="both"/>
        <w:rPr>
          <w:rFonts w:ascii="Arial" w:hAnsi="Arial" w:cs="Arial"/>
          <w:sz w:val="22"/>
          <w:lang w:val="it-IT"/>
        </w:rPr>
      </w:pPr>
      <w:r>
        <w:rPr>
          <w:rFonts w:ascii="Arial" w:hAnsi="Arial" w:cs="Arial"/>
          <w:sz w:val="22"/>
          <w:lang w:val="it-IT"/>
        </w:rPr>
        <w:t xml:space="preserve">Razvoj turizma na Kalniku </w:t>
      </w:r>
    </w:p>
    <w:p w:rsidR="00012172" w:rsidRDefault="00012172">
      <w:pPr>
        <w:numPr>
          <w:ilvl w:val="0"/>
          <w:numId w:val="11"/>
        </w:numPr>
        <w:jc w:val="both"/>
        <w:rPr>
          <w:rFonts w:ascii="Arial" w:hAnsi="Arial" w:cs="Arial"/>
          <w:sz w:val="22"/>
          <w:lang w:val="it-IT"/>
        </w:rPr>
      </w:pPr>
      <w:r>
        <w:rPr>
          <w:rFonts w:ascii="Arial" w:hAnsi="Arial" w:cs="Arial"/>
          <w:sz w:val="22"/>
          <w:lang w:val="it-IT"/>
        </w:rPr>
        <w:t xml:space="preserve">Razvoj turizma temeljenog na turističkoj destinaciji – dvorac Gornja Rjeka </w:t>
      </w:r>
    </w:p>
    <w:p w:rsidR="00012172" w:rsidRDefault="00012172">
      <w:pPr>
        <w:jc w:val="both"/>
        <w:rPr>
          <w:rFonts w:ascii="Arial" w:hAnsi="Arial" w:cs="Arial"/>
          <w:sz w:val="22"/>
          <w:lang w:val="it-IT"/>
        </w:rPr>
      </w:pPr>
    </w:p>
    <w:p w:rsidR="00012172" w:rsidRDefault="00012172">
      <w:pPr>
        <w:jc w:val="both"/>
        <w:rPr>
          <w:rFonts w:ascii="Arial" w:hAnsi="Arial" w:cs="Arial"/>
          <w:sz w:val="22"/>
          <w:lang w:val="it-IT"/>
        </w:rPr>
      </w:pPr>
      <w:r>
        <w:rPr>
          <w:rFonts w:ascii="Arial" w:hAnsi="Arial" w:cs="Arial"/>
          <w:sz w:val="22"/>
          <w:lang w:val="it-IT"/>
        </w:rPr>
        <w:t>Općina posebnim mjerama (fiskalnim, komunalnim opremanjem, osiguranjem stručne pomoći) mora omogučiti razvoj navedenih djelatnosti. Ciljevi gospodarskog razvoja na razini Općine su:</w:t>
      </w:r>
    </w:p>
    <w:p w:rsidR="00012172" w:rsidRDefault="00012172" w:rsidP="00012172">
      <w:pPr>
        <w:numPr>
          <w:ilvl w:val="0"/>
          <w:numId w:val="9"/>
        </w:numPr>
        <w:tabs>
          <w:tab w:val="clear" w:pos="750"/>
          <w:tab w:val="num" w:pos="360"/>
        </w:tabs>
        <w:ind w:left="360"/>
        <w:jc w:val="both"/>
        <w:rPr>
          <w:rFonts w:ascii="Arial" w:hAnsi="Arial" w:cs="Arial"/>
          <w:sz w:val="22"/>
          <w:lang w:val="it-IT"/>
        </w:rPr>
      </w:pPr>
      <w:r>
        <w:rPr>
          <w:rFonts w:ascii="Arial" w:hAnsi="Arial" w:cs="Arial"/>
          <w:sz w:val="22"/>
          <w:lang w:val="it-IT"/>
        </w:rPr>
        <w:t xml:space="preserve">turistička valorizacija dvorca </w:t>
      </w:r>
      <w:r>
        <w:rPr>
          <w:rFonts w:ascii="Arial" w:hAnsi="Arial" w:cs="Arial"/>
          <w:b/>
          <w:sz w:val="22"/>
        </w:rPr>
        <w:t>Erd</w:t>
      </w:r>
      <w:r>
        <w:rPr>
          <w:rFonts w:ascii="Arial" w:hAnsi="Arial" w:cs="Arial"/>
          <w:b/>
          <w:sz w:val="22"/>
        </w:rPr>
        <w:sym w:font="Times New Roman" w:char="00F6"/>
      </w:r>
      <w:r>
        <w:rPr>
          <w:rFonts w:ascii="Arial" w:hAnsi="Arial" w:cs="Arial"/>
          <w:b/>
          <w:sz w:val="22"/>
        </w:rPr>
        <w:t>dy-Rubido</w:t>
      </w:r>
      <w:r>
        <w:rPr>
          <w:rFonts w:ascii="Arial" w:hAnsi="Arial" w:cs="Arial"/>
          <w:sz w:val="22"/>
          <w:lang w:val="it-IT"/>
        </w:rPr>
        <w:t xml:space="preserve"> </w:t>
      </w:r>
    </w:p>
    <w:p w:rsidR="00012172" w:rsidRDefault="00012172" w:rsidP="00012172">
      <w:pPr>
        <w:numPr>
          <w:ilvl w:val="0"/>
          <w:numId w:val="9"/>
        </w:numPr>
        <w:tabs>
          <w:tab w:val="clear" w:pos="750"/>
          <w:tab w:val="num" w:pos="360"/>
        </w:tabs>
        <w:ind w:left="360"/>
        <w:jc w:val="both"/>
        <w:rPr>
          <w:rFonts w:ascii="Arial" w:hAnsi="Arial" w:cs="Arial"/>
          <w:sz w:val="22"/>
          <w:lang w:val="it-IT"/>
        </w:rPr>
      </w:pPr>
      <w:r>
        <w:rPr>
          <w:rFonts w:ascii="Arial" w:hAnsi="Arial" w:cs="Arial"/>
          <w:sz w:val="22"/>
          <w:lang w:val="it-IT"/>
        </w:rPr>
        <w:t>formiranje gospodarskih zona</w:t>
      </w:r>
    </w:p>
    <w:p w:rsidR="00012172" w:rsidRDefault="00012172" w:rsidP="00012172">
      <w:pPr>
        <w:numPr>
          <w:ilvl w:val="0"/>
          <w:numId w:val="9"/>
        </w:numPr>
        <w:tabs>
          <w:tab w:val="clear" w:pos="750"/>
          <w:tab w:val="num" w:pos="360"/>
        </w:tabs>
        <w:ind w:left="360"/>
        <w:jc w:val="both"/>
        <w:rPr>
          <w:rFonts w:ascii="Arial" w:hAnsi="Arial" w:cs="Arial"/>
          <w:sz w:val="22"/>
          <w:lang w:val="it-IT"/>
        </w:rPr>
      </w:pPr>
      <w:r>
        <w:rPr>
          <w:rFonts w:ascii="Arial" w:hAnsi="Arial" w:cs="Arial"/>
          <w:sz w:val="22"/>
          <w:lang w:val="it-IT"/>
        </w:rPr>
        <w:lastRenderedPageBreak/>
        <w:t>formiranje modernih obiteljskih poljoprivrednih gospodarstava</w:t>
      </w:r>
    </w:p>
    <w:p w:rsidR="00012172" w:rsidRDefault="00012172" w:rsidP="00012172">
      <w:pPr>
        <w:numPr>
          <w:ilvl w:val="0"/>
          <w:numId w:val="9"/>
        </w:numPr>
        <w:tabs>
          <w:tab w:val="clear" w:pos="750"/>
          <w:tab w:val="num" w:pos="360"/>
        </w:tabs>
        <w:ind w:left="360"/>
        <w:jc w:val="both"/>
        <w:rPr>
          <w:rFonts w:ascii="Arial" w:hAnsi="Arial" w:cs="Arial"/>
          <w:sz w:val="22"/>
          <w:lang w:val="it-IT"/>
        </w:rPr>
      </w:pPr>
      <w:r>
        <w:rPr>
          <w:rFonts w:ascii="Arial" w:hAnsi="Arial" w:cs="Arial"/>
          <w:sz w:val="22"/>
          <w:lang w:val="it-IT"/>
        </w:rPr>
        <w:t>turistička valorizacija prostora uz Kalnik</w:t>
      </w:r>
    </w:p>
    <w:p w:rsidR="00012172" w:rsidRDefault="00012172">
      <w:pPr>
        <w:jc w:val="both"/>
        <w:rPr>
          <w:rFonts w:ascii="Arial" w:hAnsi="Arial" w:cs="Arial"/>
          <w:sz w:val="22"/>
          <w:lang w:val="it-IT"/>
        </w:rPr>
      </w:pPr>
    </w:p>
    <w:p w:rsidR="00012172" w:rsidRDefault="00012172">
      <w:pPr>
        <w:jc w:val="both"/>
        <w:rPr>
          <w:rFonts w:ascii="Arial" w:hAnsi="Arial" w:cs="Arial"/>
          <w:sz w:val="22"/>
          <w:lang w:val="it-IT"/>
        </w:rPr>
      </w:pPr>
    </w:p>
    <w:p w:rsidR="00012172" w:rsidRDefault="00012172">
      <w:pPr>
        <w:jc w:val="both"/>
        <w:rPr>
          <w:rFonts w:ascii="Arial" w:hAnsi="Arial" w:cs="Arial"/>
          <w:sz w:val="22"/>
          <w:lang w:val="it-IT"/>
        </w:rPr>
      </w:pPr>
      <w:r>
        <w:rPr>
          <w:rFonts w:ascii="Arial" w:hAnsi="Arial" w:cs="Arial"/>
          <w:b/>
          <w:sz w:val="22"/>
          <w:lang w:val="it-IT"/>
        </w:rPr>
        <w:t>Poljoprivreda</w:t>
      </w:r>
      <w:r>
        <w:rPr>
          <w:rFonts w:ascii="Arial" w:hAnsi="Arial" w:cs="Arial"/>
          <w:sz w:val="22"/>
          <w:lang w:val="it-IT"/>
        </w:rPr>
        <w:t xml:space="preserve"> </w:t>
      </w:r>
    </w:p>
    <w:p w:rsidR="00012172" w:rsidRDefault="00012172">
      <w:pPr>
        <w:jc w:val="both"/>
        <w:rPr>
          <w:rFonts w:ascii="Arial" w:hAnsi="Arial" w:cs="Arial"/>
          <w:sz w:val="22"/>
          <w:lang w:val="it-IT"/>
        </w:rPr>
      </w:pPr>
      <w:r>
        <w:rPr>
          <w:rFonts w:ascii="Arial" w:hAnsi="Arial" w:cs="Arial"/>
          <w:sz w:val="22"/>
          <w:lang w:val="it-IT"/>
        </w:rPr>
        <w:t xml:space="preserve">Poljoprivredne površine zauzimaju najveće površine i ovo je tradicionalno poljoprivredni kraj. Stoga je potrebno najviše pozornosti posvetiti razvoju i transformaciji ove djelatnosti. Cilj transformacije poljoprivrede je potpuno organizirani i racionalni sustav ekološke proizvodnje, plasmana, prerade, distribucije i naplate poljoprivrednih proizvoda uz maksimalno iskorištenje domaćih prednosti. </w:t>
      </w:r>
    </w:p>
    <w:p w:rsidR="00012172" w:rsidRDefault="00012172">
      <w:pPr>
        <w:jc w:val="both"/>
        <w:rPr>
          <w:lang w:val="it-IT"/>
        </w:rPr>
      </w:pPr>
      <w:r>
        <w:rPr>
          <w:rFonts w:ascii="Arial" w:hAnsi="Arial" w:cs="Arial"/>
          <w:sz w:val="22"/>
          <w:lang w:val="it-IT"/>
        </w:rPr>
        <w:t xml:space="preserve">Jedan od problema koje treba rješavati je okrupnjavanje disperziranih posjeda, a kod toga treba voditi računa da male parcele, koje prevladavaju, imaju i predosti: zbog ekološke ravnoteže preporučljivo je saditi na malim površinama više vrsta kultura (naročito povrće). Potrebno je poticati razvoj malih obiteljskih prerađivačkih postrojenja kako bi se dobiveni poljoprivredni proizvodi finalizirali. Potrebno je poticati uzgoj starih autohtonih poljoprivrednih kultura i izbjegavati uporabu genetski modificiranih organizama. Cilj planiranja je racionalno korištenje poljoprivrednog zemljišta te smanjiti korištenje kvalitetnog zemljišta za nepoljodjelske svrhe. Poljoprivredno zemljište se stalno smanjuje i potrebno je zaustaviti taj proces i povećavati obradive površine. </w:t>
      </w:r>
      <w:r>
        <w:rPr>
          <w:rFonts w:ascii="Arial" w:hAnsi="Arial" w:cs="Arial"/>
          <w:sz w:val="22"/>
          <w:szCs w:val="22"/>
          <w:lang w:val="it-IT"/>
        </w:rPr>
        <w:t>Agrotehničke aktivnosti treba usuglasiti s</w:t>
      </w:r>
      <w:r>
        <w:rPr>
          <w:szCs w:val="22"/>
          <w:lang w:val="it-IT"/>
        </w:rPr>
        <w:t xml:space="preserve"> vodnim gospodarstvom jer velike štete nastaju zadržavanjem vode na poljima nakon obilnih oborina.</w:t>
      </w:r>
    </w:p>
    <w:p w:rsidR="00012172" w:rsidRDefault="00012172">
      <w:pPr>
        <w:rPr>
          <w:b/>
          <w:szCs w:val="22"/>
        </w:rPr>
      </w:pPr>
    </w:p>
    <w:p w:rsidR="00012172" w:rsidRDefault="00012172">
      <w:pPr>
        <w:rPr>
          <w:rFonts w:ascii="Arial" w:hAnsi="Arial" w:cs="Arial"/>
          <w:b/>
          <w:sz w:val="22"/>
          <w:szCs w:val="22"/>
        </w:rPr>
      </w:pPr>
      <w:r>
        <w:rPr>
          <w:rFonts w:ascii="Arial" w:hAnsi="Arial" w:cs="Arial"/>
          <w:b/>
          <w:sz w:val="22"/>
          <w:szCs w:val="22"/>
        </w:rPr>
        <w:t>Obrt i malo poduzetništvo</w:t>
      </w:r>
    </w:p>
    <w:p w:rsidR="00012172" w:rsidRDefault="00012172">
      <w:pPr>
        <w:jc w:val="both"/>
        <w:rPr>
          <w:rFonts w:ascii="Arial" w:hAnsi="Arial" w:cs="Arial"/>
          <w:sz w:val="22"/>
        </w:rPr>
      </w:pPr>
      <w:r>
        <w:rPr>
          <w:rFonts w:ascii="Arial" w:hAnsi="Arial" w:cs="Arial"/>
          <w:sz w:val="22"/>
          <w:szCs w:val="22"/>
        </w:rPr>
        <w:t xml:space="preserve">Treba poticati izgradnju manjih proizvodnih jedinica koje će racionalnim poslovanjem i brzom prilagodbom, zahtijevima tržišta omogućiti brži gospodarski razvitak. Kako bi se potaknuo razvoj poduzetništva potrebno je osigurati uvjete, prije svega prostor i komunalnu opremljenost. Da bi se privuklo investitore potrebno je izgraditi i u potpunosti opremiti zone za poduzetništvo cjelokupnom infrastukturom i ponuditi razne olakšice – kako bi prostor postao atraktivan za poduzetničke inicijative. </w:t>
      </w:r>
    </w:p>
    <w:p w:rsidR="00012172" w:rsidRDefault="00012172">
      <w:pPr>
        <w:rPr>
          <w:rFonts w:ascii="Arial" w:hAnsi="Arial" w:cs="Arial"/>
          <w:b/>
          <w:sz w:val="22"/>
          <w:szCs w:val="22"/>
        </w:rPr>
      </w:pPr>
    </w:p>
    <w:p w:rsidR="00012172" w:rsidRPr="009A1682" w:rsidRDefault="00012172" w:rsidP="009A1682">
      <w:pPr>
        <w:jc w:val="both"/>
        <w:rPr>
          <w:rFonts w:ascii="Arial" w:hAnsi="Arial" w:cs="Arial"/>
          <w:b/>
          <w:sz w:val="22"/>
          <w:szCs w:val="22"/>
        </w:rPr>
      </w:pPr>
      <w:r w:rsidRPr="009A1682">
        <w:rPr>
          <w:rFonts w:ascii="Arial" w:hAnsi="Arial" w:cs="Arial"/>
          <w:b/>
          <w:sz w:val="22"/>
          <w:szCs w:val="22"/>
        </w:rPr>
        <w:t>Turizam</w:t>
      </w:r>
    </w:p>
    <w:p w:rsidR="00012172" w:rsidRDefault="00012172">
      <w:pPr>
        <w:jc w:val="both"/>
        <w:rPr>
          <w:rFonts w:ascii="Arial" w:hAnsi="Arial" w:cs="Arial"/>
          <w:sz w:val="22"/>
          <w:lang w:val="it-IT"/>
        </w:rPr>
      </w:pPr>
      <w:r>
        <w:rPr>
          <w:rFonts w:ascii="Arial" w:hAnsi="Arial" w:cs="Arial"/>
          <w:b/>
          <w:sz w:val="22"/>
        </w:rPr>
        <w:t>Dvorac Erd</w:t>
      </w:r>
      <w:r>
        <w:rPr>
          <w:rFonts w:ascii="Arial" w:hAnsi="Arial" w:cs="Arial"/>
          <w:b/>
          <w:sz w:val="22"/>
        </w:rPr>
        <w:sym w:font="Times New Roman" w:char="00F6"/>
      </w:r>
      <w:r>
        <w:rPr>
          <w:rFonts w:ascii="Arial" w:hAnsi="Arial" w:cs="Arial"/>
          <w:b/>
          <w:sz w:val="22"/>
        </w:rPr>
        <w:t>dy-Rubido</w:t>
      </w:r>
      <w:r>
        <w:rPr>
          <w:rFonts w:ascii="Arial" w:hAnsi="Arial" w:cs="Arial"/>
          <w:sz w:val="22"/>
          <w:lang w:val="it-IT"/>
        </w:rPr>
        <w:t xml:space="preserve"> namjenjen je prije svega za razvoj turističke ponude i stvaranje imiđa ovog kraja. Osim samog dvorca za razvoj turizma je namjenjen i prostor uz njega. Tradicionalne manifestacije Dani plemstva i Sidonijin dan predstavljaju turističke atrakcije koje je potrebno poticati. Postojeće planinarske staze obnavljat će se i produživat. </w:t>
      </w:r>
      <w:r w:rsidR="009A1682">
        <w:rPr>
          <w:rFonts w:ascii="Arial" w:hAnsi="Arial" w:cs="Arial"/>
          <w:sz w:val="22"/>
          <w:lang w:val="it-IT"/>
        </w:rPr>
        <w:t xml:space="preserve">Sjeverne padine Kalnika pogodne su za izgradnju skijališta. </w:t>
      </w:r>
      <w:r>
        <w:rPr>
          <w:rFonts w:ascii="Arial" w:hAnsi="Arial" w:cs="Arial"/>
          <w:sz w:val="22"/>
          <w:lang w:val="it-IT"/>
        </w:rPr>
        <w:t>Jedini slap u Koprivničko-križevačkoj županiji jedna je od turističkih točaka na</w:t>
      </w:r>
      <w:r w:rsidR="009A1682">
        <w:rPr>
          <w:rFonts w:ascii="Arial" w:hAnsi="Arial" w:cs="Arial"/>
          <w:sz w:val="22"/>
          <w:lang w:val="it-IT"/>
        </w:rPr>
        <w:t xml:space="preserve"> </w:t>
      </w:r>
      <w:r>
        <w:rPr>
          <w:rFonts w:ascii="Arial" w:hAnsi="Arial" w:cs="Arial"/>
          <w:sz w:val="22"/>
          <w:lang w:val="it-IT"/>
        </w:rPr>
        <w:t>kojima će se bazirati razvoj turizma kalničkog područja.</w:t>
      </w:r>
    </w:p>
    <w:p w:rsidR="00012172" w:rsidRDefault="00012172">
      <w:pPr>
        <w:jc w:val="both"/>
        <w:rPr>
          <w:rFonts w:ascii="Arial" w:hAnsi="Arial" w:cs="Arial"/>
          <w:sz w:val="22"/>
          <w:lang w:val="it-IT"/>
        </w:rPr>
      </w:pPr>
    </w:p>
    <w:p w:rsidR="00012172" w:rsidRDefault="00012172">
      <w:pPr>
        <w:jc w:val="both"/>
        <w:rPr>
          <w:sz w:val="22"/>
        </w:rPr>
      </w:pPr>
    </w:p>
    <w:p w:rsidR="00012172" w:rsidRDefault="00012172"/>
    <w:p w:rsidR="00012172" w:rsidRDefault="00012172">
      <w:pPr>
        <w:pStyle w:val="Naslov3"/>
        <w:rPr>
          <w:rFonts w:ascii="Times New Roman" w:hAnsi="Times New Roman" w:cs="Times New Roman"/>
        </w:rPr>
      </w:pPr>
      <w:bookmarkStart w:id="43" w:name="_Toc95140593"/>
      <w:r>
        <w:rPr>
          <w:rFonts w:ascii="Times New Roman" w:hAnsi="Times New Roman" w:cs="Times New Roman"/>
        </w:rPr>
        <w:t>2.2.3. Razvoj naselja, društvene, prometne i komunalne infrastrukture</w:t>
      </w:r>
      <w:bookmarkEnd w:id="43"/>
      <w:r>
        <w:rPr>
          <w:rFonts w:ascii="Times New Roman" w:hAnsi="Times New Roman" w:cs="Times New Roman"/>
        </w:rPr>
        <w:t xml:space="preserve"> </w:t>
      </w:r>
    </w:p>
    <w:p w:rsidR="00012172" w:rsidRDefault="00012172">
      <w:pPr>
        <w:jc w:val="both"/>
        <w:rPr>
          <w:rFonts w:ascii="Arial" w:hAnsi="Arial" w:cs="Arial"/>
          <w:sz w:val="22"/>
          <w:szCs w:val="22"/>
          <w:lang w:val="de-DE"/>
        </w:rPr>
      </w:pPr>
    </w:p>
    <w:p w:rsidR="00012172" w:rsidRDefault="00012172">
      <w:pPr>
        <w:rPr>
          <w:b/>
          <w:bCs/>
        </w:rPr>
      </w:pPr>
      <w:r>
        <w:rPr>
          <w:b/>
          <w:bCs/>
        </w:rPr>
        <w:t>Razvoj naselja</w:t>
      </w:r>
    </w:p>
    <w:p w:rsidR="00012172" w:rsidRDefault="00012172">
      <w:pPr>
        <w:jc w:val="both"/>
        <w:rPr>
          <w:rFonts w:ascii="Arial" w:hAnsi="Arial" w:cs="Arial"/>
          <w:sz w:val="22"/>
          <w:szCs w:val="22"/>
        </w:rPr>
      </w:pPr>
      <w:r>
        <w:rPr>
          <w:rFonts w:ascii="Arial" w:hAnsi="Arial" w:cs="Arial"/>
          <w:sz w:val="22"/>
          <w:szCs w:val="22"/>
          <w:lang w:val="de-DE"/>
        </w:rPr>
        <w:t>Razvoj</w:t>
      </w:r>
      <w:r>
        <w:rPr>
          <w:rFonts w:ascii="Arial" w:hAnsi="Arial" w:cs="Arial"/>
          <w:sz w:val="22"/>
          <w:szCs w:val="22"/>
        </w:rPr>
        <w:t xml:space="preserve"> </w:t>
      </w:r>
      <w:r>
        <w:rPr>
          <w:rFonts w:ascii="Arial" w:hAnsi="Arial" w:cs="Arial"/>
          <w:sz w:val="22"/>
          <w:szCs w:val="22"/>
          <w:lang w:val="de-DE"/>
        </w:rPr>
        <w:t>naselja</w:t>
      </w:r>
      <w:r>
        <w:rPr>
          <w:rFonts w:ascii="Arial" w:hAnsi="Arial" w:cs="Arial"/>
          <w:sz w:val="22"/>
          <w:szCs w:val="22"/>
        </w:rPr>
        <w:t xml:space="preserve"> </w:t>
      </w:r>
      <w:r>
        <w:rPr>
          <w:rFonts w:ascii="Arial" w:hAnsi="Arial" w:cs="Arial"/>
          <w:sz w:val="22"/>
          <w:szCs w:val="22"/>
          <w:lang w:val="de-DE"/>
        </w:rPr>
        <w:t>na</w:t>
      </w:r>
      <w:r>
        <w:rPr>
          <w:rFonts w:ascii="Arial" w:hAnsi="Arial" w:cs="Arial"/>
          <w:sz w:val="22"/>
          <w:szCs w:val="22"/>
        </w:rPr>
        <w:t xml:space="preserve"> </w:t>
      </w:r>
      <w:r>
        <w:rPr>
          <w:rFonts w:ascii="Arial" w:hAnsi="Arial" w:cs="Arial"/>
          <w:sz w:val="22"/>
          <w:szCs w:val="22"/>
          <w:lang w:val="de-DE"/>
        </w:rPr>
        <w:t>podru</w:t>
      </w:r>
      <w:r>
        <w:rPr>
          <w:rFonts w:ascii="Arial" w:hAnsi="Arial" w:cs="Arial"/>
          <w:sz w:val="22"/>
          <w:szCs w:val="22"/>
        </w:rPr>
        <w:t>č</w:t>
      </w:r>
      <w:r>
        <w:rPr>
          <w:rFonts w:ascii="Arial" w:hAnsi="Arial" w:cs="Arial"/>
          <w:sz w:val="22"/>
          <w:szCs w:val="22"/>
          <w:lang w:val="de-DE"/>
        </w:rPr>
        <w:t>ju</w:t>
      </w:r>
      <w:r>
        <w:rPr>
          <w:rFonts w:ascii="Arial" w:hAnsi="Arial" w:cs="Arial"/>
          <w:sz w:val="22"/>
          <w:szCs w:val="22"/>
        </w:rPr>
        <w:t xml:space="preserve"> </w:t>
      </w:r>
      <w:r>
        <w:rPr>
          <w:rFonts w:ascii="Arial" w:hAnsi="Arial" w:cs="Arial"/>
          <w:sz w:val="22"/>
          <w:szCs w:val="22"/>
          <w:lang w:val="de-DE"/>
        </w:rPr>
        <w:t>Op</w:t>
      </w:r>
      <w:r>
        <w:rPr>
          <w:rFonts w:ascii="Arial" w:hAnsi="Arial" w:cs="Arial"/>
          <w:sz w:val="22"/>
          <w:szCs w:val="22"/>
        </w:rPr>
        <w:t>ć</w:t>
      </w:r>
      <w:r>
        <w:rPr>
          <w:rFonts w:ascii="Arial" w:hAnsi="Arial" w:cs="Arial"/>
          <w:sz w:val="22"/>
          <w:szCs w:val="22"/>
          <w:lang w:val="de-DE"/>
        </w:rPr>
        <w:t>ine</w:t>
      </w:r>
      <w:r>
        <w:rPr>
          <w:rFonts w:ascii="Arial" w:hAnsi="Arial" w:cs="Arial"/>
          <w:sz w:val="22"/>
          <w:szCs w:val="22"/>
        </w:rPr>
        <w:t xml:space="preserve"> </w:t>
      </w:r>
      <w:r>
        <w:rPr>
          <w:rFonts w:ascii="Arial" w:hAnsi="Arial" w:cs="Arial"/>
          <w:sz w:val="22"/>
          <w:szCs w:val="22"/>
          <w:lang w:val="de-DE"/>
        </w:rPr>
        <w:t>Gornja Rijeka</w:t>
      </w:r>
      <w:r>
        <w:rPr>
          <w:rFonts w:ascii="Arial" w:hAnsi="Arial" w:cs="Arial"/>
          <w:sz w:val="22"/>
          <w:szCs w:val="22"/>
        </w:rPr>
        <w:t xml:space="preserve"> </w:t>
      </w:r>
      <w:r>
        <w:rPr>
          <w:rFonts w:ascii="Arial" w:hAnsi="Arial" w:cs="Arial"/>
          <w:sz w:val="22"/>
          <w:szCs w:val="22"/>
          <w:lang w:val="de-DE"/>
        </w:rPr>
        <w:t>bit</w:t>
      </w:r>
      <w:r>
        <w:rPr>
          <w:rFonts w:ascii="Arial" w:hAnsi="Arial" w:cs="Arial"/>
          <w:sz w:val="22"/>
          <w:szCs w:val="22"/>
        </w:rPr>
        <w:t xml:space="preserve"> ć</w:t>
      </w:r>
      <w:r>
        <w:rPr>
          <w:rFonts w:ascii="Arial" w:hAnsi="Arial" w:cs="Arial"/>
          <w:sz w:val="22"/>
          <w:szCs w:val="22"/>
          <w:lang w:val="de-DE"/>
        </w:rPr>
        <w:t>e</w:t>
      </w:r>
      <w:r>
        <w:rPr>
          <w:rFonts w:ascii="Arial" w:hAnsi="Arial" w:cs="Arial"/>
          <w:sz w:val="22"/>
          <w:szCs w:val="22"/>
        </w:rPr>
        <w:t xml:space="preserve"> </w:t>
      </w:r>
      <w:r>
        <w:rPr>
          <w:rFonts w:ascii="Arial" w:hAnsi="Arial" w:cs="Arial"/>
          <w:sz w:val="22"/>
          <w:szCs w:val="22"/>
          <w:lang w:val="de-DE"/>
        </w:rPr>
        <w:t>u</w:t>
      </w:r>
      <w:r>
        <w:rPr>
          <w:rFonts w:ascii="Arial" w:hAnsi="Arial" w:cs="Arial"/>
          <w:sz w:val="22"/>
          <w:szCs w:val="22"/>
        </w:rPr>
        <w:t xml:space="preserve"> </w:t>
      </w:r>
      <w:r>
        <w:rPr>
          <w:rFonts w:ascii="Arial" w:hAnsi="Arial" w:cs="Arial"/>
          <w:sz w:val="22"/>
          <w:szCs w:val="22"/>
          <w:lang w:val="de-DE"/>
        </w:rPr>
        <w:t>skladu</w:t>
      </w:r>
      <w:r>
        <w:rPr>
          <w:rFonts w:ascii="Arial" w:hAnsi="Arial" w:cs="Arial"/>
          <w:sz w:val="22"/>
          <w:szCs w:val="22"/>
        </w:rPr>
        <w:t xml:space="preserve"> </w:t>
      </w:r>
      <w:r>
        <w:rPr>
          <w:rFonts w:ascii="Arial" w:hAnsi="Arial" w:cs="Arial"/>
          <w:sz w:val="22"/>
          <w:szCs w:val="22"/>
          <w:lang w:val="de-DE"/>
        </w:rPr>
        <w:t>s</w:t>
      </w:r>
      <w:r>
        <w:rPr>
          <w:rFonts w:ascii="Arial" w:hAnsi="Arial" w:cs="Arial"/>
          <w:sz w:val="22"/>
          <w:szCs w:val="22"/>
        </w:rPr>
        <w:t xml:space="preserve"> </w:t>
      </w:r>
      <w:r>
        <w:rPr>
          <w:rFonts w:ascii="Arial" w:hAnsi="Arial" w:cs="Arial"/>
          <w:sz w:val="22"/>
          <w:szCs w:val="22"/>
          <w:lang w:val="de-DE"/>
        </w:rPr>
        <w:t>demografskim</w:t>
      </w:r>
      <w:r>
        <w:rPr>
          <w:rFonts w:ascii="Arial" w:hAnsi="Arial" w:cs="Arial"/>
          <w:sz w:val="22"/>
          <w:szCs w:val="22"/>
        </w:rPr>
        <w:t xml:space="preserve"> </w:t>
      </w:r>
      <w:r>
        <w:rPr>
          <w:rFonts w:ascii="Arial" w:hAnsi="Arial" w:cs="Arial"/>
          <w:sz w:val="22"/>
          <w:szCs w:val="22"/>
          <w:lang w:val="de-DE"/>
        </w:rPr>
        <w:t>i</w:t>
      </w:r>
      <w:r>
        <w:rPr>
          <w:rFonts w:ascii="Arial" w:hAnsi="Arial" w:cs="Arial"/>
          <w:sz w:val="22"/>
          <w:szCs w:val="22"/>
        </w:rPr>
        <w:t xml:space="preserve"> </w:t>
      </w:r>
      <w:r>
        <w:rPr>
          <w:rFonts w:ascii="Arial" w:hAnsi="Arial" w:cs="Arial"/>
          <w:sz w:val="22"/>
          <w:szCs w:val="22"/>
          <w:lang w:val="de-DE"/>
        </w:rPr>
        <w:t>prostorno</w:t>
      </w:r>
      <w:r>
        <w:rPr>
          <w:rFonts w:ascii="Arial" w:hAnsi="Arial" w:cs="Arial"/>
          <w:sz w:val="22"/>
          <w:szCs w:val="22"/>
        </w:rPr>
        <w:t>-</w:t>
      </w:r>
      <w:r>
        <w:rPr>
          <w:rFonts w:ascii="Arial" w:hAnsi="Arial" w:cs="Arial"/>
          <w:sz w:val="22"/>
          <w:szCs w:val="22"/>
          <w:lang w:val="de-DE"/>
        </w:rPr>
        <w:t>gospodarskim</w:t>
      </w:r>
      <w:r>
        <w:rPr>
          <w:rFonts w:ascii="Arial" w:hAnsi="Arial" w:cs="Arial"/>
          <w:sz w:val="22"/>
          <w:szCs w:val="22"/>
        </w:rPr>
        <w:t xml:space="preserve"> č</w:t>
      </w:r>
      <w:r>
        <w:rPr>
          <w:rFonts w:ascii="Arial" w:hAnsi="Arial" w:cs="Arial"/>
          <w:sz w:val="22"/>
          <w:szCs w:val="22"/>
          <w:lang w:val="de-DE"/>
        </w:rPr>
        <w:t>imbenicima</w:t>
      </w:r>
      <w:r>
        <w:rPr>
          <w:rFonts w:ascii="Arial" w:hAnsi="Arial" w:cs="Arial"/>
          <w:sz w:val="22"/>
          <w:szCs w:val="22"/>
        </w:rPr>
        <w:t>. Osnovni cilj urbanog razvoja prostora Općine je ''održivi razvitak naselja'', odnosno postizanje kvalitete života koja se neće temeljiti na nepovratnom iskorištavanju resursa, već na održavanju komparativnih prednosti ruralnog prostora uz uvođenje civilizacijskih vrijednosti koje podižu kvalitetu života stanovništvu.</w:t>
      </w:r>
    </w:p>
    <w:p w:rsidR="00012172" w:rsidRDefault="00012172">
      <w:pPr>
        <w:jc w:val="both"/>
        <w:rPr>
          <w:rFonts w:ascii="Arial" w:hAnsi="Arial" w:cs="Arial"/>
          <w:sz w:val="22"/>
          <w:szCs w:val="22"/>
        </w:rPr>
      </w:pPr>
    </w:p>
    <w:p w:rsidR="00012172" w:rsidRDefault="00012172">
      <w:pPr>
        <w:jc w:val="both"/>
        <w:rPr>
          <w:rFonts w:ascii="Arial" w:hAnsi="Arial" w:cs="Arial"/>
          <w:sz w:val="22"/>
          <w:szCs w:val="22"/>
        </w:rPr>
      </w:pPr>
      <w:r>
        <w:rPr>
          <w:rFonts w:ascii="Arial" w:hAnsi="Arial" w:cs="Arial"/>
          <w:sz w:val="22"/>
          <w:szCs w:val="22"/>
        </w:rPr>
        <w:t>Posebni ciljevi od općinskog značaja odnose se na usmjeravanje različitih modela razvoja za pojedine grupe naselja ovisno o ukupnom prostorno – gospodarskom razvoju dijelova Općine.</w:t>
      </w:r>
    </w:p>
    <w:p w:rsidR="00012172" w:rsidRDefault="00012172">
      <w:pPr>
        <w:jc w:val="both"/>
        <w:rPr>
          <w:rFonts w:ascii="Arial" w:hAnsi="Arial" w:cs="Arial"/>
          <w:sz w:val="22"/>
          <w:szCs w:val="22"/>
        </w:rPr>
      </w:pPr>
      <w:r>
        <w:rPr>
          <w:rFonts w:ascii="Arial" w:hAnsi="Arial" w:cs="Arial"/>
          <w:sz w:val="22"/>
          <w:szCs w:val="22"/>
        </w:rPr>
        <w:t>To prvenstveno znači da se naselja trebaju razgraničiti na:</w:t>
      </w:r>
    </w:p>
    <w:p w:rsidR="00012172" w:rsidRDefault="00012172">
      <w:pPr>
        <w:ind w:left="705"/>
        <w:jc w:val="both"/>
        <w:rPr>
          <w:rFonts w:ascii="Arial" w:hAnsi="Arial" w:cs="Arial"/>
          <w:sz w:val="22"/>
          <w:szCs w:val="22"/>
        </w:rPr>
      </w:pPr>
      <w:r>
        <w:rPr>
          <w:rFonts w:ascii="Arial" w:hAnsi="Arial" w:cs="Arial"/>
          <w:sz w:val="22"/>
          <w:szCs w:val="22"/>
        </w:rPr>
        <w:lastRenderedPageBreak/>
        <w:t>-urbanizirana naselja ili Gornja Rijeka)</w:t>
      </w:r>
    </w:p>
    <w:p w:rsidR="00012172" w:rsidRDefault="00012172">
      <w:pPr>
        <w:ind w:left="705"/>
        <w:jc w:val="both"/>
        <w:rPr>
          <w:rFonts w:ascii="Arial" w:hAnsi="Arial" w:cs="Arial"/>
          <w:sz w:val="22"/>
          <w:szCs w:val="22"/>
        </w:rPr>
      </w:pPr>
      <w:r>
        <w:rPr>
          <w:rFonts w:ascii="Arial" w:hAnsi="Arial" w:cs="Arial"/>
          <w:sz w:val="22"/>
          <w:szCs w:val="22"/>
        </w:rPr>
        <w:t>-naselja koja se mogu smatrati integralnim elementom ruralnog (sva ostala naselja).</w:t>
      </w:r>
    </w:p>
    <w:p w:rsidR="00012172" w:rsidRDefault="00012172">
      <w:pPr>
        <w:jc w:val="both"/>
        <w:rPr>
          <w:rFonts w:ascii="Arial" w:hAnsi="Arial" w:cs="Arial"/>
          <w:sz w:val="22"/>
          <w:szCs w:val="22"/>
        </w:rPr>
      </w:pPr>
    </w:p>
    <w:p w:rsidR="00012172" w:rsidRDefault="00012172">
      <w:pPr>
        <w:jc w:val="both"/>
        <w:rPr>
          <w:rFonts w:ascii="Arial" w:hAnsi="Arial" w:cs="Arial"/>
          <w:sz w:val="22"/>
          <w:szCs w:val="22"/>
        </w:rPr>
      </w:pPr>
    </w:p>
    <w:p w:rsidR="00012172" w:rsidRDefault="00012172">
      <w:pPr>
        <w:pStyle w:val="Naslov6"/>
      </w:pPr>
      <w:r>
        <w:t>Razvoj društvene infrastrukture</w:t>
      </w:r>
    </w:p>
    <w:p w:rsidR="00012172" w:rsidRDefault="00012172">
      <w:pPr>
        <w:rPr>
          <w:rFonts w:ascii="Arial" w:hAnsi="Arial" w:cs="Arial"/>
          <w:sz w:val="22"/>
        </w:rPr>
      </w:pPr>
      <w:r>
        <w:rPr>
          <w:rFonts w:ascii="Arial" w:hAnsi="Arial" w:cs="Arial"/>
          <w:sz w:val="22"/>
        </w:rPr>
        <w:t xml:space="preserve">Razvoj društvene infrastrukture od općinskog značaja može se definirati u </w:t>
      </w:r>
      <w:r w:rsidR="00EC21D5">
        <w:rPr>
          <w:rFonts w:ascii="Arial" w:hAnsi="Arial" w:cs="Arial"/>
          <w:sz w:val="22"/>
        </w:rPr>
        <w:t>smjeru</w:t>
      </w:r>
      <w:r>
        <w:rPr>
          <w:rFonts w:ascii="Arial" w:hAnsi="Arial" w:cs="Arial"/>
          <w:sz w:val="22"/>
        </w:rPr>
        <w:t>:</w:t>
      </w:r>
    </w:p>
    <w:p w:rsidR="00012172" w:rsidRDefault="00EC21D5">
      <w:pPr>
        <w:rPr>
          <w:rFonts w:ascii="Arial" w:hAnsi="Arial" w:cs="Arial"/>
          <w:sz w:val="22"/>
        </w:rPr>
      </w:pPr>
      <w:r>
        <w:rPr>
          <w:rFonts w:ascii="Arial" w:hAnsi="Arial" w:cs="Arial"/>
          <w:sz w:val="22"/>
        </w:rPr>
        <w:t>-jačanja</w:t>
      </w:r>
      <w:r w:rsidR="00012172">
        <w:rPr>
          <w:rFonts w:ascii="Arial" w:hAnsi="Arial" w:cs="Arial"/>
          <w:sz w:val="22"/>
        </w:rPr>
        <w:t xml:space="preserve"> institucija i širenje mreže društvene infrastrukture lokalnog karaktera na području Općine i to:</w:t>
      </w:r>
    </w:p>
    <w:p w:rsidR="00012172" w:rsidRDefault="00012172">
      <w:pPr>
        <w:ind w:left="708"/>
        <w:jc w:val="both"/>
        <w:rPr>
          <w:rFonts w:ascii="Arial" w:hAnsi="Arial" w:cs="Arial"/>
          <w:sz w:val="22"/>
          <w:szCs w:val="22"/>
        </w:rPr>
      </w:pPr>
      <w:r>
        <w:rPr>
          <w:rFonts w:ascii="Arial" w:hAnsi="Arial" w:cs="Arial"/>
          <w:sz w:val="22"/>
        </w:rPr>
        <w:t>-predškolskog odgoja</w:t>
      </w:r>
      <w:r w:rsidR="00EC21D5">
        <w:rPr>
          <w:rFonts w:ascii="Arial" w:hAnsi="Arial" w:cs="Arial"/>
          <w:sz w:val="22"/>
        </w:rPr>
        <w:t xml:space="preserve"> (izgradnja vrtića)</w:t>
      </w:r>
      <w:r>
        <w:rPr>
          <w:rFonts w:ascii="Arial" w:hAnsi="Arial" w:cs="Arial"/>
          <w:sz w:val="22"/>
        </w:rPr>
        <w:t xml:space="preserve"> i osnovnoškolskog obrazovanja</w:t>
      </w:r>
      <w:r w:rsidR="00EC21D5">
        <w:rPr>
          <w:rFonts w:ascii="Arial" w:hAnsi="Arial" w:cs="Arial"/>
          <w:sz w:val="22"/>
        </w:rPr>
        <w:t>,</w:t>
      </w:r>
    </w:p>
    <w:p w:rsidR="00012172" w:rsidRDefault="00012172">
      <w:pPr>
        <w:ind w:firstLine="708"/>
        <w:rPr>
          <w:rFonts w:ascii="Arial" w:hAnsi="Arial" w:cs="Arial"/>
          <w:sz w:val="22"/>
        </w:rPr>
      </w:pPr>
      <w:r>
        <w:rPr>
          <w:rFonts w:ascii="Arial" w:hAnsi="Arial" w:cs="Arial"/>
          <w:sz w:val="22"/>
        </w:rPr>
        <w:t>-kulturnih djelatnosti lokalnog karaktera</w:t>
      </w:r>
      <w:r w:rsidR="00EC21D5">
        <w:rPr>
          <w:rFonts w:ascii="Arial" w:hAnsi="Arial" w:cs="Arial"/>
          <w:sz w:val="22"/>
        </w:rPr>
        <w:t>,</w:t>
      </w:r>
    </w:p>
    <w:p w:rsidR="00EC21D5" w:rsidRDefault="00EC21D5">
      <w:pPr>
        <w:ind w:firstLine="708"/>
        <w:rPr>
          <w:rFonts w:ascii="Arial" w:hAnsi="Arial" w:cs="Arial"/>
          <w:sz w:val="22"/>
        </w:rPr>
      </w:pPr>
      <w:r>
        <w:rPr>
          <w:rFonts w:ascii="Arial" w:hAnsi="Arial" w:cs="Arial"/>
          <w:sz w:val="22"/>
        </w:rPr>
        <w:t>- izgradnja staračkog doma,</w:t>
      </w:r>
    </w:p>
    <w:p w:rsidR="00012172" w:rsidRDefault="00012172">
      <w:pPr>
        <w:ind w:firstLine="708"/>
        <w:rPr>
          <w:rFonts w:ascii="Arial" w:hAnsi="Arial" w:cs="Arial"/>
          <w:sz w:val="22"/>
        </w:rPr>
      </w:pPr>
      <w:r>
        <w:rPr>
          <w:rFonts w:ascii="Arial" w:hAnsi="Arial" w:cs="Arial"/>
          <w:sz w:val="22"/>
        </w:rPr>
        <w:t>-sportskih i rekreativnih klubova</w:t>
      </w:r>
      <w:r w:rsidR="00EC21D5">
        <w:rPr>
          <w:rFonts w:ascii="Arial" w:hAnsi="Arial" w:cs="Arial"/>
          <w:sz w:val="22"/>
        </w:rPr>
        <w:t xml:space="preserve"> (poboljšati uvjete djelovanja izgradnjom adekvatnih športskih terena, izgradnja bazena).</w:t>
      </w:r>
    </w:p>
    <w:p w:rsidR="00012172" w:rsidRDefault="00012172">
      <w:pPr>
        <w:rPr>
          <w:rFonts w:ascii="Arial" w:hAnsi="Arial" w:cs="Arial"/>
          <w:sz w:val="22"/>
        </w:rPr>
      </w:pPr>
    </w:p>
    <w:p w:rsidR="00012172" w:rsidRDefault="00012172">
      <w:pPr>
        <w:rPr>
          <w:rFonts w:ascii="Arial" w:hAnsi="Arial" w:cs="Arial"/>
          <w:sz w:val="22"/>
        </w:rPr>
      </w:pPr>
      <w:r>
        <w:rPr>
          <w:rFonts w:ascii="Arial" w:hAnsi="Arial" w:cs="Arial"/>
          <w:sz w:val="22"/>
        </w:rPr>
        <w:t>-bolje</w:t>
      </w:r>
      <w:r w:rsidR="00EC21D5">
        <w:rPr>
          <w:rFonts w:ascii="Arial" w:hAnsi="Arial" w:cs="Arial"/>
          <w:sz w:val="22"/>
        </w:rPr>
        <w:t>g</w:t>
      </w:r>
      <w:r>
        <w:rPr>
          <w:rFonts w:ascii="Arial" w:hAnsi="Arial" w:cs="Arial"/>
          <w:sz w:val="22"/>
        </w:rPr>
        <w:t xml:space="preserve"> korištenj</w:t>
      </w:r>
      <w:r w:rsidR="00EC21D5">
        <w:rPr>
          <w:rFonts w:ascii="Arial" w:hAnsi="Arial" w:cs="Arial"/>
          <w:sz w:val="22"/>
        </w:rPr>
        <w:t>a</w:t>
      </w:r>
      <w:r>
        <w:rPr>
          <w:rFonts w:ascii="Arial" w:hAnsi="Arial" w:cs="Arial"/>
          <w:sz w:val="22"/>
        </w:rPr>
        <w:t xml:space="preserve"> institucija društvene infrastrukture regionalnog karaktera, prvenstveno u Križevcima:</w:t>
      </w:r>
    </w:p>
    <w:p w:rsidR="00012172" w:rsidRDefault="00012172">
      <w:pPr>
        <w:rPr>
          <w:rFonts w:ascii="Arial" w:hAnsi="Arial" w:cs="Arial"/>
          <w:sz w:val="22"/>
        </w:rPr>
      </w:pPr>
      <w:r>
        <w:rPr>
          <w:rFonts w:ascii="Arial" w:hAnsi="Arial" w:cs="Arial"/>
          <w:sz w:val="22"/>
        </w:rPr>
        <w:tab/>
        <w:t>-srednjeg i visokog obrazovanja</w:t>
      </w:r>
    </w:p>
    <w:p w:rsidR="00012172" w:rsidRDefault="00012172">
      <w:pPr>
        <w:rPr>
          <w:rFonts w:ascii="Arial" w:hAnsi="Arial" w:cs="Arial"/>
          <w:sz w:val="22"/>
        </w:rPr>
      </w:pPr>
      <w:r>
        <w:rPr>
          <w:rFonts w:ascii="Arial" w:hAnsi="Arial" w:cs="Arial"/>
          <w:sz w:val="22"/>
        </w:rPr>
        <w:tab/>
        <w:t>-kulturnih djelatnosti lokalnog karaktera</w:t>
      </w:r>
    </w:p>
    <w:p w:rsidR="00012172" w:rsidRDefault="00012172">
      <w:pPr>
        <w:rPr>
          <w:rFonts w:ascii="Arial" w:hAnsi="Arial" w:cs="Arial"/>
          <w:sz w:val="22"/>
        </w:rPr>
      </w:pPr>
      <w:r>
        <w:rPr>
          <w:rFonts w:ascii="Arial" w:hAnsi="Arial" w:cs="Arial"/>
          <w:sz w:val="22"/>
        </w:rPr>
        <w:tab/>
        <w:t>-sportske infrastrukture,</w:t>
      </w:r>
    </w:p>
    <w:p w:rsidR="00012172" w:rsidRPr="00EC21D5" w:rsidRDefault="00012172">
      <w:pPr>
        <w:rPr>
          <w:rFonts w:ascii="Arial" w:hAnsi="Arial" w:cs="Arial"/>
          <w:sz w:val="22"/>
          <w:szCs w:val="22"/>
        </w:rPr>
      </w:pPr>
      <w:r w:rsidRPr="00EC21D5">
        <w:rPr>
          <w:rFonts w:ascii="Arial" w:hAnsi="Arial" w:cs="Arial"/>
          <w:sz w:val="22"/>
          <w:szCs w:val="22"/>
        </w:rPr>
        <w:tab/>
        <w:t>-zdravstvenih i socijalnih institucija</w:t>
      </w:r>
    </w:p>
    <w:p w:rsidR="00012172" w:rsidRDefault="00012172">
      <w:pPr>
        <w:rPr>
          <w:rFonts w:ascii="Arial" w:hAnsi="Arial" w:cs="Arial"/>
          <w:sz w:val="22"/>
        </w:rPr>
      </w:pPr>
      <w:r>
        <w:rPr>
          <w:rFonts w:ascii="Arial" w:hAnsi="Arial" w:cs="Arial"/>
          <w:sz w:val="22"/>
        </w:rPr>
        <w:tab/>
        <w:t>-upravnih institucija</w:t>
      </w:r>
    </w:p>
    <w:p w:rsidR="00012172" w:rsidRDefault="00012172">
      <w:pPr>
        <w:rPr>
          <w:rFonts w:ascii="Arial" w:hAnsi="Arial" w:cs="Arial"/>
          <w:sz w:val="22"/>
        </w:rPr>
      </w:pPr>
    </w:p>
    <w:p w:rsidR="00012172" w:rsidRDefault="00012172">
      <w:pPr>
        <w:rPr>
          <w:rFonts w:ascii="Arial" w:hAnsi="Arial" w:cs="Arial"/>
          <w:b/>
          <w:bCs/>
          <w:sz w:val="22"/>
        </w:rPr>
      </w:pPr>
      <w:r>
        <w:rPr>
          <w:rFonts w:ascii="Arial" w:hAnsi="Arial" w:cs="Arial"/>
          <w:b/>
          <w:bCs/>
          <w:sz w:val="22"/>
        </w:rPr>
        <w:t>Razvoj prometne infrastrukture</w:t>
      </w:r>
    </w:p>
    <w:p w:rsidR="00012172" w:rsidRDefault="00012172">
      <w:pPr>
        <w:jc w:val="both"/>
        <w:rPr>
          <w:rFonts w:ascii="Arial" w:hAnsi="Arial" w:cs="Arial"/>
          <w:sz w:val="22"/>
        </w:rPr>
      </w:pPr>
      <w:r>
        <w:rPr>
          <w:rFonts w:ascii="Arial" w:hAnsi="Arial" w:cs="Arial"/>
          <w:sz w:val="22"/>
        </w:rPr>
        <w:t>Osnovna smjernica u razvoju cestovne prometne infrastrukture je uređenje prometnica sukladno njihovom značenju i prometnom opterećenju. Potrebno je poboljšati prometno-tehničke elemente na svim prometnim koridorima kako bi se osigurala veća sigurnost u prometu za sve sudionike, što podrazumijeva, između ostalog, izgradnju pješačkih staza kroz naselja, prvenstveno uz prometnice kojima školska djeca pješače u i iz škole</w:t>
      </w:r>
      <w:r w:rsidR="00BC2A4D">
        <w:rPr>
          <w:rFonts w:ascii="Arial" w:hAnsi="Arial" w:cs="Arial"/>
          <w:sz w:val="22"/>
        </w:rPr>
        <w:t xml:space="preserve">. </w:t>
      </w:r>
      <w:r>
        <w:rPr>
          <w:rFonts w:ascii="Arial" w:hAnsi="Arial" w:cs="Arial"/>
          <w:sz w:val="22"/>
        </w:rPr>
        <w:t>Županijski je interes da se na cestama koje prolaze općinom, a prvenstveno na državnoj prometnici prema susjednoj županiji postigne zadovoljavajuća kvaliteta infrastrukturne opremljenosti.</w:t>
      </w:r>
      <w:r w:rsidR="00BC2A4D">
        <w:rPr>
          <w:rFonts w:ascii="Arial" w:hAnsi="Arial" w:cs="Arial"/>
          <w:sz w:val="22"/>
        </w:rPr>
        <w:t xml:space="preserve"> Cilj je povezati cestovnom prometnicom naselja Gornja Rijeka, Riječki Kostanjevec, Pofuki i Vukšinec Riječki.</w:t>
      </w:r>
    </w:p>
    <w:p w:rsidR="00012172" w:rsidRDefault="00012172">
      <w:pPr>
        <w:jc w:val="both"/>
        <w:rPr>
          <w:rFonts w:ascii="Arial" w:hAnsi="Arial" w:cs="Arial"/>
          <w:b/>
          <w:bCs/>
          <w:sz w:val="22"/>
        </w:rPr>
      </w:pPr>
      <w:r>
        <w:rPr>
          <w:rFonts w:ascii="Arial" w:hAnsi="Arial" w:cs="Arial"/>
          <w:sz w:val="22"/>
        </w:rPr>
        <w:t>Poštanske usluge potrebno je prilagoditi potrebama građana, kao i usluge fiksne i mobilne telefonije, omogućavanjem konkurencije u pružanju usluga.</w:t>
      </w:r>
    </w:p>
    <w:p w:rsidR="00012172" w:rsidRDefault="00012172">
      <w:pPr>
        <w:rPr>
          <w:rFonts w:ascii="Arial" w:hAnsi="Arial" w:cs="Arial"/>
          <w:b/>
          <w:bCs/>
          <w:sz w:val="22"/>
        </w:rPr>
      </w:pPr>
    </w:p>
    <w:p w:rsidR="00012172" w:rsidRDefault="00012172">
      <w:pPr>
        <w:rPr>
          <w:rFonts w:ascii="Arial" w:hAnsi="Arial" w:cs="Arial"/>
          <w:b/>
          <w:bCs/>
          <w:sz w:val="22"/>
        </w:rPr>
      </w:pPr>
    </w:p>
    <w:p w:rsidR="00012172" w:rsidRDefault="00012172">
      <w:pPr>
        <w:pStyle w:val="Naslov6"/>
        <w:rPr>
          <w:rFonts w:cs="Arial"/>
        </w:rPr>
      </w:pPr>
      <w:r>
        <w:rPr>
          <w:rFonts w:cs="Arial"/>
        </w:rPr>
        <w:t>Razvoj komunalne infrastrukture</w:t>
      </w:r>
    </w:p>
    <w:p w:rsidR="00012172" w:rsidRDefault="00012172">
      <w:pPr>
        <w:jc w:val="both"/>
        <w:rPr>
          <w:rFonts w:ascii="Arial" w:hAnsi="Arial" w:cs="Arial"/>
          <w:sz w:val="22"/>
          <w:szCs w:val="22"/>
        </w:rPr>
      </w:pPr>
      <w:r>
        <w:rPr>
          <w:rFonts w:ascii="Arial" w:hAnsi="Arial" w:cs="Arial"/>
          <w:sz w:val="22"/>
          <w:szCs w:val="22"/>
        </w:rPr>
        <w:t xml:space="preserve">Ciljevi </w:t>
      </w:r>
      <w:r>
        <w:rPr>
          <w:rFonts w:ascii="Arial" w:hAnsi="Arial" w:cs="Arial"/>
          <w:sz w:val="22"/>
          <w:szCs w:val="22"/>
          <w:lang w:val="en-AU"/>
        </w:rPr>
        <w:t>op</w:t>
      </w:r>
      <w:r>
        <w:rPr>
          <w:rFonts w:ascii="Arial" w:hAnsi="Arial" w:cs="Arial"/>
          <w:sz w:val="22"/>
          <w:szCs w:val="22"/>
        </w:rPr>
        <w:t>ć</w:t>
      </w:r>
      <w:r>
        <w:rPr>
          <w:rFonts w:ascii="Arial" w:hAnsi="Arial" w:cs="Arial"/>
          <w:sz w:val="22"/>
          <w:szCs w:val="22"/>
          <w:lang w:val="en-AU"/>
        </w:rPr>
        <w:t>inskog</w:t>
      </w:r>
      <w:r>
        <w:rPr>
          <w:rFonts w:ascii="Arial" w:hAnsi="Arial" w:cs="Arial"/>
          <w:sz w:val="22"/>
          <w:szCs w:val="22"/>
        </w:rPr>
        <w:t xml:space="preserve"> </w:t>
      </w:r>
      <w:r>
        <w:rPr>
          <w:rFonts w:ascii="Arial" w:hAnsi="Arial" w:cs="Arial"/>
          <w:sz w:val="22"/>
          <w:szCs w:val="22"/>
          <w:lang w:val="en-AU"/>
        </w:rPr>
        <w:t>zna</w:t>
      </w:r>
      <w:r>
        <w:rPr>
          <w:rFonts w:ascii="Arial" w:hAnsi="Arial" w:cs="Arial"/>
          <w:sz w:val="22"/>
          <w:szCs w:val="22"/>
        </w:rPr>
        <w:t>č</w:t>
      </w:r>
      <w:r>
        <w:rPr>
          <w:rFonts w:ascii="Arial" w:hAnsi="Arial" w:cs="Arial"/>
          <w:sz w:val="22"/>
          <w:szCs w:val="22"/>
          <w:lang w:val="en-AU"/>
        </w:rPr>
        <w:t>aja</w:t>
      </w:r>
      <w:r>
        <w:rPr>
          <w:rFonts w:ascii="Arial" w:hAnsi="Arial" w:cs="Arial"/>
          <w:sz w:val="22"/>
          <w:szCs w:val="22"/>
        </w:rPr>
        <w:t xml:space="preserve"> </w:t>
      </w:r>
      <w:r>
        <w:rPr>
          <w:rFonts w:ascii="Arial" w:hAnsi="Arial" w:cs="Arial"/>
          <w:sz w:val="22"/>
          <w:szCs w:val="22"/>
          <w:lang w:val="en-AU"/>
        </w:rPr>
        <w:t>usmjereni</w:t>
      </w:r>
      <w:r>
        <w:rPr>
          <w:rFonts w:ascii="Arial" w:hAnsi="Arial" w:cs="Arial"/>
          <w:sz w:val="22"/>
          <w:szCs w:val="22"/>
        </w:rPr>
        <w:t xml:space="preserve"> </w:t>
      </w:r>
      <w:r>
        <w:rPr>
          <w:rFonts w:ascii="Arial" w:hAnsi="Arial" w:cs="Arial"/>
          <w:sz w:val="22"/>
          <w:szCs w:val="22"/>
          <w:lang w:val="en-AU"/>
        </w:rPr>
        <w:t>su</w:t>
      </w:r>
      <w:r>
        <w:rPr>
          <w:rFonts w:ascii="Arial" w:hAnsi="Arial" w:cs="Arial"/>
          <w:sz w:val="22"/>
          <w:szCs w:val="22"/>
        </w:rPr>
        <w:t xml:space="preserve"> </w:t>
      </w:r>
      <w:r>
        <w:rPr>
          <w:rFonts w:ascii="Arial" w:hAnsi="Arial" w:cs="Arial"/>
          <w:sz w:val="22"/>
          <w:szCs w:val="22"/>
          <w:lang w:val="en-AU"/>
        </w:rPr>
        <w:t>na</w:t>
      </w:r>
      <w:r>
        <w:rPr>
          <w:rFonts w:ascii="Arial" w:hAnsi="Arial" w:cs="Arial"/>
          <w:sz w:val="22"/>
          <w:szCs w:val="22"/>
        </w:rPr>
        <w:t xml:space="preserve"> </w:t>
      </w:r>
      <w:r>
        <w:rPr>
          <w:rFonts w:ascii="Arial" w:hAnsi="Arial" w:cs="Arial"/>
          <w:sz w:val="22"/>
          <w:szCs w:val="22"/>
          <w:lang w:val="en-AU"/>
        </w:rPr>
        <w:t>podizanje</w:t>
      </w:r>
      <w:r>
        <w:rPr>
          <w:rFonts w:ascii="Arial" w:hAnsi="Arial" w:cs="Arial"/>
          <w:sz w:val="22"/>
          <w:szCs w:val="22"/>
        </w:rPr>
        <w:t xml:space="preserve"> </w:t>
      </w:r>
      <w:r>
        <w:rPr>
          <w:rFonts w:ascii="Arial" w:hAnsi="Arial" w:cs="Arial"/>
          <w:sz w:val="22"/>
          <w:szCs w:val="22"/>
          <w:lang w:val="en-AU"/>
        </w:rPr>
        <w:t>kvalitete</w:t>
      </w:r>
      <w:r>
        <w:rPr>
          <w:rFonts w:ascii="Arial" w:hAnsi="Arial" w:cs="Arial"/>
          <w:sz w:val="22"/>
          <w:szCs w:val="22"/>
        </w:rPr>
        <w:t xml:space="preserve"> komunalne infrastrukture u svim naseljima, a posebno u planiranim gospodarskim zonama, na način da se osigura zaštita prirodnih obilježja Općine. </w:t>
      </w:r>
      <w:r>
        <w:rPr>
          <w:rFonts w:ascii="Arial" w:hAnsi="Arial" w:cs="Arial"/>
          <w:sz w:val="22"/>
          <w:szCs w:val="22"/>
          <w:lang w:val="en-AU"/>
        </w:rPr>
        <w:t>Ciljevi</w:t>
      </w:r>
      <w:r>
        <w:rPr>
          <w:rFonts w:ascii="Arial" w:hAnsi="Arial" w:cs="Arial"/>
          <w:sz w:val="22"/>
          <w:szCs w:val="22"/>
        </w:rPr>
        <w:t xml:space="preserve"> </w:t>
      </w:r>
      <w:r>
        <w:rPr>
          <w:rFonts w:ascii="Arial" w:hAnsi="Arial" w:cs="Arial"/>
          <w:sz w:val="22"/>
          <w:szCs w:val="22"/>
          <w:lang w:val="en-AU"/>
        </w:rPr>
        <w:t>razvoja</w:t>
      </w:r>
      <w:r>
        <w:rPr>
          <w:rFonts w:ascii="Arial" w:hAnsi="Arial" w:cs="Arial"/>
          <w:sz w:val="22"/>
          <w:szCs w:val="22"/>
        </w:rPr>
        <w:t xml:space="preserve"> </w:t>
      </w:r>
      <w:r>
        <w:rPr>
          <w:rFonts w:ascii="Arial" w:hAnsi="Arial" w:cs="Arial"/>
          <w:sz w:val="22"/>
          <w:szCs w:val="22"/>
          <w:lang w:val="en-AU"/>
        </w:rPr>
        <w:t>vodoopskrbe</w:t>
      </w:r>
      <w:r>
        <w:rPr>
          <w:rFonts w:ascii="Arial" w:hAnsi="Arial" w:cs="Arial"/>
          <w:sz w:val="22"/>
          <w:szCs w:val="22"/>
        </w:rPr>
        <w:t xml:space="preserve"> </w:t>
      </w:r>
      <w:r>
        <w:rPr>
          <w:rFonts w:ascii="Arial" w:hAnsi="Arial" w:cs="Arial"/>
          <w:sz w:val="22"/>
          <w:szCs w:val="22"/>
          <w:lang w:val="en-AU"/>
        </w:rPr>
        <w:t>su</w:t>
      </w:r>
      <w:r>
        <w:rPr>
          <w:rFonts w:ascii="Arial" w:hAnsi="Arial" w:cs="Arial"/>
          <w:sz w:val="22"/>
          <w:szCs w:val="22"/>
        </w:rPr>
        <w:t xml:space="preserve"> uspostava sigurnog sustava koji će se  </w:t>
      </w:r>
      <w:r>
        <w:rPr>
          <w:rFonts w:ascii="Arial" w:hAnsi="Arial" w:cs="Arial"/>
          <w:sz w:val="22"/>
          <w:szCs w:val="22"/>
          <w:lang w:val="en-AU"/>
        </w:rPr>
        <w:t>povezati</w:t>
      </w:r>
      <w:r>
        <w:rPr>
          <w:rFonts w:ascii="Arial" w:hAnsi="Arial" w:cs="Arial"/>
          <w:sz w:val="22"/>
          <w:szCs w:val="22"/>
        </w:rPr>
        <w:t xml:space="preserve"> </w:t>
      </w:r>
      <w:r>
        <w:rPr>
          <w:rFonts w:ascii="Arial" w:hAnsi="Arial" w:cs="Arial"/>
          <w:sz w:val="22"/>
          <w:szCs w:val="22"/>
          <w:lang w:val="en-AU"/>
        </w:rPr>
        <w:t>sa</w:t>
      </w:r>
      <w:r>
        <w:rPr>
          <w:rFonts w:ascii="Arial" w:hAnsi="Arial" w:cs="Arial"/>
          <w:sz w:val="22"/>
          <w:szCs w:val="22"/>
        </w:rPr>
        <w:t xml:space="preserve"> susjednim </w:t>
      </w:r>
      <w:r>
        <w:rPr>
          <w:rFonts w:ascii="Arial" w:hAnsi="Arial" w:cs="Arial"/>
          <w:sz w:val="22"/>
          <w:szCs w:val="22"/>
          <w:lang w:val="en-AU"/>
        </w:rPr>
        <w:t>vodoopskrbnim</w:t>
      </w:r>
      <w:r>
        <w:rPr>
          <w:rFonts w:ascii="Arial" w:hAnsi="Arial" w:cs="Arial"/>
          <w:sz w:val="22"/>
          <w:szCs w:val="22"/>
        </w:rPr>
        <w:t xml:space="preserve"> </w:t>
      </w:r>
      <w:r>
        <w:rPr>
          <w:rFonts w:ascii="Arial" w:hAnsi="Arial" w:cs="Arial"/>
          <w:sz w:val="22"/>
          <w:szCs w:val="22"/>
          <w:lang w:val="en-AU"/>
        </w:rPr>
        <w:t>sustavima</w:t>
      </w:r>
      <w:r>
        <w:rPr>
          <w:rFonts w:ascii="Arial" w:hAnsi="Arial" w:cs="Arial"/>
          <w:sz w:val="22"/>
          <w:szCs w:val="22"/>
        </w:rPr>
        <w:t>. Usporedo sa razvojem vodoopskrbe potrebno je rješavati pitanje pročišćavanja i odvodnje otpadnih voda.</w:t>
      </w:r>
    </w:p>
    <w:p w:rsidR="00012172" w:rsidRDefault="00012172"/>
    <w:p w:rsidR="00012172" w:rsidRDefault="00012172">
      <w:pPr>
        <w:jc w:val="both"/>
        <w:rPr>
          <w:rFonts w:ascii="Arial" w:hAnsi="Arial" w:cs="Arial"/>
          <w:sz w:val="22"/>
          <w:szCs w:val="22"/>
        </w:rPr>
      </w:pPr>
    </w:p>
    <w:p w:rsidR="00012172" w:rsidRDefault="00012172">
      <w:pPr>
        <w:pStyle w:val="Naslov3"/>
        <w:rPr>
          <w:sz w:val="22"/>
        </w:rPr>
      </w:pPr>
      <w:bookmarkStart w:id="44" w:name="_Toc95140594"/>
      <w:r>
        <w:rPr>
          <w:sz w:val="22"/>
        </w:rPr>
        <w:t>2.2.4. Zaštita krajobraznih i prirodnih vrijednosti i posebnosti i kulturno-povijesnih cjelina</w:t>
      </w:r>
      <w:bookmarkEnd w:id="44"/>
      <w:r>
        <w:rPr>
          <w:sz w:val="22"/>
        </w:rPr>
        <w:t xml:space="preserve"> </w:t>
      </w:r>
    </w:p>
    <w:p w:rsidR="00012172" w:rsidRDefault="00012172">
      <w:pPr>
        <w:rPr>
          <w:color w:val="0000FF"/>
        </w:rPr>
      </w:pPr>
    </w:p>
    <w:p w:rsidR="00012172" w:rsidRDefault="00012172">
      <w:pPr>
        <w:ind w:firstLine="360"/>
        <w:jc w:val="both"/>
        <w:rPr>
          <w:rFonts w:ascii="Arial" w:hAnsi="Arial" w:cs="Arial"/>
          <w:sz w:val="22"/>
        </w:rPr>
      </w:pPr>
      <w:r>
        <w:rPr>
          <w:rFonts w:ascii="Arial" w:hAnsi="Arial" w:cs="Arial"/>
          <w:sz w:val="22"/>
        </w:rPr>
        <w:t xml:space="preserve">Pored već zaštićenih dijelova prirodne baštine, kao i prijedloga za njihovu zaštitu prema važećim propisima, ovim Planom se, među ostalim, naglašava značaj  </w:t>
      </w:r>
      <w:r>
        <w:rPr>
          <w:rFonts w:ascii="Arial" w:hAnsi="Arial" w:cs="Arial"/>
          <w:b/>
          <w:sz w:val="22"/>
        </w:rPr>
        <w:t>osobito vrijednih predjela – prirodnih i kultiviranih krajobraza</w:t>
      </w:r>
      <w:r>
        <w:rPr>
          <w:rFonts w:ascii="Arial" w:hAnsi="Arial" w:cs="Arial"/>
          <w:sz w:val="22"/>
        </w:rPr>
        <w:t>.  To su područja koja se ističu svojom osebujnošću, bogatstvom živog svijeta, specifičnim sadržajem biljnog i životinjskog svijeta, pedološkim osobitostima, osobitom vrijednošću za širi prostor u smislu održanja ekološke stabilnosti i biološke raznolikosti i/ili imaju značajnu kulturnu, povijesnu, socijalnu ulogu.</w:t>
      </w:r>
    </w:p>
    <w:p w:rsidR="00012172" w:rsidRDefault="00012172">
      <w:pPr>
        <w:ind w:firstLine="360"/>
        <w:jc w:val="both"/>
        <w:rPr>
          <w:rFonts w:ascii="Arial" w:hAnsi="Arial" w:cs="Arial"/>
          <w:sz w:val="22"/>
        </w:rPr>
      </w:pPr>
      <w:r>
        <w:rPr>
          <w:rFonts w:ascii="Arial" w:hAnsi="Arial" w:cs="Arial"/>
          <w:sz w:val="22"/>
        </w:rPr>
        <w:lastRenderedPageBreak/>
        <w:t xml:space="preserve">Doprinos valorizaciji i očuvanju krajobraznih, ekoloških i kulturno-povijesnih posebnosti ovog prostora svakako će dati i izrada </w:t>
      </w:r>
      <w:r>
        <w:rPr>
          <w:rFonts w:ascii="Arial" w:hAnsi="Arial" w:cs="Arial"/>
          <w:b/>
          <w:bCs/>
          <w:sz w:val="22"/>
        </w:rPr>
        <w:t>Prostornog plana područja posebnih obilježja</w:t>
      </w:r>
      <w:r>
        <w:rPr>
          <w:rFonts w:ascii="Arial" w:hAnsi="Arial" w:cs="Arial"/>
          <w:sz w:val="22"/>
        </w:rPr>
        <w:t xml:space="preserve"> (PPPPO Kalnika) koji se planira izrađivati za brdsko-planinsko područje Kalnika, smješteno znatnim dijelom na prostoru Općine Gornja Rijeka.</w:t>
      </w:r>
    </w:p>
    <w:p w:rsidR="00012172" w:rsidRDefault="00012172">
      <w:pPr>
        <w:pStyle w:val="Zaglavlje"/>
        <w:rPr>
          <w:b/>
        </w:rPr>
      </w:pPr>
    </w:p>
    <w:p w:rsidR="00012172" w:rsidRDefault="00012172">
      <w:pPr>
        <w:rPr>
          <w:color w:val="0000FF"/>
        </w:rPr>
      </w:pPr>
    </w:p>
    <w:p w:rsidR="00012172" w:rsidRDefault="00012172">
      <w:pPr>
        <w:rPr>
          <w:color w:val="0000FF"/>
        </w:rPr>
      </w:pPr>
    </w:p>
    <w:p w:rsidR="00012172" w:rsidRDefault="00012172">
      <w:pPr>
        <w:rPr>
          <w:rFonts w:ascii="Arial" w:hAnsi="Arial" w:cs="Arial"/>
          <w:b/>
          <w:sz w:val="22"/>
          <w:szCs w:val="22"/>
        </w:rPr>
      </w:pPr>
      <w:r>
        <w:rPr>
          <w:rFonts w:ascii="Arial" w:hAnsi="Arial" w:cs="Arial"/>
          <w:b/>
          <w:sz w:val="22"/>
          <w:szCs w:val="22"/>
        </w:rPr>
        <w:t>a) Zaštita krajobraza</w:t>
      </w:r>
    </w:p>
    <w:p w:rsidR="00012172" w:rsidRDefault="00012172">
      <w:pPr>
        <w:rPr>
          <w:rFonts w:ascii="Arial" w:hAnsi="Arial" w:cs="Arial"/>
          <w:sz w:val="22"/>
          <w:szCs w:val="22"/>
        </w:rPr>
      </w:pPr>
      <w:r>
        <w:rPr>
          <w:rFonts w:ascii="Arial" w:hAnsi="Arial" w:cs="Arial"/>
          <w:sz w:val="22"/>
          <w:szCs w:val="22"/>
        </w:rPr>
        <w:t>Ciljevi racionalnog korištenja sastavnih dijelova krajobraza su:</w:t>
      </w:r>
    </w:p>
    <w:p w:rsidR="00012172" w:rsidRDefault="00012172">
      <w:pPr>
        <w:jc w:val="both"/>
        <w:rPr>
          <w:rFonts w:ascii="Arial" w:hAnsi="Arial" w:cs="Arial"/>
          <w:sz w:val="22"/>
          <w:szCs w:val="22"/>
        </w:rPr>
      </w:pPr>
      <w:r>
        <w:rPr>
          <w:rFonts w:ascii="Arial" w:hAnsi="Arial" w:cs="Arial"/>
          <w:sz w:val="22"/>
          <w:szCs w:val="22"/>
        </w:rPr>
        <w:t>- sprječavanje nelegalne i nekontrolirane eksploatacije mineralnih sirovina te obvezno provođenje  biološke rekultivacije terena usporedno s rudarskim radovima</w:t>
      </w:r>
    </w:p>
    <w:p w:rsidR="00012172" w:rsidRDefault="00012172">
      <w:pPr>
        <w:jc w:val="both"/>
        <w:rPr>
          <w:rFonts w:ascii="Arial" w:hAnsi="Arial" w:cs="Arial"/>
          <w:sz w:val="22"/>
          <w:szCs w:val="22"/>
        </w:rPr>
      </w:pPr>
      <w:r>
        <w:rPr>
          <w:rFonts w:ascii="Arial" w:hAnsi="Arial" w:cs="Arial"/>
          <w:sz w:val="22"/>
          <w:szCs w:val="22"/>
        </w:rPr>
        <w:t>- svim značajnijim vodoprivrednim zahvatima trebale bi prethoditi studije ukupne ekonomske opravdanosti i studije utjecaja na okoliš s predviđenim mjerama ublažavanja negativnih posljedica po okoliš, kao npr. neprirodna geometrijska regulacija vodotoka i mogući utjecaj na šume i šumsko zemljište,</w:t>
      </w:r>
    </w:p>
    <w:p w:rsidR="00012172" w:rsidRDefault="00012172">
      <w:pPr>
        <w:rPr>
          <w:rFonts w:ascii="Arial" w:hAnsi="Arial" w:cs="Arial"/>
          <w:sz w:val="22"/>
          <w:szCs w:val="22"/>
        </w:rPr>
      </w:pPr>
      <w:r>
        <w:rPr>
          <w:rFonts w:ascii="Arial" w:hAnsi="Arial" w:cs="Arial"/>
          <w:sz w:val="22"/>
          <w:szCs w:val="22"/>
        </w:rPr>
        <w:t xml:space="preserve">- potrebno je spriječiti nelegalnu i neprikladnu izgradnju objekata (lokacijski i arhitektonski) </w:t>
      </w:r>
    </w:p>
    <w:p w:rsidR="00012172" w:rsidRDefault="00012172">
      <w:pPr>
        <w:jc w:val="both"/>
        <w:rPr>
          <w:rFonts w:ascii="Arial" w:hAnsi="Arial" w:cs="Arial"/>
          <w:sz w:val="22"/>
          <w:szCs w:val="22"/>
        </w:rPr>
      </w:pPr>
      <w:r>
        <w:rPr>
          <w:rFonts w:ascii="Arial" w:hAnsi="Arial" w:cs="Arial"/>
          <w:sz w:val="22"/>
          <w:szCs w:val="22"/>
        </w:rPr>
        <w:t>- sprječavanje usitnjavanja poljoprivrednog zemljišta i smanjenja biološke raznolikosti uništenjem niže šumske vegetacije (šumarci, šibljaci, živice) na rubnim i manjim površinama unutar korištene zemljišne plohe,</w:t>
      </w:r>
    </w:p>
    <w:p w:rsidR="00012172" w:rsidRDefault="00012172">
      <w:pPr>
        <w:jc w:val="both"/>
        <w:rPr>
          <w:b/>
          <w:bCs/>
          <w:color w:val="0000FF"/>
          <w:sz w:val="22"/>
        </w:rPr>
      </w:pPr>
    </w:p>
    <w:p w:rsidR="00012172" w:rsidRDefault="00012172">
      <w:pPr>
        <w:rPr>
          <w:rFonts w:ascii="Arial" w:hAnsi="Arial" w:cs="Arial"/>
          <w:b/>
          <w:sz w:val="22"/>
          <w:szCs w:val="22"/>
        </w:rPr>
      </w:pPr>
      <w:r>
        <w:rPr>
          <w:rFonts w:ascii="Arial" w:hAnsi="Arial" w:cs="Arial"/>
          <w:b/>
          <w:sz w:val="22"/>
          <w:szCs w:val="22"/>
        </w:rPr>
        <w:t>b) Zaštita prirodnih vrijednosti</w:t>
      </w:r>
    </w:p>
    <w:p w:rsidR="00012172" w:rsidRDefault="00012172">
      <w:pPr>
        <w:rPr>
          <w:rFonts w:ascii="Arial" w:hAnsi="Arial" w:cs="Arial"/>
          <w:sz w:val="22"/>
        </w:rPr>
      </w:pPr>
      <w:r>
        <w:rPr>
          <w:rFonts w:ascii="Arial" w:hAnsi="Arial" w:cs="Arial"/>
          <w:sz w:val="22"/>
        </w:rPr>
        <w:t>Zaštita će se provoditi u skladu s propisanim mjerama zaštite.</w:t>
      </w:r>
    </w:p>
    <w:p w:rsidR="00012172" w:rsidRDefault="00012172">
      <w:pPr>
        <w:pStyle w:val="GLAVALIJEVA"/>
        <w:widowControl/>
        <w:jc w:val="both"/>
        <w:rPr>
          <w:rFonts w:ascii="Arial" w:hAnsi="Arial" w:cs="Arial"/>
          <w:snapToGrid/>
          <w:sz w:val="22"/>
          <w:szCs w:val="24"/>
          <w:lang w:val="hr-HR" w:eastAsia="hr-HR"/>
        </w:rPr>
      </w:pPr>
      <w:r>
        <w:rPr>
          <w:rFonts w:ascii="Arial" w:hAnsi="Arial" w:cs="Arial"/>
          <w:snapToGrid/>
          <w:sz w:val="22"/>
          <w:szCs w:val="24"/>
          <w:lang w:val="hr-HR" w:eastAsia="hr-HR"/>
        </w:rPr>
        <w:t xml:space="preserve">Na području Općine se dijelom nalazi značajni krajobraz Kalnik unutar kojeg se nalazi posebni </w:t>
      </w:r>
      <w:r w:rsidR="004C746B">
        <w:rPr>
          <w:rFonts w:ascii="Arial" w:hAnsi="Arial" w:cs="Arial"/>
          <w:snapToGrid/>
          <w:sz w:val="22"/>
          <w:szCs w:val="24"/>
          <w:lang w:val="hr-HR" w:eastAsia="hr-HR"/>
        </w:rPr>
        <w:t>posebni botanički rezervat</w:t>
      </w:r>
      <w:r>
        <w:rPr>
          <w:rFonts w:ascii="Arial" w:hAnsi="Arial" w:cs="Arial"/>
          <w:snapToGrid/>
          <w:sz w:val="22"/>
          <w:szCs w:val="24"/>
          <w:lang w:val="hr-HR" w:eastAsia="hr-HR"/>
        </w:rPr>
        <w:t xml:space="preserve"> Mali Kalnik. Zaštita spomenutih područja se temelji i provodi po odrednicama Zakona o zaštiti prirode (Narodne novine br. 70/05). (</w:t>
      </w:r>
      <w:r>
        <w:rPr>
          <w:rFonts w:ascii="Arial" w:hAnsi="Arial" w:cs="Arial"/>
          <w:i/>
          <w:iCs/>
          <w:snapToGrid/>
          <w:sz w:val="22"/>
          <w:szCs w:val="24"/>
          <w:lang w:val="hr-HR" w:eastAsia="hr-HR"/>
        </w:rPr>
        <w:t>Ujedno spomenuta područja nemaju unutanje planove provođenja zaštite i propisane  mjere zaštite, ali se do sada upravljalo područjem na temelju Šumskih gospodarskih osnova tih područja.</w:t>
      </w:r>
      <w:r>
        <w:rPr>
          <w:rFonts w:ascii="Arial" w:hAnsi="Arial" w:cs="Arial"/>
          <w:snapToGrid/>
          <w:sz w:val="22"/>
          <w:szCs w:val="24"/>
          <w:lang w:val="hr-HR" w:eastAsia="hr-HR"/>
        </w:rPr>
        <w:t>)</w:t>
      </w:r>
    </w:p>
    <w:p w:rsidR="00012172" w:rsidRDefault="00012172">
      <w:pPr>
        <w:pStyle w:val="GLAVALIJEVA"/>
        <w:widowControl/>
        <w:jc w:val="both"/>
        <w:rPr>
          <w:rFonts w:ascii="Times New Roman" w:hAnsi="Times New Roman"/>
          <w:snapToGrid/>
          <w:color w:val="FF0000"/>
          <w:szCs w:val="24"/>
          <w:lang w:val="hr-HR" w:eastAsia="hr-HR"/>
        </w:rPr>
      </w:pPr>
    </w:p>
    <w:p w:rsidR="00012172" w:rsidRDefault="00012172">
      <w:pPr>
        <w:pStyle w:val="GLAVALIJEVA"/>
        <w:widowControl/>
        <w:jc w:val="both"/>
        <w:rPr>
          <w:rFonts w:ascii="Arial" w:hAnsi="Arial" w:cs="Arial"/>
          <w:snapToGrid/>
          <w:sz w:val="22"/>
          <w:szCs w:val="24"/>
          <w:lang w:val="hr-HR" w:eastAsia="hr-HR"/>
        </w:rPr>
      </w:pPr>
      <w:r>
        <w:rPr>
          <w:rFonts w:ascii="Arial" w:hAnsi="Arial" w:cs="Arial"/>
          <w:snapToGrid/>
          <w:sz w:val="22"/>
          <w:szCs w:val="24"/>
          <w:lang w:val="hr-HR" w:eastAsia="hr-HR"/>
        </w:rPr>
        <w:t>Zakon o zaštiti prirode (Narodne novine br. 70/05):</w:t>
      </w:r>
    </w:p>
    <w:p w:rsidR="00012172" w:rsidRDefault="00012172">
      <w:pPr>
        <w:pStyle w:val="GLAVALIJEVA"/>
        <w:widowControl/>
        <w:numPr>
          <w:ilvl w:val="0"/>
          <w:numId w:val="36"/>
        </w:numPr>
        <w:jc w:val="both"/>
        <w:rPr>
          <w:rFonts w:ascii="Arial" w:hAnsi="Arial" w:cs="Arial"/>
          <w:snapToGrid/>
          <w:sz w:val="22"/>
          <w:szCs w:val="24"/>
          <w:lang w:val="hr-HR" w:eastAsia="hr-HR"/>
        </w:rPr>
      </w:pPr>
      <w:r>
        <w:rPr>
          <w:rFonts w:ascii="Arial" w:hAnsi="Arial" w:cs="Arial"/>
          <w:i/>
          <w:iCs/>
          <w:snapToGrid/>
          <w:sz w:val="22"/>
          <w:szCs w:val="24"/>
          <w:u w:val="single"/>
          <w:lang w:val="hr-HR" w:eastAsia="hr-HR"/>
        </w:rPr>
        <w:t>Značajni krajobraz</w:t>
      </w:r>
      <w:r>
        <w:rPr>
          <w:rFonts w:ascii="Arial" w:hAnsi="Arial" w:cs="Arial"/>
          <w:snapToGrid/>
          <w:sz w:val="22"/>
          <w:szCs w:val="24"/>
          <w:lang w:val="hr-HR" w:eastAsia="hr-HR"/>
        </w:rPr>
        <w:t xml:space="preserve"> (čl. 16.) – je prirodni i kultivirani predjel velike krajobrazne vrijednosti i biološke raznolikosti, te krajobraz očuvanih jedinstvenih obilježja, a namijenjen odmoru i rekreaciji. Unutar zaštićenog područja nisu dopušteni zahvati i radnje koje bi narušavale obilježja zbog koji je navedeno područje zaštićeno.  </w:t>
      </w:r>
    </w:p>
    <w:p w:rsidR="00012172" w:rsidRDefault="00012172">
      <w:pPr>
        <w:ind w:left="708"/>
        <w:jc w:val="both"/>
        <w:rPr>
          <w:rFonts w:ascii="Arial" w:hAnsi="Arial" w:cs="Arial"/>
          <w:sz w:val="22"/>
        </w:rPr>
      </w:pPr>
      <w:r>
        <w:rPr>
          <w:rFonts w:ascii="Arial" w:hAnsi="Arial" w:cs="Arial"/>
          <w:sz w:val="22"/>
        </w:rPr>
        <w:t>- Ovaj oblik zaštite sam po sebi ne nosi stroga ograničenja zadiranja u prostor, već ponajprije ima intenciju upozoriti na osobitosti  predjela u biološko-ekološkom i kulturnom smislu koja  krajolik treba očuvati od uništenja.</w:t>
      </w:r>
    </w:p>
    <w:p w:rsidR="00012172" w:rsidRDefault="00012172">
      <w:pPr>
        <w:ind w:left="360"/>
        <w:jc w:val="both"/>
        <w:rPr>
          <w:rFonts w:ascii="Arial" w:hAnsi="Arial" w:cs="Arial"/>
          <w:sz w:val="22"/>
        </w:rPr>
      </w:pPr>
    </w:p>
    <w:p w:rsidR="00012172" w:rsidRDefault="00012172">
      <w:pPr>
        <w:numPr>
          <w:ilvl w:val="0"/>
          <w:numId w:val="36"/>
        </w:numPr>
        <w:jc w:val="both"/>
        <w:rPr>
          <w:rFonts w:ascii="Arial" w:hAnsi="Arial" w:cs="Arial"/>
          <w:sz w:val="22"/>
        </w:rPr>
      </w:pPr>
      <w:r>
        <w:rPr>
          <w:rFonts w:ascii="Arial" w:hAnsi="Arial" w:cs="Arial"/>
          <w:i/>
          <w:iCs/>
          <w:sz w:val="22"/>
          <w:u w:val="single"/>
        </w:rPr>
        <w:t xml:space="preserve">Posebni rezervat </w:t>
      </w:r>
      <w:r>
        <w:rPr>
          <w:rFonts w:ascii="Arial" w:hAnsi="Arial" w:cs="Arial"/>
          <w:sz w:val="22"/>
        </w:rPr>
        <w:t xml:space="preserve">(čl.12.) – je područje kopna i/ili mora od osobitog značenja radi svoje jedinstvenosti, ili je stanište ugrožene divlje svojte, a osobitog je znanstvenog značenja i namjene. Aktom o proglašenju posebnog rezervata se navodi zbog kojih vrijednosti se štiti područje (Mali Kalnik – </w:t>
      </w:r>
      <w:r w:rsidR="004C746B" w:rsidRPr="004C746B">
        <w:rPr>
          <w:rFonts w:ascii="Arial" w:hAnsi="Arial" w:cs="Arial"/>
          <w:i/>
          <w:sz w:val="22"/>
          <w:u w:val="single"/>
        </w:rPr>
        <w:t xml:space="preserve">posebni </w:t>
      </w:r>
      <w:r w:rsidR="004C746B">
        <w:rPr>
          <w:rFonts w:ascii="Arial" w:hAnsi="Arial" w:cs="Arial"/>
          <w:i/>
          <w:iCs/>
          <w:sz w:val="22"/>
          <w:u w:val="single"/>
        </w:rPr>
        <w:t>botanički rezervat</w:t>
      </w:r>
      <w:r>
        <w:rPr>
          <w:rFonts w:ascii="Arial" w:hAnsi="Arial" w:cs="Arial"/>
          <w:sz w:val="22"/>
        </w:rPr>
        <w:t>). U posebnom rezervatu nisu dopuštene radnje i djelatnosti koje mogu narušiti svojstva zbog koji je proglašen rezervatom (branje i uništavanje biljnih svojti, unošenje novih bioloških svojti, razni invazijski oblici korištenja i sl.). Posjećivanje i razgledanje rezervata je dopušteno, ali se određenim mjerama zaštite može i ograničiti i/ili zabraniti. U rezervatu su dopuštene radnje koje održavaju i/ili unaprjeđuju stanje biološke raznolikosti i svojstava zbog koji je određena zaštita.</w:t>
      </w:r>
    </w:p>
    <w:p w:rsidR="00012172" w:rsidRDefault="00012172">
      <w:pPr>
        <w:ind w:left="708"/>
        <w:jc w:val="both"/>
        <w:rPr>
          <w:rFonts w:ascii="Arial" w:hAnsi="Arial" w:cs="Arial"/>
          <w:sz w:val="22"/>
        </w:rPr>
      </w:pPr>
      <w:r>
        <w:rPr>
          <w:rFonts w:ascii="Arial" w:hAnsi="Arial" w:cs="Arial"/>
          <w:sz w:val="22"/>
        </w:rPr>
        <w:t xml:space="preserve">- </w:t>
      </w:r>
      <w:r>
        <w:rPr>
          <w:rFonts w:ascii="Arial" w:hAnsi="Arial" w:cs="Arial"/>
          <w:i/>
          <w:iCs/>
          <w:sz w:val="22"/>
        </w:rPr>
        <w:t>dopuštenje za zahvate i radnje u posebnom rezervatu izdaje Ministarstvo.</w:t>
      </w:r>
      <w:r>
        <w:rPr>
          <w:rFonts w:ascii="Arial" w:hAnsi="Arial" w:cs="Arial"/>
          <w:sz w:val="22"/>
        </w:rPr>
        <w:t>(čl.127.)</w:t>
      </w:r>
    </w:p>
    <w:p w:rsidR="00012172" w:rsidRDefault="00012172">
      <w:pPr>
        <w:rPr>
          <w:color w:val="0000FF"/>
        </w:rPr>
      </w:pPr>
    </w:p>
    <w:p w:rsidR="00012172" w:rsidRDefault="00012172">
      <w:pPr>
        <w:jc w:val="both"/>
        <w:rPr>
          <w:rFonts w:ascii="Arial" w:hAnsi="Arial" w:cs="Arial"/>
          <w:sz w:val="22"/>
        </w:rPr>
      </w:pPr>
      <w:r>
        <w:rPr>
          <w:rFonts w:ascii="Arial" w:hAnsi="Arial" w:cs="Arial"/>
          <w:sz w:val="22"/>
        </w:rPr>
        <w:t xml:space="preserve">U neposrednoj blizini naselja Gornja Rijeka, udaljeno svega 800m,  nalazi se slap Sopot, koji se izuzetno uklapa u dinamiku gorskog krajolika. Protijecanjem mijenja mikrokilmu staništa te pojačava bioraznolikost samog područja. Temeljem spomenutih prirodnih vrijednosti, predlaže se za zaštitu u skladu sa svim odrednicama Zakona o zaštiti prirode, a predlaže se zaštita u kategoriji </w:t>
      </w:r>
      <w:r w:rsidR="00CF55D7">
        <w:rPr>
          <w:rFonts w:ascii="Arial" w:hAnsi="Arial" w:cs="Arial"/>
          <w:i/>
          <w:iCs/>
          <w:sz w:val="22"/>
        </w:rPr>
        <w:t>spomenik prirode</w:t>
      </w:r>
      <w:r>
        <w:rPr>
          <w:rFonts w:ascii="Arial" w:hAnsi="Arial" w:cs="Arial"/>
          <w:sz w:val="22"/>
        </w:rPr>
        <w:t xml:space="preserve">. </w:t>
      </w:r>
    </w:p>
    <w:p w:rsidR="00012172" w:rsidRDefault="00012172">
      <w:pPr>
        <w:rPr>
          <w:color w:val="0000FF"/>
        </w:rPr>
      </w:pPr>
    </w:p>
    <w:p w:rsidR="00012172" w:rsidRDefault="00012172"/>
    <w:p w:rsidR="00012172" w:rsidRDefault="00012172">
      <w:pPr>
        <w:rPr>
          <w:b/>
          <w:szCs w:val="22"/>
        </w:rPr>
      </w:pPr>
      <w:r>
        <w:rPr>
          <w:b/>
          <w:szCs w:val="22"/>
        </w:rPr>
        <w:t>c) Zaštita kultuno-povijesnih cjelina</w:t>
      </w:r>
    </w:p>
    <w:p w:rsidR="00012172" w:rsidRDefault="00012172">
      <w:pPr>
        <w:jc w:val="both"/>
        <w:rPr>
          <w:rFonts w:ascii="Arial" w:hAnsi="Arial" w:cs="Arial"/>
          <w:sz w:val="22"/>
          <w:szCs w:val="22"/>
        </w:rPr>
      </w:pPr>
      <w:r>
        <w:rPr>
          <w:rFonts w:ascii="Arial" w:hAnsi="Arial" w:cs="Arial"/>
          <w:sz w:val="22"/>
          <w:szCs w:val="22"/>
        </w:rPr>
        <w:t xml:space="preserve">U skladu s točkom 8.2. Odredbi Prostornog plana Koprivničko-križevačke županije izrađuje se konzevatorska podloga za Gornju Rijeku. Izrađivač podloge je Ministarstvo kulture Uprava za zaštitu kulturne baštine Konzervatorski odjel u Zagrebu. </w:t>
      </w:r>
    </w:p>
    <w:p w:rsidR="00012172" w:rsidRDefault="00012172">
      <w:pPr>
        <w:pStyle w:val="Naslov2"/>
      </w:pPr>
      <w:bookmarkStart w:id="45" w:name="_Toc95140595"/>
      <w:r>
        <w:t>2.3. Ciljevi prostornog uređenja naselja na području općine</w:t>
      </w:r>
      <w:bookmarkEnd w:id="45"/>
      <w:r>
        <w:t xml:space="preserve"> </w:t>
      </w:r>
    </w:p>
    <w:p w:rsidR="00012172" w:rsidRDefault="00012172"/>
    <w:p w:rsidR="00012172" w:rsidRDefault="00012172">
      <w:pPr>
        <w:pStyle w:val="Naslov3"/>
      </w:pPr>
      <w:bookmarkStart w:id="46" w:name="_Toc95140596"/>
      <w:r>
        <w:t>2.3.1. Racionalno korištenje i zaštita prostora</w:t>
      </w:r>
      <w:bookmarkEnd w:id="46"/>
    </w:p>
    <w:p w:rsidR="00012172" w:rsidRDefault="00012172">
      <w:pPr>
        <w:rPr>
          <w:rFonts w:ascii="Arial" w:hAnsi="Arial" w:cs="Arial"/>
        </w:rPr>
      </w:pPr>
      <w:r>
        <w:rPr>
          <w:rFonts w:ascii="Arial" w:hAnsi="Arial" w:cs="Arial"/>
        </w:rPr>
        <w:t xml:space="preserve"> </w:t>
      </w:r>
    </w:p>
    <w:p w:rsidR="00012172" w:rsidRDefault="00012172">
      <w:pPr>
        <w:pStyle w:val="Naslov4"/>
        <w:spacing w:before="0" w:after="0"/>
        <w:rPr>
          <w:rFonts w:ascii="Times New Roman" w:hAnsi="Times New Roman"/>
          <w:szCs w:val="22"/>
          <w:lang w:val="hr-HR"/>
        </w:rPr>
      </w:pPr>
      <w:r>
        <w:rPr>
          <w:rFonts w:ascii="Times New Roman" w:hAnsi="Times New Roman"/>
          <w:szCs w:val="22"/>
          <w:lang w:val="hr-HR"/>
        </w:rPr>
        <w:t>Tla</w:t>
      </w:r>
    </w:p>
    <w:p w:rsidR="00012172" w:rsidRDefault="00012172">
      <w:pPr>
        <w:jc w:val="both"/>
      </w:pPr>
    </w:p>
    <w:p w:rsidR="00012172" w:rsidRDefault="00012172">
      <w:pPr>
        <w:jc w:val="both"/>
        <w:rPr>
          <w:rFonts w:ascii="Arial" w:hAnsi="Arial" w:cs="Arial"/>
          <w:i/>
          <w:iCs/>
          <w:sz w:val="22"/>
        </w:rPr>
      </w:pPr>
      <w:r>
        <w:rPr>
          <w:rFonts w:ascii="Arial" w:hAnsi="Arial" w:cs="Arial"/>
          <w:sz w:val="22"/>
        </w:rPr>
        <w:t xml:space="preserve">U skladu s klimatskim prilikama, matičnim supstratom, mikroreljefnim osobinama, antropogenim aktivnostima i vegetacijskim pokrovom na području općine razvilo se nekoliko tipova tla. </w:t>
      </w:r>
      <w:r>
        <w:rPr>
          <w:rFonts w:ascii="Arial" w:hAnsi="Arial" w:cs="Arial"/>
          <w:sz w:val="22"/>
          <w:lang w:val="de-DE"/>
        </w:rPr>
        <w:t>U</w:t>
      </w:r>
      <w:r>
        <w:rPr>
          <w:rFonts w:ascii="Arial" w:hAnsi="Arial" w:cs="Arial"/>
          <w:sz w:val="22"/>
        </w:rPr>
        <w:t xml:space="preserve"> </w:t>
      </w:r>
      <w:r>
        <w:rPr>
          <w:rFonts w:ascii="Arial" w:hAnsi="Arial" w:cs="Arial"/>
          <w:sz w:val="22"/>
          <w:lang w:val="de-DE"/>
        </w:rPr>
        <w:t>najni</w:t>
      </w:r>
      <w:r>
        <w:rPr>
          <w:rFonts w:ascii="Arial" w:hAnsi="Arial" w:cs="Arial"/>
          <w:sz w:val="22"/>
        </w:rPr>
        <w:t>ž</w:t>
      </w:r>
      <w:r>
        <w:rPr>
          <w:rFonts w:ascii="Arial" w:hAnsi="Arial" w:cs="Arial"/>
          <w:sz w:val="22"/>
          <w:lang w:val="de-DE"/>
        </w:rPr>
        <w:t>em</w:t>
      </w:r>
      <w:r>
        <w:rPr>
          <w:rFonts w:ascii="Arial" w:hAnsi="Arial" w:cs="Arial"/>
          <w:sz w:val="22"/>
        </w:rPr>
        <w:t xml:space="preserve"> </w:t>
      </w:r>
      <w:r>
        <w:rPr>
          <w:rFonts w:ascii="Arial" w:hAnsi="Arial" w:cs="Arial"/>
          <w:sz w:val="22"/>
          <w:lang w:val="de-DE"/>
        </w:rPr>
        <w:t>pojasu</w:t>
      </w:r>
      <w:r>
        <w:rPr>
          <w:rFonts w:ascii="Arial" w:hAnsi="Arial" w:cs="Arial"/>
          <w:sz w:val="22"/>
        </w:rPr>
        <w:t xml:space="preserve"> su brojne aluvijalne dolinice potoka,  koje su usmjerene prema dolini Glogovnice, a u donjim tokovima su zamočvarene i uglavnom agrarno neatraktivne. Veći dio južnog kalničkog prigorja pokriven je tipovima podzoliranih tla, koji se međusobno razlikuju stupnjem podzolizacije i razvijenosti profila. To su uglavnom manje vrijedna tla, ponešto kisela i siromašna hranjivima, a na dijelovima pleistocenskih glina i teška za obradu. Usprkos tim prirodnim karakteristikama tla, kroz povijest je kalničko prigorje bilo razmjerno gusto naseljeno, pa je prirodni šumski pokrov najvećim dijelom iskrčen, a podzolasta tla većim dijelom kultivirana, te tako postupno pretvorena u humizirana antropogena tla.</w:t>
      </w:r>
    </w:p>
    <w:p w:rsidR="00012172" w:rsidRDefault="00012172">
      <w:pPr>
        <w:jc w:val="both"/>
        <w:rPr>
          <w:rFonts w:ascii="Arial" w:hAnsi="Arial" w:cs="Arial"/>
          <w:sz w:val="22"/>
          <w:szCs w:val="22"/>
        </w:rPr>
      </w:pPr>
      <w:r>
        <w:rPr>
          <w:rFonts w:ascii="Arial" w:hAnsi="Arial" w:cs="Arial"/>
          <w:sz w:val="22"/>
        </w:rPr>
        <w:t>Na prostoru općine Gornja Rijeka prevladavaju šume, livade i oranice</w:t>
      </w:r>
      <w:r>
        <w:rPr>
          <w:rFonts w:ascii="Arial" w:hAnsi="Arial" w:cs="Arial"/>
          <w:sz w:val="22"/>
          <w:szCs w:val="22"/>
        </w:rPr>
        <w:t xml:space="preserve">. </w:t>
      </w:r>
      <w:r>
        <w:rPr>
          <w:rFonts w:ascii="Arial" w:hAnsi="Arial" w:cs="Arial"/>
          <w:sz w:val="22"/>
        </w:rPr>
        <w:t>Krajnji izdanci prigorja prekriveni su naslagama iz pleistocena, a to su uglavnom gline i praporne ilovine.</w:t>
      </w:r>
      <w:r>
        <w:rPr>
          <w:rFonts w:ascii="Arial" w:hAnsi="Arial" w:cs="Arial"/>
          <w:sz w:val="22"/>
          <w:szCs w:val="22"/>
        </w:rPr>
        <w:t xml:space="preserve"> </w:t>
      </w:r>
    </w:p>
    <w:p w:rsidR="00012172" w:rsidRDefault="00012172">
      <w:pPr>
        <w:rPr>
          <w:rFonts w:ascii="Arial" w:hAnsi="Arial" w:cs="Arial"/>
        </w:rPr>
      </w:pPr>
    </w:p>
    <w:p w:rsidR="00012172" w:rsidRDefault="00012172">
      <w:pPr>
        <w:rPr>
          <w:rFonts w:ascii="Arial" w:hAnsi="Arial" w:cs="Arial"/>
        </w:rPr>
      </w:pPr>
    </w:p>
    <w:p w:rsidR="00012172" w:rsidRDefault="00012172">
      <w:pPr>
        <w:pStyle w:val="Naslov3"/>
        <w:jc w:val="both"/>
        <w:rPr>
          <w:sz w:val="22"/>
        </w:rPr>
      </w:pPr>
      <w:bookmarkStart w:id="47" w:name="_Toc95140597"/>
      <w:r>
        <w:rPr>
          <w:sz w:val="22"/>
        </w:rPr>
        <w:t>2.3.2. Utvrđivanje građevinskih područja naselja u odnosu na postojeći i planirani broj stanovnika, gustoću stanovanja, izgrađenost, iskorištenost i gustoću izgrađenosti, obilježja naselja, vrijednosti i posebnosti krajobraza, prirodnih i kulturno-povijesnih cjelina</w:t>
      </w:r>
      <w:bookmarkEnd w:id="47"/>
      <w:r>
        <w:rPr>
          <w:sz w:val="22"/>
        </w:rPr>
        <w:t xml:space="preserve"> </w:t>
      </w:r>
    </w:p>
    <w:p w:rsidR="00012172" w:rsidRDefault="00012172">
      <w:pPr>
        <w:rPr>
          <w:rFonts w:ascii="Arial" w:hAnsi="Arial" w:cs="Arial"/>
          <w:sz w:val="22"/>
        </w:rPr>
      </w:pPr>
    </w:p>
    <w:p w:rsidR="00012172" w:rsidRDefault="00012172">
      <w:pPr>
        <w:jc w:val="both"/>
        <w:rPr>
          <w:rFonts w:ascii="Arial" w:hAnsi="Arial" w:cs="Arial"/>
          <w:sz w:val="22"/>
          <w:szCs w:val="22"/>
        </w:rPr>
      </w:pPr>
      <w:r>
        <w:rPr>
          <w:rFonts w:ascii="Arial" w:hAnsi="Arial" w:cs="Arial"/>
          <w:sz w:val="22"/>
          <w:szCs w:val="22"/>
        </w:rPr>
        <w:t>Prilikom utvrđivanja građevinskih područja naselja poštivan je način kako je to definirano Prostornim planom Koprivničko-križevačke županije.</w:t>
      </w:r>
    </w:p>
    <w:p w:rsidR="00012172" w:rsidRDefault="00012172">
      <w:pPr>
        <w:jc w:val="both"/>
        <w:rPr>
          <w:rFonts w:ascii="Arial" w:hAnsi="Arial" w:cs="Arial"/>
          <w:sz w:val="22"/>
          <w:szCs w:val="22"/>
        </w:rPr>
      </w:pPr>
      <w:r>
        <w:rPr>
          <w:rFonts w:ascii="Arial" w:hAnsi="Arial" w:cs="Arial"/>
          <w:sz w:val="22"/>
          <w:szCs w:val="22"/>
        </w:rPr>
        <w:t xml:space="preserve">Dosadašnja građevinska područja imat će nekoliko korekcija. Odvojit će se izgrađena građevinska područja od neizgrađenih (predviđenih za daljnji razvoj naselja) i građevinska područja namijenjena prvenstveno za razvoj naselja od građevinskih područja za poduzetničke zone. </w:t>
      </w:r>
    </w:p>
    <w:p w:rsidR="00012172" w:rsidRDefault="00012172">
      <w:pPr>
        <w:jc w:val="both"/>
        <w:rPr>
          <w:rFonts w:ascii="Arial" w:hAnsi="Arial" w:cs="Arial"/>
          <w:sz w:val="22"/>
          <w:szCs w:val="22"/>
        </w:rPr>
      </w:pPr>
    </w:p>
    <w:p w:rsidR="00012172" w:rsidRDefault="00012172">
      <w:pPr>
        <w:rPr>
          <w:rFonts w:ascii="Arial" w:hAnsi="Arial" w:cs="Arial"/>
          <w:sz w:val="22"/>
        </w:rPr>
      </w:pPr>
      <w:r>
        <w:rPr>
          <w:rFonts w:ascii="Arial" w:hAnsi="Arial" w:cs="Arial"/>
          <w:b/>
          <w:sz w:val="22"/>
        </w:rPr>
        <w:t xml:space="preserve">Izgrađeni </w:t>
      </w:r>
      <w:r>
        <w:rPr>
          <w:rFonts w:ascii="Arial" w:hAnsi="Arial" w:cs="Arial"/>
          <w:sz w:val="22"/>
        </w:rPr>
        <w:t xml:space="preserve">dio utvrđuje se na način da se iz ukupnog građevinskog područja izuzme: </w:t>
      </w:r>
    </w:p>
    <w:p w:rsidR="00012172" w:rsidRDefault="00012172">
      <w:pPr>
        <w:numPr>
          <w:ilvl w:val="0"/>
          <w:numId w:val="27"/>
        </w:numPr>
        <w:jc w:val="both"/>
        <w:rPr>
          <w:rFonts w:ascii="Arial" w:hAnsi="Arial" w:cs="Arial"/>
          <w:sz w:val="22"/>
        </w:rPr>
      </w:pPr>
      <w:r>
        <w:rPr>
          <w:rFonts w:ascii="Arial" w:hAnsi="Arial" w:cs="Arial"/>
          <w:sz w:val="22"/>
        </w:rPr>
        <w:t xml:space="preserve">svaka neizgrađena površina veća od </w:t>
      </w:r>
      <w:smartTag w:uri="urn:schemas-microsoft-com:office:smarttags" w:element="metricconverter">
        <w:smartTagPr>
          <w:attr w:name="ProductID" w:val="3000 m2"/>
        </w:smartTagPr>
        <w:r>
          <w:rPr>
            <w:rFonts w:ascii="Arial" w:hAnsi="Arial" w:cs="Arial"/>
            <w:sz w:val="22"/>
          </w:rPr>
          <w:t>3000 m</w:t>
        </w:r>
        <w:r>
          <w:rPr>
            <w:rFonts w:ascii="Arial" w:hAnsi="Arial" w:cs="Arial"/>
            <w:sz w:val="22"/>
            <w:vertAlign w:val="superscript"/>
          </w:rPr>
          <w:t>2</w:t>
        </w:r>
      </w:smartTag>
      <w:r>
        <w:rPr>
          <w:rFonts w:ascii="Arial" w:hAnsi="Arial" w:cs="Arial"/>
          <w:sz w:val="22"/>
          <w:vertAlign w:val="superscript"/>
        </w:rPr>
        <w:t>,</w:t>
      </w:r>
    </w:p>
    <w:p w:rsidR="00012172" w:rsidRDefault="00012172">
      <w:pPr>
        <w:numPr>
          <w:ilvl w:val="0"/>
          <w:numId w:val="27"/>
        </w:numPr>
        <w:jc w:val="both"/>
        <w:rPr>
          <w:rFonts w:ascii="Arial" w:hAnsi="Arial" w:cs="Arial"/>
          <w:sz w:val="22"/>
        </w:rPr>
      </w:pPr>
      <w:r>
        <w:rPr>
          <w:rFonts w:ascii="Arial" w:hAnsi="Arial" w:cs="Arial"/>
          <w:sz w:val="22"/>
        </w:rPr>
        <w:t>svaka neizgrađena površina bez pristupa na javnu prometnicu,</w:t>
      </w:r>
    </w:p>
    <w:p w:rsidR="00012172" w:rsidRDefault="00012172">
      <w:pPr>
        <w:numPr>
          <w:ilvl w:val="0"/>
          <w:numId w:val="27"/>
        </w:numPr>
        <w:jc w:val="both"/>
        <w:rPr>
          <w:rFonts w:ascii="Arial" w:hAnsi="Arial" w:cs="Arial"/>
          <w:sz w:val="22"/>
        </w:rPr>
      </w:pPr>
      <w:r>
        <w:rPr>
          <w:rFonts w:ascii="Arial" w:hAnsi="Arial" w:cs="Arial"/>
          <w:sz w:val="22"/>
        </w:rPr>
        <w:t xml:space="preserve">svaka izgrađena površina veća od </w:t>
      </w:r>
      <w:smartTag w:uri="urn:schemas-microsoft-com:office:smarttags" w:element="metricconverter">
        <w:smartTagPr>
          <w:attr w:name="ProductID" w:val="3000 m2"/>
        </w:smartTagPr>
        <w:r>
          <w:rPr>
            <w:rFonts w:ascii="Arial" w:hAnsi="Arial" w:cs="Arial"/>
            <w:sz w:val="22"/>
          </w:rPr>
          <w:t>3000 m</w:t>
        </w:r>
        <w:r>
          <w:rPr>
            <w:rFonts w:ascii="Arial" w:hAnsi="Arial" w:cs="Arial"/>
            <w:sz w:val="22"/>
            <w:vertAlign w:val="superscript"/>
          </w:rPr>
          <w:t>2</w:t>
        </w:r>
      </w:smartTag>
      <w:r>
        <w:rPr>
          <w:rFonts w:ascii="Arial" w:hAnsi="Arial" w:cs="Arial"/>
          <w:sz w:val="22"/>
        </w:rPr>
        <w:t>, ako se građevine izgrađene na njoj ne koriste više od 10 godina ili su im konstruktivni dijelovi toliko oštećeni da ih je nerentabilno sanirati.</w:t>
      </w:r>
    </w:p>
    <w:p w:rsidR="00012172" w:rsidRDefault="00012172">
      <w:pPr>
        <w:pStyle w:val="StandardWeb"/>
        <w:spacing w:before="0" w:beforeAutospacing="0" w:after="0" w:afterAutospacing="0"/>
        <w:rPr>
          <w:rFonts w:ascii="Arial" w:hAnsi="Arial" w:cs="Arial"/>
          <w:sz w:val="22"/>
        </w:rPr>
      </w:pPr>
    </w:p>
    <w:p w:rsidR="00012172" w:rsidRDefault="00012172">
      <w:pPr>
        <w:pStyle w:val="Tijeloteksta2"/>
        <w:ind w:left="0" w:firstLine="0"/>
        <w:rPr>
          <w:rFonts w:cs="Arial"/>
          <w:sz w:val="22"/>
          <w:szCs w:val="22"/>
        </w:rPr>
      </w:pPr>
      <w:r>
        <w:rPr>
          <w:rFonts w:cs="Arial"/>
          <w:b/>
          <w:sz w:val="22"/>
          <w:szCs w:val="22"/>
        </w:rPr>
        <w:t xml:space="preserve">Neizgrađenim </w:t>
      </w:r>
      <w:r>
        <w:rPr>
          <w:rFonts w:cs="Arial"/>
          <w:sz w:val="22"/>
          <w:szCs w:val="22"/>
        </w:rPr>
        <w:t>dijelom smatraju se neizgrađene površine unutar građevinskog područja koje su u građevinskom smislu podobne za izgradnju (uz rub su naselja ili unutar naselja, blizu su mreže infrastrukture naselja, po mogućnosti nisu uz državnu ili županijsku cestu).</w:t>
      </w:r>
    </w:p>
    <w:p w:rsidR="00012172" w:rsidRDefault="00012172">
      <w:pPr>
        <w:pStyle w:val="Tijeloteksta2"/>
        <w:rPr>
          <w:rFonts w:ascii="Times New Roman" w:hAnsi="Times New Roman"/>
        </w:rPr>
      </w:pPr>
    </w:p>
    <w:p w:rsidR="00012172" w:rsidRDefault="00012172">
      <w:pPr>
        <w:pStyle w:val="Tekst"/>
        <w:spacing w:line="240" w:lineRule="auto"/>
        <w:rPr>
          <w:rFonts w:ascii="Arial" w:hAnsi="Arial" w:cs="Arial"/>
          <w:sz w:val="22"/>
          <w:szCs w:val="22"/>
          <w:lang w:val="hr-HR"/>
        </w:rPr>
      </w:pPr>
      <w:r>
        <w:rPr>
          <w:rFonts w:ascii="Arial" w:hAnsi="Arial" w:cs="Arial"/>
          <w:sz w:val="22"/>
        </w:rPr>
        <w:lastRenderedPageBreak/>
        <w:t>Gra</w:t>
      </w:r>
      <w:r w:rsidRPr="00FC10DE">
        <w:rPr>
          <w:rFonts w:ascii="Arial" w:hAnsi="Arial" w:cs="Arial"/>
          <w:sz w:val="22"/>
          <w:lang w:val="hr-HR"/>
        </w:rPr>
        <w:t>đ</w:t>
      </w:r>
      <w:r>
        <w:rPr>
          <w:rFonts w:ascii="Arial" w:hAnsi="Arial" w:cs="Arial"/>
          <w:sz w:val="22"/>
        </w:rPr>
        <w:t>evinskom</w:t>
      </w:r>
      <w:r w:rsidRPr="00FC10DE">
        <w:rPr>
          <w:rFonts w:ascii="Arial" w:hAnsi="Arial" w:cs="Arial"/>
          <w:sz w:val="22"/>
          <w:lang w:val="hr-HR"/>
        </w:rPr>
        <w:t xml:space="preserve"> </w:t>
      </w:r>
      <w:r>
        <w:rPr>
          <w:rFonts w:ascii="Arial" w:hAnsi="Arial" w:cs="Arial"/>
          <w:sz w:val="22"/>
        </w:rPr>
        <w:t>parcelom</w:t>
      </w:r>
      <w:r w:rsidRPr="00FC10DE">
        <w:rPr>
          <w:rFonts w:ascii="Arial" w:hAnsi="Arial" w:cs="Arial"/>
          <w:sz w:val="22"/>
          <w:lang w:val="hr-HR"/>
        </w:rPr>
        <w:t xml:space="preserve"> </w:t>
      </w:r>
      <w:r>
        <w:rPr>
          <w:rFonts w:ascii="Arial" w:hAnsi="Arial" w:cs="Arial"/>
          <w:sz w:val="22"/>
        </w:rPr>
        <w:t>smatra</w:t>
      </w:r>
      <w:r w:rsidRPr="00FC10DE">
        <w:rPr>
          <w:rFonts w:ascii="Arial" w:hAnsi="Arial" w:cs="Arial"/>
          <w:sz w:val="22"/>
          <w:lang w:val="hr-HR"/>
        </w:rPr>
        <w:t xml:space="preserve"> </w:t>
      </w:r>
      <w:r>
        <w:rPr>
          <w:rFonts w:ascii="Arial" w:hAnsi="Arial" w:cs="Arial"/>
          <w:sz w:val="22"/>
        </w:rPr>
        <w:t>se</w:t>
      </w:r>
      <w:r w:rsidRPr="00FC10DE">
        <w:rPr>
          <w:rFonts w:ascii="Arial" w:hAnsi="Arial" w:cs="Arial"/>
          <w:sz w:val="22"/>
          <w:lang w:val="hr-HR"/>
        </w:rPr>
        <w:t xml:space="preserve">, </w:t>
      </w:r>
      <w:r>
        <w:rPr>
          <w:rFonts w:ascii="Arial" w:hAnsi="Arial" w:cs="Arial"/>
          <w:sz w:val="22"/>
        </w:rPr>
        <w:t>kod</w:t>
      </w:r>
      <w:r w:rsidRPr="00FC10DE">
        <w:rPr>
          <w:rFonts w:ascii="Arial" w:hAnsi="Arial" w:cs="Arial"/>
          <w:sz w:val="22"/>
          <w:lang w:val="hr-HR"/>
        </w:rPr>
        <w:t xml:space="preserve"> </w:t>
      </w:r>
      <w:r>
        <w:rPr>
          <w:rFonts w:ascii="Arial" w:hAnsi="Arial" w:cs="Arial"/>
          <w:sz w:val="22"/>
        </w:rPr>
        <w:t>vrlo</w:t>
      </w:r>
      <w:r w:rsidRPr="00FC10DE">
        <w:rPr>
          <w:rFonts w:ascii="Arial" w:hAnsi="Arial" w:cs="Arial"/>
          <w:sz w:val="22"/>
          <w:lang w:val="hr-HR"/>
        </w:rPr>
        <w:t xml:space="preserve"> </w:t>
      </w:r>
      <w:r>
        <w:rPr>
          <w:rFonts w:ascii="Arial" w:hAnsi="Arial" w:cs="Arial"/>
          <w:sz w:val="22"/>
        </w:rPr>
        <w:t>dubokih</w:t>
      </w:r>
      <w:r w:rsidRPr="00FC10DE">
        <w:rPr>
          <w:rFonts w:ascii="Arial" w:hAnsi="Arial" w:cs="Arial"/>
          <w:sz w:val="22"/>
          <w:lang w:val="hr-HR"/>
        </w:rPr>
        <w:t xml:space="preserve"> </w:t>
      </w:r>
      <w:r>
        <w:rPr>
          <w:rFonts w:ascii="Arial" w:hAnsi="Arial" w:cs="Arial"/>
          <w:sz w:val="22"/>
        </w:rPr>
        <w:t>parcela</w:t>
      </w:r>
      <w:r w:rsidRPr="00FC10DE">
        <w:rPr>
          <w:rFonts w:ascii="Arial" w:hAnsi="Arial" w:cs="Arial"/>
          <w:sz w:val="22"/>
          <w:lang w:val="hr-HR"/>
        </w:rPr>
        <w:t xml:space="preserve">, </w:t>
      </w:r>
      <w:r>
        <w:rPr>
          <w:rFonts w:ascii="Arial" w:hAnsi="Arial" w:cs="Arial"/>
          <w:sz w:val="22"/>
        </w:rPr>
        <w:t>zemlji</w:t>
      </w:r>
      <w:r w:rsidRPr="00FC10DE">
        <w:rPr>
          <w:rFonts w:ascii="Arial" w:hAnsi="Arial" w:cs="Arial"/>
          <w:sz w:val="22"/>
          <w:lang w:val="hr-HR"/>
        </w:rPr>
        <w:t>š</w:t>
      </w:r>
      <w:r>
        <w:rPr>
          <w:rFonts w:ascii="Arial" w:hAnsi="Arial" w:cs="Arial"/>
          <w:sz w:val="22"/>
        </w:rPr>
        <w:t>te</w:t>
      </w:r>
      <w:r w:rsidRPr="00FC10DE">
        <w:rPr>
          <w:rFonts w:ascii="Arial" w:hAnsi="Arial" w:cs="Arial"/>
          <w:sz w:val="22"/>
          <w:lang w:val="hr-HR"/>
        </w:rPr>
        <w:t xml:space="preserve"> </w:t>
      </w:r>
      <w:r>
        <w:rPr>
          <w:rFonts w:ascii="Arial" w:hAnsi="Arial" w:cs="Arial"/>
          <w:sz w:val="22"/>
        </w:rPr>
        <w:t>dubine</w:t>
      </w:r>
      <w:r w:rsidRPr="00FC10DE">
        <w:rPr>
          <w:rFonts w:ascii="Arial" w:hAnsi="Arial" w:cs="Arial"/>
          <w:sz w:val="22"/>
          <w:lang w:val="hr-HR"/>
        </w:rPr>
        <w:t xml:space="preserve"> 50 – </w:t>
      </w:r>
      <w:smartTag w:uri="urn:schemas-microsoft-com:office:smarttags" w:element="metricconverter">
        <w:smartTagPr>
          <w:attr w:name="ProductID" w:val="100 m"/>
        </w:smartTagPr>
        <w:r w:rsidRPr="00FC10DE">
          <w:rPr>
            <w:rFonts w:ascii="Arial" w:hAnsi="Arial" w:cs="Arial"/>
            <w:sz w:val="22"/>
            <w:lang w:val="hr-HR"/>
          </w:rPr>
          <w:t xml:space="preserve">100 </w:t>
        </w:r>
        <w:r>
          <w:rPr>
            <w:rFonts w:ascii="Arial" w:hAnsi="Arial" w:cs="Arial"/>
            <w:sz w:val="22"/>
          </w:rPr>
          <w:t>m</w:t>
        </w:r>
      </w:smartTag>
      <w:r w:rsidRPr="00FC10DE">
        <w:rPr>
          <w:rFonts w:ascii="Arial" w:hAnsi="Arial" w:cs="Arial"/>
          <w:sz w:val="22"/>
          <w:lang w:val="hr-HR"/>
        </w:rPr>
        <w:t xml:space="preserve"> </w:t>
      </w:r>
      <w:r>
        <w:rPr>
          <w:rFonts w:ascii="Arial" w:hAnsi="Arial" w:cs="Arial"/>
          <w:sz w:val="22"/>
        </w:rPr>
        <w:t>od</w:t>
      </w:r>
      <w:r w:rsidRPr="00FC10DE">
        <w:rPr>
          <w:rFonts w:ascii="Arial" w:hAnsi="Arial" w:cs="Arial"/>
          <w:sz w:val="22"/>
          <w:lang w:val="hr-HR"/>
        </w:rPr>
        <w:t xml:space="preserve"> </w:t>
      </w:r>
      <w:r>
        <w:rPr>
          <w:rFonts w:ascii="Arial" w:hAnsi="Arial" w:cs="Arial"/>
          <w:sz w:val="22"/>
        </w:rPr>
        <w:t>regulacijske</w:t>
      </w:r>
      <w:r w:rsidRPr="00FC10DE">
        <w:rPr>
          <w:rFonts w:ascii="Arial" w:hAnsi="Arial" w:cs="Arial"/>
          <w:sz w:val="22"/>
          <w:lang w:val="hr-HR"/>
        </w:rPr>
        <w:t xml:space="preserve"> </w:t>
      </w:r>
      <w:r>
        <w:rPr>
          <w:rFonts w:ascii="Arial" w:hAnsi="Arial" w:cs="Arial"/>
          <w:sz w:val="22"/>
        </w:rPr>
        <w:t>linije</w:t>
      </w:r>
      <w:r w:rsidRPr="00FC10DE">
        <w:rPr>
          <w:rFonts w:ascii="Arial" w:hAnsi="Arial" w:cs="Arial"/>
          <w:sz w:val="22"/>
          <w:lang w:val="hr-HR"/>
        </w:rPr>
        <w:t xml:space="preserve">, </w:t>
      </w:r>
      <w:r>
        <w:rPr>
          <w:rFonts w:ascii="Arial" w:hAnsi="Arial" w:cs="Arial"/>
          <w:sz w:val="22"/>
        </w:rPr>
        <w:t>ovisno</w:t>
      </w:r>
      <w:r w:rsidRPr="00FC10DE">
        <w:rPr>
          <w:rFonts w:ascii="Arial" w:hAnsi="Arial" w:cs="Arial"/>
          <w:sz w:val="22"/>
          <w:lang w:val="hr-HR"/>
        </w:rPr>
        <w:t xml:space="preserve"> </w:t>
      </w:r>
      <w:r>
        <w:rPr>
          <w:rFonts w:ascii="Arial" w:hAnsi="Arial" w:cs="Arial"/>
          <w:sz w:val="22"/>
        </w:rPr>
        <w:t>o</w:t>
      </w:r>
      <w:r w:rsidRPr="00FC10DE">
        <w:rPr>
          <w:rFonts w:ascii="Arial" w:hAnsi="Arial" w:cs="Arial"/>
          <w:sz w:val="22"/>
          <w:lang w:val="hr-HR"/>
        </w:rPr>
        <w:t xml:space="preserve"> </w:t>
      </w:r>
      <w:r>
        <w:rPr>
          <w:rFonts w:ascii="Arial" w:hAnsi="Arial" w:cs="Arial"/>
          <w:sz w:val="22"/>
        </w:rPr>
        <w:t>tipologiji</w:t>
      </w:r>
      <w:r w:rsidRPr="00FC10DE">
        <w:rPr>
          <w:rFonts w:ascii="Arial" w:hAnsi="Arial" w:cs="Arial"/>
          <w:sz w:val="22"/>
          <w:lang w:val="hr-HR"/>
        </w:rPr>
        <w:t xml:space="preserve"> </w:t>
      </w:r>
      <w:r>
        <w:rPr>
          <w:rFonts w:ascii="Arial" w:hAnsi="Arial" w:cs="Arial"/>
          <w:sz w:val="22"/>
        </w:rPr>
        <w:t>naselja</w:t>
      </w:r>
      <w:r w:rsidRPr="00FC10DE">
        <w:rPr>
          <w:rFonts w:ascii="Arial" w:hAnsi="Arial" w:cs="Arial"/>
          <w:b/>
          <w:bCs/>
          <w:sz w:val="22"/>
          <w:lang w:val="hr-HR"/>
        </w:rPr>
        <w:t>.</w:t>
      </w:r>
      <w:r w:rsidRPr="00FC10DE">
        <w:rPr>
          <w:rFonts w:ascii="Arial" w:hAnsi="Arial" w:cs="Arial"/>
          <w:sz w:val="22"/>
          <w:lang w:val="hr-HR"/>
        </w:rPr>
        <w:t xml:space="preserve"> </w:t>
      </w:r>
    </w:p>
    <w:p w:rsidR="00E10A8B" w:rsidRPr="004B5DA3" w:rsidRDefault="00640D9A" w:rsidP="00E10A8B">
      <w:pPr>
        <w:jc w:val="both"/>
        <w:rPr>
          <w:rFonts w:ascii="Arial" w:hAnsi="Arial" w:cs="Arial"/>
          <w:sz w:val="22"/>
          <w:szCs w:val="22"/>
        </w:rPr>
      </w:pPr>
      <w:r w:rsidRPr="00640D9A">
        <w:rPr>
          <w:rFonts w:ascii="Arial" w:hAnsi="Arial" w:cs="Arial"/>
          <w:sz w:val="22"/>
          <w:szCs w:val="22"/>
        </w:rPr>
        <w:t>Uk</w:t>
      </w:r>
      <w:r w:rsidR="006E53BD">
        <w:rPr>
          <w:rFonts w:ascii="Arial" w:hAnsi="Arial" w:cs="Arial"/>
          <w:sz w:val="22"/>
          <w:szCs w:val="22"/>
        </w:rPr>
        <w:t xml:space="preserve">upno građevinsko područje iznosi </w:t>
      </w:r>
      <w:smartTag w:uri="urn:schemas-microsoft-com:office:smarttags" w:element="metricconverter">
        <w:smartTagPr>
          <w:attr w:name="ProductID" w:val="250,2 ha"/>
        </w:smartTagPr>
        <w:r w:rsidR="006E53BD">
          <w:rPr>
            <w:rFonts w:ascii="Arial" w:hAnsi="Arial" w:cs="Arial"/>
            <w:sz w:val="22"/>
            <w:szCs w:val="22"/>
          </w:rPr>
          <w:t>250,2 ha</w:t>
        </w:r>
      </w:smartTag>
      <w:r w:rsidR="006E53BD">
        <w:rPr>
          <w:rFonts w:ascii="Arial" w:hAnsi="Arial" w:cs="Arial"/>
          <w:sz w:val="22"/>
          <w:szCs w:val="22"/>
        </w:rPr>
        <w:t xml:space="preserve">. Od toga je </w:t>
      </w:r>
      <w:smartTag w:uri="urn:schemas-microsoft-com:office:smarttags" w:element="metricconverter">
        <w:smartTagPr>
          <w:attr w:name="ProductID" w:val="22,36 ha"/>
        </w:smartTagPr>
        <w:r w:rsidR="006E53BD">
          <w:rPr>
            <w:rFonts w:ascii="Arial" w:hAnsi="Arial" w:cs="Arial"/>
            <w:sz w:val="22"/>
            <w:szCs w:val="22"/>
          </w:rPr>
          <w:t>22,36 ha</w:t>
        </w:r>
      </w:smartTag>
      <w:r w:rsidR="006E53BD">
        <w:rPr>
          <w:rFonts w:ascii="Arial" w:hAnsi="Arial" w:cs="Arial"/>
          <w:sz w:val="22"/>
          <w:szCs w:val="22"/>
        </w:rPr>
        <w:t xml:space="preserve"> (8,9%</w:t>
      </w:r>
      <w:r w:rsidR="004F521E">
        <w:rPr>
          <w:rFonts w:ascii="Arial" w:hAnsi="Arial" w:cs="Arial"/>
          <w:sz w:val="22"/>
          <w:szCs w:val="22"/>
        </w:rPr>
        <w:t>)</w:t>
      </w:r>
      <w:r w:rsidR="006E53BD">
        <w:rPr>
          <w:rFonts w:ascii="Arial" w:hAnsi="Arial" w:cs="Arial"/>
          <w:sz w:val="22"/>
          <w:szCs w:val="22"/>
        </w:rPr>
        <w:t xml:space="preserve"> neizgrađeno prema navedenim kriterijima. Najveće </w:t>
      </w:r>
      <w:r w:rsidR="004F521E">
        <w:rPr>
          <w:rFonts w:ascii="Arial" w:hAnsi="Arial" w:cs="Arial"/>
          <w:sz w:val="22"/>
          <w:szCs w:val="22"/>
        </w:rPr>
        <w:t>građevinsko područja imaju naselja Gornja Rijeka (</w:t>
      </w:r>
      <w:smartTag w:uri="urn:schemas-microsoft-com:office:smarttags" w:element="metricconverter">
        <w:smartTagPr>
          <w:attr w:name="ProductID" w:val="54,4 ha"/>
        </w:smartTagPr>
        <w:r w:rsidR="004F521E">
          <w:rPr>
            <w:rFonts w:ascii="Arial" w:hAnsi="Arial" w:cs="Arial"/>
            <w:sz w:val="22"/>
            <w:szCs w:val="22"/>
          </w:rPr>
          <w:t>54,4 ha</w:t>
        </w:r>
      </w:smartTag>
      <w:r w:rsidR="004F521E">
        <w:rPr>
          <w:rFonts w:ascii="Arial" w:hAnsi="Arial" w:cs="Arial"/>
          <w:sz w:val="22"/>
          <w:szCs w:val="22"/>
        </w:rPr>
        <w:t>), Donja Rijeka (</w:t>
      </w:r>
      <w:smartTag w:uri="urn:schemas-microsoft-com:office:smarttags" w:element="metricconverter">
        <w:smartTagPr>
          <w:attr w:name="ProductID" w:val="41,9 ha"/>
        </w:smartTagPr>
        <w:r w:rsidR="004F521E">
          <w:rPr>
            <w:rFonts w:ascii="Arial" w:hAnsi="Arial" w:cs="Arial"/>
            <w:sz w:val="22"/>
            <w:szCs w:val="22"/>
          </w:rPr>
          <w:t>41,9 ha</w:t>
        </w:r>
      </w:smartTag>
      <w:r w:rsidR="004F521E">
        <w:rPr>
          <w:rFonts w:ascii="Arial" w:hAnsi="Arial" w:cs="Arial"/>
          <w:sz w:val="22"/>
          <w:szCs w:val="22"/>
        </w:rPr>
        <w:t>), Kolarec (</w:t>
      </w:r>
      <w:smartTag w:uri="urn:schemas-microsoft-com:office:smarttags" w:element="metricconverter">
        <w:smartTagPr>
          <w:attr w:name="ProductID" w:val="30,2 ha"/>
        </w:smartTagPr>
        <w:r w:rsidR="004F521E">
          <w:rPr>
            <w:rFonts w:ascii="Arial" w:hAnsi="Arial" w:cs="Arial"/>
            <w:sz w:val="22"/>
            <w:szCs w:val="22"/>
          </w:rPr>
          <w:t>30,2 ha</w:t>
        </w:r>
      </w:smartTag>
      <w:r w:rsidR="004F521E">
        <w:rPr>
          <w:rFonts w:ascii="Arial" w:hAnsi="Arial" w:cs="Arial"/>
          <w:sz w:val="22"/>
          <w:szCs w:val="22"/>
        </w:rPr>
        <w:t>) i Pofuki (</w:t>
      </w:r>
      <w:smartTag w:uri="urn:schemas-microsoft-com:office:smarttags" w:element="metricconverter">
        <w:smartTagPr>
          <w:attr w:name="ProductID" w:val="30,2 ha"/>
        </w:smartTagPr>
        <w:r w:rsidR="004F521E">
          <w:rPr>
            <w:rFonts w:ascii="Arial" w:hAnsi="Arial" w:cs="Arial"/>
            <w:sz w:val="22"/>
            <w:szCs w:val="22"/>
          </w:rPr>
          <w:t>30,2 ha</w:t>
        </w:r>
      </w:smartTag>
      <w:r w:rsidR="004F521E">
        <w:rPr>
          <w:rFonts w:ascii="Arial" w:hAnsi="Arial" w:cs="Arial"/>
          <w:sz w:val="22"/>
          <w:szCs w:val="22"/>
        </w:rPr>
        <w:t xml:space="preserve">). Građevinsko popdručje smanjeno je u odnosu na dosadašnje planove za </w:t>
      </w:r>
      <w:smartTag w:uri="urn:schemas-microsoft-com:office:smarttags" w:element="metricconverter">
        <w:smartTagPr>
          <w:attr w:name="ProductID" w:val="66,8 ha"/>
        </w:smartTagPr>
        <w:r w:rsidR="00514426">
          <w:rPr>
            <w:rFonts w:ascii="Arial" w:hAnsi="Arial" w:cs="Arial"/>
            <w:sz w:val="22"/>
            <w:szCs w:val="22"/>
          </w:rPr>
          <w:t>66,8 ha</w:t>
        </w:r>
      </w:smartTag>
      <w:r w:rsidR="00514426">
        <w:rPr>
          <w:rFonts w:ascii="Arial" w:hAnsi="Arial" w:cs="Arial"/>
          <w:sz w:val="22"/>
          <w:szCs w:val="22"/>
        </w:rPr>
        <w:t xml:space="preserve"> (</w:t>
      </w:r>
      <w:smartTag w:uri="urn:schemas-microsoft-com:office:smarttags" w:element="metricconverter">
        <w:smartTagPr>
          <w:attr w:name="ProductID" w:val="-26,7 ha"/>
        </w:smartTagPr>
        <w:r w:rsidR="00514426">
          <w:rPr>
            <w:rFonts w:ascii="Arial" w:hAnsi="Arial" w:cs="Arial"/>
            <w:sz w:val="22"/>
            <w:szCs w:val="22"/>
          </w:rPr>
          <w:t>-26,7 ha</w:t>
        </w:r>
      </w:smartTag>
      <w:r w:rsidR="00514426">
        <w:rPr>
          <w:rFonts w:ascii="Arial" w:hAnsi="Arial" w:cs="Arial"/>
          <w:sz w:val="22"/>
          <w:szCs w:val="22"/>
        </w:rPr>
        <w:t xml:space="preserve">). </w:t>
      </w:r>
      <w:r w:rsidR="004F521E">
        <w:rPr>
          <w:rFonts w:ascii="Arial" w:hAnsi="Arial" w:cs="Arial"/>
          <w:sz w:val="22"/>
          <w:szCs w:val="22"/>
        </w:rPr>
        <w:t>Do povećanja građevinskog područja došlo je samo u naselju Lukačevec (+</w:t>
      </w:r>
      <w:smartTag w:uri="urn:schemas-microsoft-com:office:smarttags" w:element="metricconverter">
        <w:smartTagPr>
          <w:attr w:name="ProductID" w:val="943 m2"/>
        </w:smartTagPr>
        <w:r w:rsidR="004F521E">
          <w:rPr>
            <w:rFonts w:ascii="Arial" w:hAnsi="Arial" w:cs="Arial"/>
            <w:sz w:val="22"/>
            <w:szCs w:val="22"/>
          </w:rPr>
          <w:t>943 m</w:t>
        </w:r>
        <w:r w:rsidR="004F521E">
          <w:rPr>
            <w:rFonts w:ascii="Arial" w:hAnsi="Arial" w:cs="Arial"/>
            <w:sz w:val="22"/>
            <w:szCs w:val="22"/>
            <w:vertAlign w:val="superscript"/>
          </w:rPr>
          <w:t>2</w:t>
        </w:r>
      </w:smartTag>
      <w:r w:rsidR="004F521E">
        <w:rPr>
          <w:rFonts w:ascii="Arial" w:hAnsi="Arial" w:cs="Arial"/>
          <w:sz w:val="22"/>
          <w:szCs w:val="22"/>
        </w:rPr>
        <w:t xml:space="preserve">). </w:t>
      </w:r>
      <w:r w:rsidR="00514426">
        <w:rPr>
          <w:rFonts w:ascii="Arial" w:hAnsi="Arial" w:cs="Arial"/>
          <w:sz w:val="22"/>
          <w:szCs w:val="22"/>
        </w:rPr>
        <w:t>Do najvećeg smanjenja građevinskog područja došlo je u Gornjoj Rijeci (</w:t>
      </w:r>
      <w:smartTag w:uri="urn:schemas-microsoft-com:office:smarttags" w:element="metricconverter">
        <w:smartTagPr>
          <w:attr w:name="ProductID" w:val="-27,9 ha"/>
        </w:smartTagPr>
        <w:r w:rsidR="00514426">
          <w:rPr>
            <w:rFonts w:ascii="Arial" w:hAnsi="Arial" w:cs="Arial"/>
            <w:sz w:val="22"/>
            <w:szCs w:val="22"/>
          </w:rPr>
          <w:t>-27,9 ha</w:t>
        </w:r>
      </w:smartTag>
      <w:r w:rsidR="00514426">
        <w:rPr>
          <w:rFonts w:ascii="Arial" w:hAnsi="Arial" w:cs="Arial"/>
          <w:sz w:val="22"/>
          <w:szCs w:val="22"/>
        </w:rPr>
        <w:t>) i Vukšincu Riječkom (</w:t>
      </w:r>
      <w:smartTag w:uri="urn:schemas-microsoft-com:office:smarttags" w:element="metricconverter">
        <w:smartTagPr>
          <w:attr w:name="ProductID" w:val="-10,7 ha"/>
        </w:smartTagPr>
        <w:r w:rsidR="00514426">
          <w:rPr>
            <w:rFonts w:ascii="Arial" w:hAnsi="Arial" w:cs="Arial"/>
            <w:sz w:val="22"/>
            <w:szCs w:val="22"/>
          </w:rPr>
          <w:t>-10,7 ha</w:t>
        </w:r>
      </w:smartTag>
      <w:r w:rsidR="00514426">
        <w:rPr>
          <w:rFonts w:ascii="Arial" w:hAnsi="Arial" w:cs="Arial"/>
          <w:sz w:val="22"/>
          <w:szCs w:val="22"/>
        </w:rPr>
        <w:t xml:space="preserve">). </w:t>
      </w:r>
      <w:r w:rsidR="00E10A8B" w:rsidRPr="004B5DA3">
        <w:rPr>
          <w:rFonts w:ascii="Arial" w:hAnsi="Arial" w:cs="Arial"/>
          <w:sz w:val="22"/>
          <w:szCs w:val="22"/>
        </w:rPr>
        <w:t xml:space="preserve">U naselju Štrigovec građevinsko područje je ukupno smanjeno za </w:t>
      </w:r>
      <w:smartTag w:uri="urn:schemas-microsoft-com:office:smarttags" w:element="metricconverter">
        <w:smartTagPr>
          <w:attr w:name="ProductID" w:val="0,59 ha"/>
        </w:smartTagPr>
        <w:r w:rsidR="008641E2">
          <w:rPr>
            <w:rFonts w:ascii="Arial" w:hAnsi="Arial" w:cs="Arial"/>
            <w:sz w:val="22"/>
            <w:szCs w:val="22"/>
          </w:rPr>
          <w:t>0,59 ha</w:t>
        </w:r>
      </w:smartTag>
      <w:r w:rsidR="00E10A8B" w:rsidRPr="004B5DA3">
        <w:rPr>
          <w:rFonts w:ascii="Arial" w:hAnsi="Arial" w:cs="Arial"/>
          <w:sz w:val="22"/>
          <w:szCs w:val="22"/>
        </w:rPr>
        <w:t xml:space="preserve">. U planu je izgradnja športskog terena. </w:t>
      </w:r>
      <w:r w:rsidR="00247A7F">
        <w:rPr>
          <w:rFonts w:ascii="Arial" w:hAnsi="Arial" w:cs="Arial"/>
          <w:sz w:val="22"/>
          <w:szCs w:val="22"/>
        </w:rPr>
        <w:t xml:space="preserve">Najveće relativno smanjenje građevinskog područja je u Vukšinci Riječkom (70,9%). </w:t>
      </w:r>
      <w:r w:rsidR="0003329F">
        <w:rPr>
          <w:rFonts w:ascii="Arial" w:hAnsi="Arial" w:cs="Arial"/>
          <w:sz w:val="22"/>
          <w:szCs w:val="22"/>
        </w:rPr>
        <w:t xml:space="preserve">U Kolarcu građevinsko područje smanjeno </w:t>
      </w:r>
      <w:r w:rsidR="00514426">
        <w:rPr>
          <w:rFonts w:ascii="Arial" w:hAnsi="Arial" w:cs="Arial"/>
          <w:sz w:val="22"/>
          <w:szCs w:val="22"/>
        </w:rPr>
        <w:t xml:space="preserve">je </w:t>
      </w:r>
      <w:r w:rsidR="0003329F">
        <w:rPr>
          <w:rFonts w:ascii="Arial" w:hAnsi="Arial" w:cs="Arial"/>
          <w:sz w:val="22"/>
          <w:szCs w:val="22"/>
        </w:rPr>
        <w:t xml:space="preserve">za </w:t>
      </w:r>
      <w:smartTag w:uri="urn:schemas-microsoft-com:office:smarttags" w:element="metricconverter">
        <w:smartTagPr>
          <w:attr w:name="ProductID" w:val="7,1 ha"/>
        </w:smartTagPr>
        <w:r w:rsidR="0003329F">
          <w:rPr>
            <w:rFonts w:ascii="Arial" w:hAnsi="Arial" w:cs="Arial"/>
            <w:sz w:val="22"/>
            <w:szCs w:val="22"/>
          </w:rPr>
          <w:t>7,1 ha</w:t>
        </w:r>
      </w:smartTag>
      <w:r w:rsidR="0003329F">
        <w:rPr>
          <w:rFonts w:ascii="Arial" w:hAnsi="Arial" w:cs="Arial"/>
          <w:sz w:val="22"/>
          <w:szCs w:val="22"/>
        </w:rPr>
        <w:t xml:space="preserve">. </w:t>
      </w:r>
    </w:p>
    <w:p w:rsidR="00012172" w:rsidRPr="00514426" w:rsidRDefault="00514426">
      <w:pPr>
        <w:pStyle w:val="Opisslike"/>
        <w:rPr>
          <w:bCs w:val="0"/>
          <w:sz w:val="22"/>
          <w:szCs w:val="22"/>
        </w:rPr>
      </w:pPr>
      <w:r w:rsidRPr="00514426">
        <w:rPr>
          <w:bCs w:val="0"/>
          <w:sz w:val="22"/>
          <w:szCs w:val="22"/>
        </w:rPr>
        <w:t>Najviše površina za razvoj predviđeno je</w:t>
      </w:r>
      <w:r>
        <w:rPr>
          <w:bCs w:val="0"/>
          <w:sz w:val="22"/>
          <w:szCs w:val="22"/>
        </w:rPr>
        <w:t xml:space="preserve"> u Gornjoj Rijeci (</w:t>
      </w:r>
      <w:smartTag w:uri="urn:schemas-microsoft-com:office:smarttags" w:element="metricconverter">
        <w:smartTagPr>
          <w:attr w:name="ProductID" w:val="9,4 ha"/>
        </w:smartTagPr>
        <w:r>
          <w:rPr>
            <w:bCs w:val="0"/>
            <w:sz w:val="22"/>
            <w:szCs w:val="22"/>
          </w:rPr>
          <w:t>9,4 ha</w:t>
        </w:r>
      </w:smartTag>
      <w:r>
        <w:rPr>
          <w:bCs w:val="0"/>
          <w:sz w:val="22"/>
          <w:szCs w:val="22"/>
        </w:rPr>
        <w:t>), Pofukima (</w:t>
      </w:r>
      <w:smartTag w:uri="urn:schemas-microsoft-com:office:smarttags" w:element="metricconverter">
        <w:smartTagPr>
          <w:attr w:name="ProductID" w:val="5,3 ha"/>
        </w:smartTagPr>
        <w:r>
          <w:rPr>
            <w:bCs w:val="0"/>
            <w:sz w:val="22"/>
            <w:szCs w:val="22"/>
          </w:rPr>
          <w:t>5,3 ha</w:t>
        </w:r>
      </w:smartTag>
      <w:r>
        <w:rPr>
          <w:bCs w:val="0"/>
          <w:sz w:val="22"/>
          <w:szCs w:val="22"/>
        </w:rPr>
        <w:t>), Donjoj Rijeci (</w:t>
      </w:r>
      <w:smartTag w:uri="urn:schemas-microsoft-com:office:smarttags" w:element="metricconverter">
        <w:smartTagPr>
          <w:attr w:name="ProductID" w:val="2,9 ha"/>
        </w:smartTagPr>
        <w:r>
          <w:rPr>
            <w:bCs w:val="0"/>
            <w:sz w:val="22"/>
            <w:szCs w:val="22"/>
          </w:rPr>
          <w:t>2,9 ha</w:t>
        </w:r>
      </w:smartTag>
      <w:r>
        <w:rPr>
          <w:bCs w:val="0"/>
          <w:sz w:val="22"/>
          <w:szCs w:val="22"/>
        </w:rPr>
        <w:t>) i Dropkovcu (</w:t>
      </w:r>
      <w:smartTag w:uri="urn:schemas-microsoft-com:office:smarttags" w:element="metricconverter">
        <w:smartTagPr>
          <w:attr w:name="ProductID" w:val="2,1 ha"/>
        </w:smartTagPr>
        <w:r>
          <w:rPr>
            <w:bCs w:val="0"/>
            <w:sz w:val="22"/>
            <w:szCs w:val="22"/>
          </w:rPr>
          <w:t>2,1 ha</w:t>
        </w:r>
      </w:smartTag>
      <w:r>
        <w:rPr>
          <w:bCs w:val="0"/>
          <w:sz w:val="22"/>
          <w:szCs w:val="22"/>
        </w:rPr>
        <w:t xml:space="preserve">). </w:t>
      </w:r>
    </w:p>
    <w:p w:rsidR="00012172" w:rsidRDefault="00012172"/>
    <w:p w:rsidR="00514426" w:rsidRDefault="00514426"/>
    <w:p w:rsidR="00514426" w:rsidRDefault="00514426"/>
    <w:p w:rsidR="00012172" w:rsidRDefault="00012172">
      <w:pPr>
        <w:pStyle w:val="Opisslike"/>
        <w:rPr>
          <w:bCs w:val="0"/>
        </w:rPr>
      </w:pPr>
      <w:bookmarkStart w:id="48" w:name="_Toc132763262"/>
      <w:r>
        <w:rPr>
          <w:bCs w:val="0"/>
        </w:rPr>
        <w:t xml:space="preserve">Tablica </w:t>
      </w:r>
      <w:r>
        <w:rPr>
          <w:bCs w:val="0"/>
        </w:rPr>
        <w:fldChar w:fldCharType="begin"/>
      </w:r>
      <w:r>
        <w:rPr>
          <w:bCs w:val="0"/>
        </w:rPr>
        <w:instrText xml:space="preserve"> SEQ Tablica \* ARABIC </w:instrText>
      </w:r>
      <w:r>
        <w:rPr>
          <w:bCs w:val="0"/>
        </w:rPr>
        <w:fldChar w:fldCharType="separate"/>
      </w:r>
      <w:r w:rsidR="002B1815">
        <w:rPr>
          <w:bCs w:val="0"/>
          <w:noProof/>
        </w:rPr>
        <w:t>12</w:t>
      </w:r>
      <w:r>
        <w:rPr>
          <w:bCs w:val="0"/>
        </w:rPr>
        <w:fldChar w:fldCharType="end"/>
      </w:r>
      <w:r>
        <w:rPr>
          <w:bCs w:val="0"/>
          <w:noProof/>
        </w:rPr>
        <w:t xml:space="preserve"> : Promjena građevinskog područja</w:t>
      </w:r>
      <w:bookmarkEnd w:id="48"/>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066"/>
        <w:gridCol w:w="1066"/>
        <w:gridCol w:w="866"/>
        <w:gridCol w:w="902"/>
        <w:gridCol w:w="1440"/>
        <w:gridCol w:w="1080"/>
        <w:gridCol w:w="1080"/>
      </w:tblGrid>
      <w:tr w:rsidR="00012172">
        <w:tc>
          <w:tcPr>
            <w:tcW w:w="1368" w:type="dxa"/>
          </w:tcPr>
          <w:p w:rsidR="00012172" w:rsidRDefault="00012172">
            <w:pPr>
              <w:rPr>
                <w:b/>
                <w:sz w:val="20"/>
                <w:szCs w:val="20"/>
              </w:rPr>
            </w:pPr>
          </w:p>
        </w:tc>
        <w:tc>
          <w:tcPr>
            <w:tcW w:w="2132" w:type="dxa"/>
            <w:gridSpan w:val="2"/>
            <w:vAlign w:val="center"/>
          </w:tcPr>
          <w:p w:rsidR="00012172" w:rsidRDefault="00012172">
            <w:pPr>
              <w:jc w:val="center"/>
              <w:rPr>
                <w:b/>
                <w:sz w:val="20"/>
                <w:szCs w:val="20"/>
              </w:rPr>
            </w:pPr>
            <w:r>
              <w:rPr>
                <w:b/>
                <w:sz w:val="20"/>
                <w:szCs w:val="20"/>
              </w:rPr>
              <w:t>Građevinsko (ha)</w:t>
            </w:r>
          </w:p>
        </w:tc>
        <w:tc>
          <w:tcPr>
            <w:tcW w:w="1768" w:type="dxa"/>
            <w:gridSpan w:val="2"/>
            <w:tcBorders>
              <w:left w:val="single" w:sz="8" w:space="0" w:color="auto"/>
            </w:tcBorders>
            <w:vAlign w:val="center"/>
          </w:tcPr>
          <w:p w:rsidR="00012172" w:rsidRDefault="00012172">
            <w:pPr>
              <w:jc w:val="center"/>
              <w:rPr>
                <w:b/>
                <w:sz w:val="20"/>
                <w:szCs w:val="20"/>
              </w:rPr>
            </w:pPr>
            <w:r>
              <w:rPr>
                <w:b/>
                <w:sz w:val="20"/>
                <w:szCs w:val="20"/>
              </w:rPr>
              <w:t>Neizgrađeno</w:t>
            </w:r>
          </w:p>
          <w:p w:rsidR="00012172" w:rsidRDefault="00012172">
            <w:pPr>
              <w:jc w:val="center"/>
              <w:rPr>
                <w:b/>
                <w:sz w:val="20"/>
                <w:szCs w:val="20"/>
              </w:rPr>
            </w:pPr>
            <w:r>
              <w:rPr>
                <w:b/>
                <w:sz w:val="20"/>
                <w:szCs w:val="20"/>
              </w:rPr>
              <w:t>(ha)</w:t>
            </w:r>
          </w:p>
        </w:tc>
        <w:tc>
          <w:tcPr>
            <w:tcW w:w="1440" w:type="dxa"/>
            <w:vAlign w:val="center"/>
          </w:tcPr>
          <w:p w:rsidR="00012172" w:rsidRDefault="00012172">
            <w:pPr>
              <w:jc w:val="center"/>
              <w:rPr>
                <w:b/>
                <w:sz w:val="20"/>
                <w:szCs w:val="20"/>
              </w:rPr>
            </w:pPr>
            <w:r>
              <w:rPr>
                <w:b/>
                <w:sz w:val="20"/>
                <w:szCs w:val="20"/>
              </w:rPr>
              <w:t>Promjena</w:t>
            </w:r>
          </w:p>
          <w:p w:rsidR="00012172" w:rsidRDefault="00012172">
            <w:pPr>
              <w:jc w:val="center"/>
              <w:rPr>
                <w:b/>
                <w:sz w:val="20"/>
                <w:szCs w:val="20"/>
              </w:rPr>
            </w:pPr>
            <w:r>
              <w:rPr>
                <w:b/>
                <w:sz w:val="20"/>
                <w:szCs w:val="20"/>
              </w:rPr>
              <w:t xml:space="preserve">broja </w:t>
            </w:r>
          </w:p>
          <w:p w:rsidR="00012172" w:rsidRDefault="00012172">
            <w:pPr>
              <w:jc w:val="center"/>
              <w:rPr>
                <w:b/>
                <w:sz w:val="20"/>
                <w:szCs w:val="20"/>
              </w:rPr>
            </w:pPr>
            <w:r>
              <w:rPr>
                <w:b/>
                <w:sz w:val="20"/>
                <w:szCs w:val="20"/>
              </w:rPr>
              <w:t>stanovnika</w:t>
            </w:r>
          </w:p>
        </w:tc>
        <w:tc>
          <w:tcPr>
            <w:tcW w:w="2160" w:type="dxa"/>
            <w:gridSpan w:val="2"/>
            <w:vAlign w:val="center"/>
          </w:tcPr>
          <w:p w:rsidR="00012172" w:rsidRDefault="00012172">
            <w:pPr>
              <w:jc w:val="center"/>
              <w:rPr>
                <w:b/>
                <w:sz w:val="20"/>
                <w:szCs w:val="20"/>
              </w:rPr>
            </w:pPr>
            <w:r>
              <w:rPr>
                <w:b/>
                <w:sz w:val="20"/>
                <w:szCs w:val="20"/>
              </w:rPr>
              <w:t>Promjena u površini građevinskog područja</w:t>
            </w:r>
          </w:p>
        </w:tc>
      </w:tr>
      <w:tr w:rsidR="00012172">
        <w:trPr>
          <w:cantSplit/>
          <w:trHeight w:val="330"/>
        </w:trPr>
        <w:tc>
          <w:tcPr>
            <w:tcW w:w="1368" w:type="dxa"/>
            <w:vMerge w:val="restart"/>
          </w:tcPr>
          <w:p w:rsidR="00012172" w:rsidRDefault="00012172">
            <w:pPr>
              <w:rPr>
                <w:sz w:val="20"/>
                <w:szCs w:val="20"/>
              </w:rPr>
            </w:pPr>
          </w:p>
        </w:tc>
        <w:tc>
          <w:tcPr>
            <w:tcW w:w="1066" w:type="dxa"/>
            <w:vMerge w:val="restart"/>
            <w:vAlign w:val="center"/>
          </w:tcPr>
          <w:p w:rsidR="00012172" w:rsidRDefault="00012172">
            <w:pPr>
              <w:jc w:val="center"/>
              <w:rPr>
                <w:sz w:val="20"/>
                <w:szCs w:val="20"/>
              </w:rPr>
            </w:pPr>
            <w:r>
              <w:rPr>
                <w:sz w:val="20"/>
                <w:szCs w:val="20"/>
              </w:rPr>
              <w:t>staro</w:t>
            </w:r>
          </w:p>
        </w:tc>
        <w:tc>
          <w:tcPr>
            <w:tcW w:w="1066" w:type="dxa"/>
            <w:vMerge w:val="restart"/>
            <w:vAlign w:val="center"/>
          </w:tcPr>
          <w:p w:rsidR="00012172" w:rsidRDefault="00012172">
            <w:pPr>
              <w:jc w:val="center"/>
              <w:rPr>
                <w:sz w:val="20"/>
                <w:szCs w:val="20"/>
              </w:rPr>
            </w:pPr>
            <w:r>
              <w:rPr>
                <w:sz w:val="20"/>
                <w:szCs w:val="20"/>
              </w:rPr>
              <w:t>novo</w:t>
            </w:r>
          </w:p>
        </w:tc>
        <w:tc>
          <w:tcPr>
            <w:tcW w:w="1768" w:type="dxa"/>
            <w:gridSpan w:val="2"/>
            <w:vAlign w:val="center"/>
          </w:tcPr>
          <w:p w:rsidR="00012172" w:rsidRDefault="00012172">
            <w:pPr>
              <w:jc w:val="center"/>
              <w:rPr>
                <w:sz w:val="20"/>
                <w:szCs w:val="20"/>
              </w:rPr>
            </w:pPr>
            <w:r>
              <w:rPr>
                <w:sz w:val="20"/>
                <w:szCs w:val="20"/>
              </w:rPr>
              <w:t>novo</w:t>
            </w:r>
          </w:p>
        </w:tc>
        <w:tc>
          <w:tcPr>
            <w:tcW w:w="1440" w:type="dxa"/>
            <w:vMerge w:val="restart"/>
            <w:vAlign w:val="center"/>
          </w:tcPr>
          <w:p w:rsidR="00012172" w:rsidRDefault="00012172">
            <w:pPr>
              <w:jc w:val="center"/>
              <w:rPr>
                <w:sz w:val="20"/>
                <w:szCs w:val="20"/>
              </w:rPr>
            </w:pPr>
            <w:r>
              <w:rPr>
                <w:sz w:val="20"/>
                <w:szCs w:val="20"/>
              </w:rPr>
              <w:t>2001./1991.</w:t>
            </w:r>
          </w:p>
          <w:p w:rsidR="00012172" w:rsidRDefault="00012172">
            <w:pPr>
              <w:jc w:val="center"/>
              <w:rPr>
                <w:sz w:val="20"/>
                <w:szCs w:val="20"/>
              </w:rPr>
            </w:pPr>
            <w:r>
              <w:rPr>
                <w:sz w:val="20"/>
                <w:szCs w:val="20"/>
              </w:rPr>
              <w:t>(%)</w:t>
            </w:r>
          </w:p>
        </w:tc>
        <w:tc>
          <w:tcPr>
            <w:tcW w:w="1080" w:type="dxa"/>
            <w:vMerge w:val="restart"/>
            <w:vAlign w:val="center"/>
          </w:tcPr>
          <w:p w:rsidR="00012172" w:rsidRDefault="00012172">
            <w:pPr>
              <w:jc w:val="center"/>
              <w:rPr>
                <w:sz w:val="20"/>
                <w:szCs w:val="20"/>
              </w:rPr>
            </w:pPr>
            <w:r>
              <w:rPr>
                <w:sz w:val="20"/>
                <w:szCs w:val="20"/>
              </w:rPr>
              <w:t>ha</w:t>
            </w:r>
          </w:p>
        </w:tc>
        <w:tc>
          <w:tcPr>
            <w:tcW w:w="1080" w:type="dxa"/>
            <w:vMerge w:val="restart"/>
            <w:vAlign w:val="center"/>
          </w:tcPr>
          <w:p w:rsidR="00012172" w:rsidRDefault="00012172">
            <w:pPr>
              <w:jc w:val="center"/>
              <w:rPr>
                <w:sz w:val="20"/>
                <w:szCs w:val="20"/>
              </w:rPr>
            </w:pPr>
            <w:r>
              <w:rPr>
                <w:sz w:val="20"/>
                <w:szCs w:val="20"/>
              </w:rPr>
              <w:t>%</w:t>
            </w:r>
          </w:p>
        </w:tc>
      </w:tr>
      <w:tr w:rsidR="00012172">
        <w:trPr>
          <w:cantSplit/>
          <w:trHeight w:val="165"/>
        </w:trPr>
        <w:tc>
          <w:tcPr>
            <w:tcW w:w="1368" w:type="dxa"/>
            <w:vMerge/>
          </w:tcPr>
          <w:p w:rsidR="00012172" w:rsidRDefault="00012172">
            <w:pPr>
              <w:rPr>
                <w:sz w:val="22"/>
                <w:szCs w:val="22"/>
              </w:rPr>
            </w:pPr>
          </w:p>
        </w:tc>
        <w:tc>
          <w:tcPr>
            <w:tcW w:w="1066" w:type="dxa"/>
            <w:vMerge/>
          </w:tcPr>
          <w:p w:rsidR="00012172" w:rsidRDefault="00012172">
            <w:pPr>
              <w:rPr>
                <w:sz w:val="22"/>
                <w:szCs w:val="22"/>
              </w:rPr>
            </w:pPr>
          </w:p>
        </w:tc>
        <w:tc>
          <w:tcPr>
            <w:tcW w:w="1066" w:type="dxa"/>
            <w:vMerge/>
          </w:tcPr>
          <w:p w:rsidR="00012172" w:rsidRDefault="00012172">
            <w:pPr>
              <w:rPr>
                <w:sz w:val="22"/>
                <w:szCs w:val="22"/>
              </w:rPr>
            </w:pPr>
          </w:p>
        </w:tc>
        <w:tc>
          <w:tcPr>
            <w:tcW w:w="866" w:type="dxa"/>
            <w:vAlign w:val="center"/>
          </w:tcPr>
          <w:p w:rsidR="00012172" w:rsidRDefault="00012172">
            <w:pPr>
              <w:jc w:val="center"/>
              <w:rPr>
                <w:sz w:val="20"/>
                <w:szCs w:val="22"/>
              </w:rPr>
            </w:pPr>
            <w:r>
              <w:rPr>
                <w:sz w:val="20"/>
                <w:szCs w:val="22"/>
              </w:rPr>
              <w:t>ha</w:t>
            </w:r>
          </w:p>
        </w:tc>
        <w:tc>
          <w:tcPr>
            <w:tcW w:w="902" w:type="dxa"/>
          </w:tcPr>
          <w:p w:rsidR="00012172" w:rsidRDefault="00012172">
            <w:pPr>
              <w:jc w:val="center"/>
              <w:rPr>
                <w:sz w:val="20"/>
                <w:szCs w:val="22"/>
              </w:rPr>
            </w:pPr>
            <w:r>
              <w:rPr>
                <w:sz w:val="20"/>
                <w:szCs w:val="22"/>
              </w:rPr>
              <w:t>%</w:t>
            </w:r>
          </w:p>
        </w:tc>
        <w:tc>
          <w:tcPr>
            <w:tcW w:w="1440" w:type="dxa"/>
            <w:vMerge/>
          </w:tcPr>
          <w:p w:rsidR="00012172" w:rsidRDefault="00012172">
            <w:pPr>
              <w:rPr>
                <w:sz w:val="22"/>
                <w:szCs w:val="22"/>
              </w:rPr>
            </w:pPr>
          </w:p>
        </w:tc>
        <w:tc>
          <w:tcPr>
            <w:tcW w:w="1080" w:type="dxa"/>
            <w:vMerge/>
          </w:tcPr>
          <w:p w:rsidR="00012172" w:rsidRDefault="00012172">
            <w:pPr>
              <w:rPr>
                <w:sz w:val="22"/>
                <w:szCs w:val="22"/>
              </w:rPr>
            </w:pPr>
          </w:p>
        </w:tc>
        <w:tc>
          <w:tcPr>
            <w:tcW w:w="1080" w:type="dxa"/>
            <w:vMerge/>
          </w:tcPr>
          <w:p w:rsidR="00012172" w:rsidRDefault="00012172">
            <w:pPr>
              <w:rPr>
                <w:sz w:val="22"/>
                <w:szCs w:val="22"/>
              </w:rPr>
            </w:pPr>
          </w:p>
        </w:tc>
      </w:tr>
      <w:tr w:rsidR="00365E4A">
        <w:tc>
          <w:tcPr>
            <w:tcW w:w="1368" w:type="dxa"/>
            <w:vAlign w:val="bottom"/>
          </w:tcPr>
          <w:p w:rsidR="00365E4A" w:rsidRPr="00365E4A" w:rsidRDefault="00365E4A">
            <w:pPr>
              <w:rPr>
                <w:rFonts w:ascii="Arial" w:hAnsi="Arial" w:cs="Arial"/>
                <w:sz w:val="20"/>
                <w:szCs w:val="20"/>
              </w:rPr>
            </w:pPr>
            <w:r w:rsidRPr="00365E4A">
              <w:rPr>
                <w:sz w:val="20"/>
              </w:rPr>
              <w:t>Barlabaševec</w:t>
            </w:r>
          </w:p>
        </w:tc>
        <w:tc>
          <w:tcPr>
            <w:tcW w:w="1066" w:type="dxa"/>
            <w:vAlign w:val="center"/>
          </w:tcPr>
          <w:p w:rsidR="00365E4A" w:rsidRDefault="00365E4A">
            <w:pPr>
              <w:jc w:val="center"/>
              <w:rPr>
                <w:sz w:val="20"/>
                <w:szCs w:val="20"/>
              </w:rPr>
            </w:pPr>
            <w:r>
              <w:rPr>
                <w:sz w:val="20"/>
                <w:szCs w:val="20"/>
              </w:rPr>
              <w:t>2,4916</w:t>
            </w:r>
          </w:p>
        </w:tc>
        <w:tc>
          <w:tcPr>
            <w:tcW w:w="1066" w:type="dxa"/>
            <w:vAlign w:val="center"/>
          </w:tcPr>
          <w:p w:rsidR="00365E4A" w:rsidRDefault="00365E4A" w:rsidP="00052FA2">
            <w:pPr>
              <w:jc w:val="center"/>
              <w:rPr>
                <w:sz w:val="20"/>
                <w:szCs w:val="20"/>
              </w:rPr>
            </w:pPr>
            <w:r>
              <w:rPr>
                <w:sz w:val="20"/>
                <w:szCs w:val="20"/>
              </w:rPr>
              <w:t>2,4916</w:t>
            </w:r>
          </w:p>
        </w:tc>
        <w:tc>
          <w:tcPr>
            <w:tcW w:w="866" w:type="dxa"/>
            <w:vAlign w:val="center"/>
          </w:tcPr>
          <w:p w:rsidR="00365E4A" w:rsidRDefault="00365E4A">
            <w:pPr>
              <w:jc w:val="center"/>
              <w:rPr>
                <w:sz w:val="20"/>
                <w:szCs w:val="20"/>
              </w:rPr>
            </w:pPr>
            <w:r>
              <w:rPr>
                <w:sz w:val="20"/>
                <w:szCs w:val="20"/>
              </w:rPr>
              <w:t>0</w:t>
            </w:r>
          </w:p>
        </w:tc>
        <w:tc>
          <w:tcPr>
            <w:tcW w:w="902" w:type="dxa"/>
            <w:vAlign w:val="center"/>
          </w:tcPr>
          <w:p w:rsidR="00365E4A" w:rsidRDefault="00365E4A">
            <w:pPr>
              <w:jc w:val="center"/>
              <w:rPr>
                <w:sz w:val="20"/>
                <w:szCs w:val="20"/>
              </w:rPr>
            </w:pPr>
            <w:r>
              <w:rPr>
                <w:sz w:val="20"/>
                <w:szCs w:val="20"/>
              </w:rPr>
              <w:t>0</w:t>
            </w:r>
          </w:p>
        </w:tc>
        <w:tc>
          <w:tcPr>
            <w:tcW w:w="1440" w:type="dxa"/>
            <w:vAlign w:val="center"/>
          </w:tcPr>
          <w:p w:rsidR="00365E4A" w:rsidRDefault="00365E4A">
            <w:pPr>
              <w:rPr>
                <w:sz w:val="20"/>
                <w:szCs w:val="20"/>
              </w:rPr>
            </w:pPr>
            <w:r>
              <w:rPr>
                <w:sz w:val="20"/>
                <w:szCs w:val="20"/>
              </w:rPr>
              <w:t xml:space="preserve">         -24,1                                                                                </w:t>
            </w:r>
          </w:p>
        </w:tc>
        <w:tc>
          <w:tcPr>
            <w:tcW w:w="1080" w:type="dxa"/>
            <w:vAlign w:val="center"/>
          </w:tcPr>
          <w:p w:rsidR="00365E4A" w:rsidRDefault="00365E4A">
            <w:pPr>
              <w:jc w:val="center"/>
              <w:rPr>
                <w:sz w:val="20"/>
                <w:szCs w:val="20"/>
              </w:rPr>
            </w:pPr>
            <w:r>
              <w:rPr>
                <w:sz w:val="20"/>
                <w:szCs w:val="20"/>
              </w:rPr>
              <w:t>0</w:t>
            </w:r>
          </w:p>
        </w:tc>
        <w:tc>
          <w:tcPr>
            <w:tcW w:w="1080" w:type="dxa"/>
            <w:vAlign w:val="center"/>
          </w:tcPr>
          <w:p w:rsidR="00365E4A" w:rsidRDefault="00365E4A">
            <w:pPr>
              <w:jc w:val="center"/>
              <w:rPr>
                <w:sz w:val="20"/>
                <w:szCs w:val="20"/>
              </w:rPr>
            </w:pPr>
            <w:r>
              <w:rPr>
                <w:sz w:val="20"/>
                <w:szCs w:val="20"/>
              </w:rPr>
              <w:t>0</w:t>
            </w:r>
          </w:p>
        </w:tc>
      </w:tr>
      <w:tr w:rsidR="00012172">
        <w:tc>
          <w:tcPr>
            <w:tcW w:w="1368" w:type="dxa"/>
            <w:vAlign w:val="bottom"/>
          </w:tcPr>
          <w:p w:rsidR="00012172" w:rsidRPr="00365E4A" w:rsidRDefault="00012172">
            <w:pPr>
              <w:rPr>
                <w:rFonts w:ascii="Arial" w:hAnsi="Arial" w:cs="Arial"/>
                <w:sz w:val="20"/>
                <w:szCs w:val="20"/>
              </w:rPr>
            </w:pPr>
            <w:r w:rsidRPr="00365E4A">
              <w:rPr>
                <w:sz w:val="20"/>
              </w:rPr>
              <w:t>Deklešanec</w:t>
            </w:r>
          </w:p>
        </w:tc>
        <w:tc>
          <w:tcPr>
            <w:tcW w:w="1066" w:type="dxa"/>
            <w:vAlign w:val="center"/>
          </w:tcPr>
          <w:p w:rsidR="00012172" w:rsidRDefault="00204469">
            <w:pPr>
              <w:jc w:val="center"/>
              <w:rPr>
                <w:sz w:val="20"/>
                <w:szCs w:val="20"/>
              </w:rPr>
            </w:pPr>
            <w:r>
              <w:rPr>
                <w:sz w:val="20"/>
                <w:szCs w:val="20"/>
              </w:rPr>
              <w:t>16,9063</w:t>
            </w:r>
          </w:p>
        </w:tc>
        <w:tc>
          <w:tcPr>
            <w:tcW w:w="1066" w:type="dxa"/>
          </w:tcPr>
          <w:p w:rsidR="00012172" w:rsidRDefault="00204469">
            <w:pPr>
              <w:jc w:val="center"/>
              <w:rPr>
                <w:sz w:val="20"/>
                <w:szCs w:val="20"/>
              </w:rPr>
            </w:pPr>
            <w:r>
              <w:rPr>
                <w:sz w:val="20"/>
                <w:szCs w:val="20"/>
              </w:rPr>
              <w:t>11,7051</w:t>
            </w:r>
          </w:p>
        </w:tc>
        <w:tc>
          <w:tcPr>
            <w:tcW w:w="866" w:type="dxa"/>
            <w:vAlign w:val="center"/>
          </w:tcPr>
          <w:p w:rsidR="00012172" w:rsidRDefault="00760B01">
            <w:pPr>
              <w:jc w:val="center"/>
              <w:rPr>
                <w:sz w:val="20"/>
                <w:szCs w:val="20"/>
              </w:rPr>
            </w:pPr>
            <w:r>
              <w:rPr>
                <w:sz w:val="20"/>
                <w:szCs w:val="20"/>
              </w:rPr>
              <w:t>0</w:t>
            </w:r>
          </w:p>
        </w:tc>
        <w:tc>
          <w:tcPr>
            <w:tcW w:w="902" w:type="dxa"/>
            <w:vAlign w:val="center"/>
          </w:tcPr>
          <w:p w:rsidR="00012172" w:rsidRDefault="00760B01">
            <w:pPr>
              <w:jc w:val="center"/>
              <w:rPr>
                <w:sz w:val="20"/>
                <w:szCs w:val="20"/>
              </w:rPr>
            </w:pPr>
            <w:r>
              <w:rPr>
                <w:sz w:val="20"/>
                <w:szCs w:val="20"/>
              </w:rPr>
              <w:t>0</w:t>
            </w:r>
          </w:p>
        </w:tc>
        <w:tc>
          <w:tcPr>
            <w:tcW w:w="1440" w:type="dxa"/>
            <w:vAlign w:val="center"/>
          </w:tcPr>
          <w:p w:rsidR="00012172" w:rsidRDefault="00012172">
            <w:pPr>
              <w:jc w:val="center"/>
              <w:rPr>
                <w:sz w:val="20"/>
                <w:szCs w:val="20"/>
              </w:rPr>
            </w:pPr>
            <w:r>
              <w:rPr>
                <w:sz w:val="20"/>
                <w:szCs w:val="20"/>
              </w:rPr>
              <w:t>-6,6</w:t>
            </w:r>
          </w:p>
        </w:tc>
        <w:tc>
          <w:tcPr>
            <w:tcW w:w="1080" w:type="dxa"/>
            <w:vAlign w:val="center"/>
          </w:tcPr>
          <w:p w:rsidR="00012172" w:rsidRDefault="00204469">
            <w:pPr>
              <w:jc w:val="center"/>
              <w:rPr>
                <w:sz w:val="20"/>
                <w:szCs w:val="20"/>
              </w:rPr>
            </w:pPr>
            <w:r>
              <w:rPr>
                <w:sz w:val="20"/>
                <w:szCs w:val="20"/>
              </w:rPr>
              <w:t>-5,2012</w:t>
            </w:r>
          </w:p>
        </w:tc>
        <w:tc>
          <w:tcPr>
            <w:tcW w:w="1080" w:type="dxa"/>
            <w:vAlign w:val="center"/>
          </w:tcPr>
          <w:p w:rsidR="00012172" w:rsidRDefault="00204469">
            <w:pPr>
              <w:jc w:val="center"/>
              <w:rPr>
                <w:sz w:val="20"/>
                <w:szCs w:val="20"/>
              </w:rPr>
            </w:pPr>
            <w:r>
              <w:rPr>
                <w:sz w:val="20"/>
                <w:szCs w:val="20"/>
              </w:rPr>
              <w:t>- 30,7</w:t>
            </w:r>
          </w:p>
        </w:tc>
      </w:tr>
      <w:tr w:rsidR="00012172">
        <w:tc>
          <w:tcPr>
            <w:tcW w:w="1368" w:type="dxa"/>
            <w:vAlign w:val="bottom"/>
          </w:tcPr>
          <w:p w:rsidR="00012172" w:rsidRPr="00365E4A" w:rsidRDefault="00012172">
            <w:pPr>
              <w:rPr>
                <w:rFonts w:ascii="Arial" w:hAnsi="Arial" w:cs="Arial"/>
                <w:sz w:val="20"/>
                <w:szCs w:val="20"/>
              </w:rPr>
            </w:pPr>
            <w:r w:rsidRPr="00365E4A">
              <w:rPr>
                <w:sz w:val="20"/>
              </w:rPr>
              <w:t>Donja Rijeka</w:t>
            </w:r>
          </w:p>
        </w:tc>
        <w:tc>
          <w:tcPr>
            <w:tcW w:w="1066" w:type="dxa"/>
            <w:vAlign w:val="center"/>
          </w:tcPr>
          <w:p w:rsidR="00012172" w:rsidRDefault="000767C0">
            <w:pPr>
              <w:jc w:val="center"/>
              <w:rPr>
                <w:sz w:val="20"/>
                <w:szCs w:val="20"/>
              </w:rPr>
            </w:pPr>
            <w:r>
              <w:rPr>
                <w:sz w:val="20"/>
                <w:szCs w:val="20"/>
              </w:rPr>
              <w:t>46,6439</w:t>
            </w:r>
          </w:p>
        </w:tc>
        <w:tc>
          <w:tcPr>
            <w:tcW w:w="1066" w:type="dxa"/>
          </w:tcPr>
          <w:p w:rsidR="00012172" w:rsidRDefault="000767C0">
            <w:pPr>
              <w:jc w:val="center"/>
              <w:rPr>
                <w:sz w:val="20"/>
                <w:szCs w:val="20"/>
              </w:rPr>
            </w:pPr>
            <w:r>
              <w:rPr>
                <w:sz w:val="20"/>
                <w:szCs w:val="20"/>
              </w:rPr>
              <w:t>41,9131</w:t>
            </w:r>
          </w:p>
        </w:tc>
        <w:tc>
          <w:tcPr>
            <w:tcW w:w="866" w:type="dxa"/>
            <w:vAlign w:val="center"/>
          </w:tcPr>
          <w:p w:rsidR="00012172" w:rsidRDefault="000767C0">
            <w:pPr>
              <w:jc w:val="center"/>
              <w:rPr>
                <w:sz w:val="20"/>
                <w:szCs w:val="20"/>
              </w:rPr>
            </w:pPr>
            <w:r>
              <w:rPr>
                <w:sz w:val="20"/>
                <w:szCs w:val="20"/>
              </w:rPr>
              <w:t>2,9703</w:t>
            </w:r>
          </w:p>
        </w:tc>
        <w:tc>
          <w:tcPr>
            <w:tcW w:w="902" w:type="dxa"/>
            <w:vAlign w:val="center"/>
          </w:tcPr>
          <w:p w:rsidR="00012172" w:rsidRDefault="00C15CFE">
            <w:pPr>
              <w:jc w:val="center"/>
              <w:rPr>
                <w:sz w:val="20"/>
                <w:szCs w:val="20"/>
              </w:rPr>
            </w:pPr>
            <w:r>
              <w:rPr>
                <w:sz w:val="20"/>
                <w:szCs w:val="20"/>
              </w:rPr>
              <w:t>7,0</w:t>
            </w:r>
          </w:p>
        </w:tc>
        <w:tc>
          <w:tcPr>
            <w:tcW w:w="1440" w:type="dxa"/>
            <w:vAlign w:val="center"/>
          </w:tcPr>
          <w:p w:rsidR="00012172" w:rsidRDefault="00012172">
            <w:pPr>
              <w:jc w:val="center"/>
              <w:rPr>
                <w:sz w:val="20"/>
                <w:szCs w:val="20"/>
              </w:rPr>
            </w:pPr>
            <w:r>
              <w:rPr>
                <w:sz w:val="20"/>
                <w:szCs w:val="20"/>
              </w:rPr>
              <w:t>-14,2</w:t>
            </w:r>
          </w:p>
        </w:tc>
        <w:tc>
          <w:tcPr>
            <w:tcW w:w="1080" w:type="dxa"/>
            <w:vAlign w:val="center"/>
          </w:tcPr>
          <w:p w:rsidR="00012172" w:rsidRDefault="00C15CFE">
            <w:pPr>
              <w:jc w:val="center"/>
              <w:rPr>
                <w:sz w:val="20"/>
                <w:szCs w:val="20"/>
              </w:rPr>
            </w:pPr>
            <w:r>
              <w:rPr>
                <w:sz w:val="20"/>
                <w:szCs w:val="20"/>
              </w:rPr>
              <w:t>-4,7308</w:t>
            </w:r>
          </w:p>
        </w:tc>
        <w:tc>
          <w:tcPr>
            <w:tcW w:w="1080" w:type="dxa"/>
            <w:vAlign w:val="center"/>
          </w:tcPr>
          <w:p w:rsidR="00012172" w:rsidRDefault="00C15CFE">
            <w:pPr>
              <w:jc w:val="center"/>
              <w:rPr>
                <w:sz w:val="20"/>
                <w:szCs w:val="20"/>
              </w:rPr>
            </w:pPr>
            <w:r>
              <w:rPr>
                <w:sz w:val="20"/>
                <w:szCs w:val="20"/>
              </w:rPr>
              <w:t>-10,1</w:t>
            </w:r>
          </w:p>
        </w:tc>
      </w:tr>
      <w:tr w:rsidR="00046FDC">
        <w:tc>
          <w:tcPr>
            <w:tcW w:w="1368" w:type="dxa"/>
            <w:vAlign w:val="bottom"/>
          </w:tcPr>
          <w:p w:rsidR="00046FDC" w:rsidRPr="00365E4A" w:rsidRDefault="00046FDC">
            <w:pPr>
              <w:rPr>
                <w:rFonts w:ascii="Arial" w:hAnsi="Arial" w:cs="Arial"/>
                <w:sz w:val="20"/>
                <w:szCs w:val="20"/>
              </w:rPr>
            </w:pPr>
            <w:r w:rsidRPr="00365E4A">
              <w:rPr>
                <w:sz w:val="20"/>
              </w:rPr>
              <w:t>Dropkovec</w:t>
            </w:r>
          </w:p>
        </w:tc>
        <w:tc>
          <w:tcPr>
            <w:tcW w:w="1066" w:type="dxa"/>
            <w:vAlign w:val="center"/>
          </w:tcPr>
          <w:p w:rsidR="00046FDC" w:rsidRDefault="00046FDC">
            <w:pPr>
              <w:jc w:val="center"/>
              <w:rPr>
                <w:sz w:val="20"/>
                <w:szCs w:val="20"/>
              </w:rPr>
            </w:pPr>
            <w:r>
              <w:rPr>
                <w:sz w:val="20"/>
                <w:szCs w:val="20"/>
              </w:rPr>
              <w:t>20,5588</w:t>
            </w:r>
          </w:p>
        </w:tc>
        <w:tc>
          <w:tcPr>
            <w:tcW w:w="1066" w:type="dxa"/>
          </w:tcPr>
          <w:p w:rsidR="00046FDC" w:rsidRDefault="00046FDC">
            <w:pPr>
              <w:jc w:val="center"/>
              <w:rPr>
                <w:sz w:val="20"/>
                <w:szCs w:val="20"/>
              </w:rPr>
            </w:pPr>
            <w:r>
              <w:rPr>
                <w:sz w:val="20"/>
                <w:szCs w:val="20"/>
              </w:rPr>
              <w:t>19,1877</w:t>
            </w:r>
          </w:p>
        </w:tc>
        <w:tc>
          <w:tcPr>
            <w:tcW w:w="866" w:type="dxa"/>
            <w:vAlign w:val="center"/>
          </w:tcPr>
          <w:p w:rsidR="00046FDC" w:rsidRDefault="00FF2DB1" w:rsidP="00A011C6">
            <w:pPr>
              <w:jc w:val="center"/>
              <w:rPr>
                <w:sz w:val="20"/>
                <w:szCs w:val="20"/>
              </w:rPr>
            </w:pPr>
            <w:r>
              <w:rPr>
                <w:sz w:val="20"/>
                <w:szCs w:val="20"/>
              </w:rPr>
              <w:t>2,1606</w:t>
            </w:r>
          </w:p>
        </w:tc>
        <w:tc>
          <w:tcPr>
            <w:tcW w:w="902" w:type="dxa"/>
            <w:vAlign w:val="center"/>
          </w:tcPr>
          <w:p w:rsidR="00046FDC" w:rsidRDefault="000767C0" w:rsidP="00A011C6">
            <w:pPr>
              <w:jc w:val="center"/>
              <w:rPr>
                <w:sz w:val="20"/>
                <w:szCs w:val="20"/>
              </w:rPr>
            </w:pPr>
            <w:r>
              <w:rPr>
                <w:sz w:val="20"/>
                <w:szCs w:val="20"/>
              </w:rPr>
              <w:t>11</w:t>
            </w:r>
            <w:r w:rsidR="00FF2DB1">
              <w:rPr>
                <w:sz w:val="20"/>
                <w:szCs w:val="20"/>
              </w:rPr>
              <w:t>,</w:t>
            </w:r>
            <w:r>
              <w:rPr>
                <w:sz w:val="20"/>
                <w:szCs w:val="20"/>
              </w:rPr>
              <w:t>2</w:t>
            </w:r>
          </w:p>
        </w:tc>
        <w:tc>
          <w:tcPr>
            <w:tcW w:w="1440" w:type="dxa"/>
            <w:vAlign w:val="center"/>
          </w:tcPr>
          <w:p w:rsidR="00046FDC" w:rsidRDefault="00046FDC">
            <w:pPr>
              <w:jc w:val="center"/>
              <w:rPr>
                <w:sz w:val="20"/>
                <w:szCs w:val="20"/>
              </w:rPr>
            </w:pPr>
            <w:r>
              <w:rPr>
                <w:sz w:val="20"/>
                <w:szCs w:val="20"/>
              </w:rPr>
              <w:t>-13,0</w:t>
            </w:r>
          </w:p>
        </w:tc>
        <w:tc>
          <w:tcPr>
            <w:tcW w:w="1080" w:type="dxa"/>
            <w:vAlign w:val="center"/>
          </w:tcPr>
          <w:p w:rsidR="00046FDC" w:rsidRDefault="00046FDC" w:rsidP="00741008">
            <w:pPr>
              <w:jc w:val="center"/>
              <w:rPr>
                <w:sz w:val="20"/>
                <w:szCs w:val="20"/>
              </w:rPr>
            </w:pPr>
            <w:r>
              <w:rPr>
                <w:sz w:val="20"/>
                <w:szCs w:val="20"/>
              </w:rPr>
              <w:t>- 1,3711</w:t>
            </w:r>
          </w:p>
        </w:tc>
        <w:tc>
          <w:tcPr>
            <w:tcW w:w="1080" w:type="dxa"/>
            <w:vAlign w:val="center"/>
          </w:tcPr>
          <w:p w:rsidR="00046FDC" w:rsidRDefault="00046FDC">
            <w:pPr>
              <w:jc w:val="center"/>
              <w:rPr>
                <w:sz w:val="20"/>
                <w:szCs w:val="20"/>
              </w:rPr>
            </w:pPr>
            <w:r>
              <w:rPr>
                <w:sz w:val="20"/>
                <w:szCs w:val="20"/>
              </w:rPr>
              <w:t>-6,6</w:t>
            </w:r>
          </w:p>
        </w:tc>
      </w:tr>
      <w:tr w:rsidR="00046FDC">
        <w:tc>
          <w:tcPr>
            <w:tcW w:w="1368" w:type="dxa"/>
            <w:vAlign w:val="bottom"/>
          </w:tcPr>
          <w:p w:rsidR="00046FDC" w:rsidRPr="00365E4A" w:rsidRDefault="00046FDC">
            <w:pPr>
              <w:rPr>
                <w:rFonts w:ascii="Arial" w:hAnsi="Arial" w:cs="Arial"/>
                <w:sz w:val="20"/>
                <w:szCs w:val="20"/>
              </w:rPr>
            </w:pPr>
            <w:r w:rsidRPr="00365E4A">
              <w:rPr>
                <w:sz w:val="20"/>
              </w:rPr>
              <w:t>Fajerovec</w:t>
            </w:r>
          </w:p>
        </w:tc>
        <w:tc>
          <w:tcPr>
            <w:tcW w:w="1066" w:type="dxa"/>
            <w:vAlign w:val="center"/>
          </w:tcPr>
          <w:p w:rsidR="00046FDC" w:rsidRDefault="00365E4A">
            <w:pPr>
              <w:jc w:val="center"/>
              <w:rPr>
                <w:sz w:val="20"/>
                <w:szCs w:val="20"/>
              </w:rPr>
            </w:pPr>
            <w:r>
              <w:rPr>
                <w:sz w:val="20"/>
                <w:szCs w:val="20"/>
              </w:rPr>
              <w:t>5,7381</w:t>
            </w:r>
          </w:p>
        </w:tc>
        <w:tc>
          <w:tcPr>
            <w:tcW w:w="1066" w:type="dxa"/>
          </w:tcPr>
          <w:p w:rsidR="00046FDC" w:rsidRDefault="00365E4A">
            <w:pPr>
              <w:jc w:val="center"/>
              <w:rPr>
                <w:sz w:val="20"/>
                <w:szCs w:val="20"/>
              </w:rPr>
            </w:pPr>
            <w:r>
              <w:rPr>
                <w:sz w:val="20"/>
                <w:szCs w:val="20"/>
              </w:rPr>
              <w:t>4,8796</w:t>
            </w:r>
          </w:p>
        </w:tc>
        <w:tc>
          <w:tcPr>
            <w:tcW w:w="866" w:type="dxa"/>
            <w:vAlign w:val="center"/>
          </w:tcPr>
          <w:p w:rsidR="00046FDC" w:rsidRDefault="00046FDC" w:rsidP="00A011C6">
            <w:pPr>
              <w:jc w:val="center"/>
              <w:rPr>
                <w:sz w:val="20"/>
                <w:szCs w:val="20"/>
              </w:rPr>
            </w:pPr>
            <w:r>
              <w:rPr>
                <w:sz w:val="20"/>
                <w:szCs w:val="20"/>
              </w:rPr>
              <w:t>0</w:t>
            </w:r>
          </w:p>
        </w:tc>
        <w:tc>
          <w:tcPr>
            <w:tcW w:w="902" w:type="dxa"/>
            <w:vAlign w:val="center"/>
          </w:tcPr>
          <w:p w:rsidR="00046FDC" w:rsidRDefault="00046FDC" w:rsidP="00A011C6">
            <w:pPr>
              <w:jc w:val="center"/>
              <w:rPr>
                <w:sz w:val="20"/>
                <w:szCs w:val="20"/>
              </w:rPr>
            </w:pPr>
            <w:r>
              <w:rPr>
                <w:sz w:val="20"/>
                <w:szCs w:val="20"/>
              </w:rPr>
              <w:t>0</w:t>
            </w:r>
          </w:p>
        </w:tc>
        <w:tc>
          <w:tcPr>
            <w:tcW w:w="1440" w:type="dxa"/>
            <w:vAlign w:val="center"/>
          </w:tcPr>
          <w:p w:rsidR="00046FDC" w:rsidRDefault="00046FDC">
            <w:pPr>
              <w:jc w:val="center"/>
              <w:rPr>
                <w:sz w:val="20"/>
                <w:szCs w:val="20"/>
              </w:rPr>
            </w:pPr>
            <w:r>
              <w:rPr>
                <w:sz w:val="20"/>
                <w:szCs w:val="20"/>
              </w:rPr>
              <w:t>-10,7</w:t>
            </w:r>
          </w:p>
        </w:tc>
        <w:tc>
          <w:tcPr>
            <w:tcW w:w="1080" w:type="dxa"/>
            <w:vAlign w:val="center"/>
          </w:tcPr>
          <w:p w:rsidR="00046FDC" w:rsidRDefault="00365E4A">
            <w:pPr>
              <w:jc w:val="center"/>
              <w:rPr>
                <w:sz w:val="20"/>
                <w:szCs w:val="20"/>
              </w:rPr>
            </w:pPr>
            <w:r>
              <w:rPr>
                <w:sz w:val="20"/>
                <w:szCs w:val="20"/>
              </w:rPr>
              <w:t>-0,8585</w:t>
            </w:r>
          </w:p>
        </w:tc>
        <w:tc>
          <w:tcPr>
            <w:tcW w:w="1080" w:type="dxa"/>
            <w:vAlign w:val="center"/>
          </w:tcPr>
          <w:p w:rsidR="00046FDC" w:rsidRDefault="00911679">
            <w:pPr>
              <w:jc w:val="center"/>
              <w:rPr>
                <w:sz w:val="20"/>
                <w:szCs w:val="20"/>
              </w:rPr>
            </w:pPr>
            <w:r>
              <w:rPr>
                <w:sz w:val="20"/>
                <w:szCs w:val="20"/>
              </w:rPr>
              <w:t>-</w:t>
            </w:r>
            <w:r w:rsidR="00365E4A">
              <w:rPr>
                <w:sz w:val="20"/>
                <w:szCs w:val="20"/>
              </w:rPr>
              <w:t>17,5</w:t>
            </w:r>
          </w:p>
        </w:tc>
      </w:tr>
      <w:tr w:rsidR="00046FDC">
        <w:tc>
          <w:tcPr>
            <w:tcW w:w="1368" w:type="dxa"/>
            <w:vAlign w:val="bottom"/>
          </w:tcPr>
          <w:p w:rsidR="00046FDC" w:rsidRPr="00365E4A" w:rsidRDefault="00046FDC">
            <w:pPr>
              <w:rPr>
                <w:rFonts w:ascii="Arial" w:hAnsi="Arial" w:cs="Arial"/>
                <w:sz w:val="20"/>
                <w:szCs w:val="20"/>
              </w:rPr>
            </w:pPr>
            <w:r w:rsidRPr="00365E4A">
              <w:rPr>
                <w:sz w:val="20"/>
              </w:rPr>
              <w:t>Fodrovec Riječki</w:t>
            </w:r>
          </w:p>
        </w:tc>
        <w:tc>
          <w:tcPr>
            <w:tcW w:w="1066" w:type="dxa"/>
            <w:vAlign w:val="center"/>
          </w:tcPr>
          <w:p w:rsidR="00046FDC" w:rsidRDefault="00046FDC">
            <w:pPr>
              <w:jc w:val="center"/>
              <w:rPr>
                <w:sz w:val="20"/>
                <w:szCs w:val="20"/>
              </w:rPr>
            </w:pPr>
            <w:r>
              <w:rPr>
                <w:sz w:val="20"/>
                <w:szCs w:val="20"/>
              </w:rPr>
              <w:t>4,7979</w:t>
            </w:r>
          </w:p>
        </w:tc>
        <w:tc>
          <w:tcPr>
            <w:tcW w:w="1066" w:type="dxa"/>
            <w:vAlign w:val="center"/>
          </w:tcPr>
          <w:p w:rsidR="00046FDC" w:rsidRDefault="00046FDC" w:rsidP="00213657">
            <w:pPr>
              <w:jc w:val="center"/>
              <w:rPr>
                <w:sz w:val="20"/>
                <w:szCs w:val="20"/>
              </w:rPr>
            </w:pPr>
            <w:r>
              <w:rPr>
                <w:sz w:val="20"/>
                <w:szCs w:val="20"/>
              </w:rPr>
              <w:t>4,7979</w:t>
            </w:r>
          </w:p>
        </w:tc>
        <w:tc>
          <w:tcPr>
            <w:tcW w:w="866" w:type="dxa"/>
            <w:vAlign w:val="center"/>
          </w:tcPr>
          <w:p w:rsidR="00046FDC" w:rsidRDefault="00046FDC" w:rsidP="00A011C6">
            <w:pPr>
              <w:jc w:val="center"/>
              <w:rPr>
                <w:sz w:val="20"/>
                <w:szCs w:val="20"/>
              </w:rPr>
            </w:pPr>
            <w:r>
              <w:rPr>
                <w:sz w:val="20"/>
                <w:szCs w:val="20"/>
              </w:rPr>
              <w:t>0</w:t>
            </w:r>
          </w:p>
        </w:tc>
        <w:tc>
          <w:tcPr>
            <w:tcW w:w="902" w:type="dxa"/>
            <w:vAlign w:val="center"/>
          </w:tcPr>
          <w:p w:rsidR="00046FDC" w:rsidRDefault="00046FDC" w:rsidP="00A011C6">
            <w:pPr>
              <w:jc w:val="center"/>
              <w:rPr>
                <w:sz w:val="20"/>
                <w:szCs w:val="20"/>
              </w:rPr>
            </w:pPr>
            <w:r>
              <w:rPr>
                <w:sz w:val="20"/>
                <w:szCs w:val="20"/>
              </w:rPr>
              <w:t>0</w:t>
            </w:r>
          </w:p>
        </w:tc>
        <w:tc>
          <w:tcPr>
            <w:tcW w:w="1440" w:type="dxa"/>
            <w:vAlign w:val="center"/>
          </w:tcPr>
          <w:p w:rsidR="00046FDC" w:rsidRDefault="00046FDC">
            <w:pPr>
              <w:jc w:val="center"/>
              <w:rPr>
                <w:sz w:val="20"/>
                <w:szCs w:val="20"/>
              </w:rPr>
            </w:pPr>
            <w:r>
              <w:rPr>
                <w:sz w:val="20"/>
                <w:szCs w:val="20"/>
              </w:rPr>
              <w:t>-5,4</w:t>
            </w:r>
          </w:p>
        </w:tc>
        <w:tc>
          <w:tcPr>
            <w:tcW w:w="1080" w:type="dxa"/>
            <w:vAlign w:val="center"/>
          </w:tcPr>
          <w:p w:rsidR="00046FDC" w:rsidRDefault="00046FDC">
            <w:pPr>
              <w:jc w:val="center"/>
              <w:rPr>
                <w:sz w:val="20"/>
                <w:szCs w:val="20"/>
              </w:rPr>
            </w:pPr>
            <w:r>
              <w:rPr>
                <w:sz w:val="20"/>
                <w:szCs w:val="20"/>
              </w:rPr>
              <w:t>0</w:t>
            </w:r>
          </w:p>
        </w:tc>
        <w:tc>
          <w:tcPr>
            <w:tcW w:w="1080" w:type="dxa"/>
            <w:vAlign w:val="center"/>
          </w:tcPr>
          <w:p w:rsidR="00046FDC" w:rsidRDefault="00046FDC">
            <w:pPr>
              <w:jc w:val="center"/>
              <w:rPr>
                <w:sz w:val="20"/>
                <w:szCs w:val="20"/>
              </w:rPr>
            </w:pPr>
            <w:r>
              <w:rPr>
                <w:sz w:val="20"/>
                <w:szCs w:val="20"/>
              </w:rPr>
              <w:t>0</w:t>
            </w:r>
          </w:p>
        </w:tc>
      </w:tr>
      <w:tr w:rsidR="00046FDC">
        <w:tc>
          <w:tcPr>
            <w:tcW w:w="1368" w:type="dxa"/>
            <w:vAlign w:val="bottom"/>
          </w:tcPr>
          <w:p w:rsidR="00046FDC" w:rsidRPr="00365E4A" w:rsidRDefault="00046FDC">
            <w:pPr>
              <w:rPr>
                <w:rFonts w:ascii="Arial" w:hAnsi="Arial" w:cs="Arial"/>
                <w:sz w:val="20"/>
                <w:szCs w:val="20"/>
              </w:rPr>
            </w:pPr>
            <w:r w:rsidRPr="00365E4A">
              <w:rPr>
                <w:sz w:val="20"/>
                <w:lang w:val="de-DE"/>
              </w:rPr>
              <w:t>Gornja</w:t>
            </w:r>
            <w:r w:rsidRPr="00365E4A">
              <w:rPr>
                <w:sz w:val="20"/>
              </w:rPr>
              <w:t xml:space="preserve"> </w:t>
            </w:r>
            <w:r w:rsidRPr="00365E4A">
              <w:rPr>
                <w:sz w:val="20"/>
                <w:lang w:val="de-DE"/>
              </w:rPr>
              <w:t>Rijeka</w:t>
            </w:r>
          </w:p>
        </w:tc>
        <w:tc>
          <w:tcPr>
            <w:tcW w:w="1066" w:type="dxa"/>
            <w:vAlign w:val="center"/>
          </w:tcPr>
          <w:p w:rsidR="00046FDC" w:rsidRDefault="00046FDC">
            <w:pPr>
              <w:jc w:val="center"/>
              <w:rPr>
                <w:sz w:val="20"/>
                <w:szCs w:val="20"/>
              </w:rPr>
            </w:pPr>
            <w:r>
              <w:rPr>
                <w:sz w:val="20"/>
                <w:szCs w:val="20"/>
              </w:rPr>
              <w:t>83,1624</w:t>
            </w:r>
          </w:p>
        </w:tc>
        <w:tc>
          <w:tcPr>
            <w:tcW w:w="1066" w:type="dxa"/>
          </w:tcPr>
          <w:p w:rsidR="00046FDC" w:rsidRDefault="00046FDC">
            <w:pPr>
              <w:jc w:val="center"/>
              <w:rPr>
                <w:sz w:val="20"/>
                <w:szCs w:val="20"/>
              </w:rPr>
            </w:pPr>
            <w:r>
              <w:rPr>
                <w:sz w:val="20"/>
                <w:szCs w:val="20"/>
              </w:rPr>
              <w:t>54,4486</w:t>
            </w:r>
          </w:p>
        </w:tc>
        <w:tc>
          <w:tcPr>
            <w:tcW w:w="866" w:type="dxa"/>
            <w:vAlign w:val="center"/>
          </w:tcPr>
          <w:p w:rsidR="00046FDC" w:rsidRDefault="00046FDC" w:rsidP="00A011C6">
            <w:pPr>
              <w:jc w:val="center"/>
              <w:rPr>
                <w:sz w:val="20"/>
                <w:szCs w:val="20"/>
              </w:rPr>
            </w:pPr>
            <w:r>
              <w:rPr>
                <w:sz w:val="20"/>
                <w:szCs w:val="20"/>
              </w:rPr>
              <w:t>9,4941</w:t>
            </w:r>
          </w:p>
        </w:tc>
        <w:tc>
          <w:tcPr>
            <w:tcW w:w="902" w:type="dxa"/>
            <w:vAlign w:val="center"/>
          </w:tcPr>
          <w:p w:rsidR="00046FDC" w:rsidRDefault="00046FDC" w:rsidP="00A011C6">
            <w:pPr>
              <w:jc w:val="center"/>
              <w:rPr>
                <w:sz w:val="20"/>
                <w:szCs w:val="20"/>
              </w:rPr>
            </w:pPr>
            <w:r>
              <w:rPr>
                <w:sz w:val="20"/>
                <w:szCs w:val="20"/>
              </w:rPr>
              <w:t>17,4</w:t>
            </w:r>
          </w:p>
        </w:tc>
        <w:tc>
          <w:tcPr>
            <w:tcW w:w="1440" w:type="dxa"/>
            <w:vAlign w:val="center"/>
          </w:tcPr>
          <w:p w:rsidR="00046FDC" w:rsidRDefault="00046FDC">
            <w:pPr>
              <w:jc w:val="center"/>
              <w:rPr>
                <w:sz w:val="20"/>
                <w:szCs w:val="20"/>
              </w:rPr>
            </w:pPr>
            <w:r>
              <w:rPr>
                <w:sz w:val="20"/>
                <w:szCs w:val="20"/>
              </w:rPr>
              <w:t>-14,8</w:t>
            </w:r>
          </w:p>
        </w:tc>
        <w:tc>
          <w:tcPr>
            <w:tcW w:w="1080" w:type="dxa"/>
            <w:vAlign w:val="center"/>
          </w:tcPr>
          <w:p w:rsidR="00046FDC" w:rsidRDefault="00046FDC">
            <w:pPr>
              <w:jc w:val="center"/>
              <w:rPr>
                <w:sz w:val="20"/>
                <w:szCs w:val="20"/>
              </w:rPr>
            </w:pPr>
            <w:r>
              <w:rPr>
                <w:sz w:val="20"/>
                <w:szCs w:val="20"/>
              </w:rPr>
              <w:t>-27,9872</w:t>
            </w:r>
          </w:p>
        </w:tc>
        <w:tc>
          <w:tcPr>
            <w:tcW w:w="1080" w:type="dxa"/>
            <w:vAlign w:val="center"/>
          </w:tcPr>
          <w:p w:rsidR="00046FDC" w:rsidRDefault="00046FDC">
            <w:pPr>
              <w:jc w:val="center"/>
              <w:rPr>
                <w:sz w:val="20"/>
                <w:szCs w:val="20"/>
              </w:rPr>
            </w:pPr>
            <w:r>
              <w:rPr>
                <w:sz w:val="20"/>
                <w:szCs w:val="20"/>
              </w:rPr>
              <w:t>-33,6</w:t>
            </w:r>
          </w:p>
        </w:tc>
      </w:tr>
      <w:tr w:rsidR="00046FDC">
        <w:tc>
          <w:tcPr>
            <w:tcW w:w="1368" w:type="dxa"/>
            <w:vAlign w:val="bottom"/>
          </w:tcPr>
          <w:p w:rsidR="00046FDC" w:rsidRPr="00365E4A" w:rsidRDefault="00046FDC">
            <w:pPr>
              <w:rPr>
                <w:rFonts w:ascii="Arial" w:hAnsi="Arial" w:cs="Arial"/>
                <w:sz w:val="20"/>
                <w:szCs w:val="20"/>
              </w:rPr>
            </w:pPr>
            <w:r w:rsidRPr="00365E4A">
              <w:rPr>
                <w:sz w:val="20"/>
                <w:lang w:val="de-DE"/>
              </w:rPr>
              <w:t>Kolarec</w:t>
            </w:r>
          </w:p>
        </w:tc>
        <w:tc>
          <w:tcPr>
            <w:tcW w:w="1066" w:type="dxa"/>
            <w:vAlign w:val="center"/>
          </w:tcPr>
          <w:p w:rsidR="00046FDC" w:rsidRDefault="00046FDC">
            <w:pPr>
              <w:jc w:val="center"/>
              <w:rPr>
                <w:sz w:val="20"/>
                <w:szCs w:val="20"/>
              </w:rPr>
            </w:pPr>
            <w:r>
              <w:rPr>
                <w:sz w:val="20"/>
                <w:szCs w:val="20"/>
              </w:rPr>
              <w:t>37,3819</w:t>
            </w:r>
          </w:p>
        </w:tc>
        <w:tc>
          <w:tcPr>
            <w:tcW w:w="1066" w:type="dxa"/>
            <w:vAlign w:val="center"/>
          </w:tcPr>
          <w:p w:rsidR="00046FDC" w:rsidRDefault="00046FDC">
            <w:pPr>
              <w:jc w:val="center"/>
              <w:rPr>
                <w:sz w:val="20"/>
                <w:szCs w:val="20"/>
              </w:rPr>
            </w:pPr>
            <w:r>
              <w:rPr>
                <w:sz w:val="20"/>
                <w:szCs w:val="20"/>
              </w:rPr>
              <w:t>30,2446</w:t>
            </w:r>
          </w:p>
        </w:tc>
        <w:tc>
          <w:tcPr>
            <w:tcW w:w="866" w:type="dxa"/>
            <w:vAlign w:val="center"/>
          </w:tcPr>
          <w:p w:rsidR="00046FDC" w:rsidRDefault="00046FDC">
            <w:pPr>
              <w:jc w:val="center"/>
              <w:rPr>
                <w:sz w:val="20"/>
                <w:szCs w:val="20"/>
              </w:rPr>
            </w:pPr>
            <w:r>
              <w:rPr>
                <w:sz w:val="20"/>
                <w:szCs w:val="20"/>
              </w:rPr>
              <w:t>0</w:t>
            </w:r>
          </w:p>
        </w:tc>
        <w:tc>
          <w:tcPr>
            <w:tcW w:w="902" w:type="dxa"/>
            <w:vAlign w:val="center"/>
          </w:tcPr>
          <w:p w:rsidR="00046FDC" w:rsidRDefault="00046FDC">
            <w:pPr>
              <w:jc w:val="center"/>
              <w:rPr>
                <w:sz w:val="20"/>
                <w:szCs w:val="20"/>
              </w:rPr>
            </w:pPr>
            <w:r>
              <w:rPr>
                <w:sz w:val="20"/>
                <w:szCs w:val="20"/>
              </w:rPr>
              <w:t>0</w:t>
            </w:r>
          </w:p>
        </w:tc>
        <w:tc>
          <w:tcPr>
            <w:tcW w:w="1440" w:type="dxa"/>
            <w:vAlign w:val="center"/>
          </w:tcPr>
          <w:p w:rsidR="00046FDC" w:rsidRDefault="00046FDC">
            <w:pPr>
              <w:jc w:val="center"/>
              <w:rPr>
                <w:sz w:val="20"/>
                <w:szCs w:val="20"/>
              </w:rPr>
            </w:pPr>
            <w:r>
              <w:rPr>
                <w:sz w:val="20"/>
                <w:szCs w:val="20"/>
              </w:rPr>
              <w:t>-15,9</w:t>
            </w:r>
          </w:p>
        </w:tc>
        <w:tc>
          <w:tcPr>
            <w:tcW w:w="1080" w:type="dxa"/>
            <w:vAlign w:val="center"/>
          </w:tcPr>
          <w:p w:rsidR="00046FDC" w:rsidRDefault="00046FDC">
            <w:pPr>
              <w:jc w:val="center"/>
              <w:rPr>
                <w:sz w:val="20"/>
                <w:szCs w:val="20"/>
              </w:rPr>
            </w:pPr>
            <w:r>
              <w:rPr>
                <w:sz w:val="20"/>
                <w:szCs w:val="20"/>
              </w:rPr>
              <w:t>-7,1373</w:t>
            </w:r>
          </w:p>
        </w:tc>
        <w:tc>
          <w:tcPr>
            <w:tcW w:w="1080" w:type="dxa"/>
            <w:vAlign w:val="center"/>
          </w:tcPr>
          <w:p w:rsidR="00046FDC" w:rsidRDefault="00046FDC">
            <w:pPr>
              <w:jc w:val="center"/>
              <w:rPr>
                <w:sz w:val="20"/>
                <w:szCs w:val="20"/>
              </w:rPr>
            </w:pPr>
            <w:r>
              <w:rPr>
                <w:sz w:val="20"/>
                <w:szCs w:val="20"/>
              </w:rPr>
              <w:t>-19,9</w:t>
            </w:r>
          </w:p>
        </w:tc>
      </w:tr>
      <w:tr w:rsidR="00046FDC">
        <w:tc>
          <w:tcPr>
            <w:tcW w:w="1368" w:type="dxa"/>
            <w:vAlign w:val="bottom"/>
          </w:tcPr>
          <w:p w:rsidR="00046FDC" w:rsidRPr="00365E4A" w:rsidRDefault="00046FDC">
            <w:pPr>
              <w:rPr>
                <w:rFonts w:ascii="Arial" w:hAnsi="Arial" w:cs="Arial"/>
                <w:sz w:val="20"/>
                <w:szCs w:val="20"/>
              </w:rPr>
            </w:pPr>
            <w:r w:rsidRPr="00365E4A">
              <w:rPr>
                <w:sz w:val="20"/>
                <w:lang w:val="de-DE"/>
              </w:rPr>
              <w:t>Kostanjevec</w:t>
            </w:r>
            <w:r w:rsidRPr="00365E4A">
              <w:rPr>
                <w:sz w:val="20"/>
              </w:rPr>
              <w:t xml:space="preserve"> </w:t>
            </w:r>
            <w:r w:rsidRPr="00365E4A">
              <w:rPr>
                <w:sz w:val="20"/>
                <w:lang w:val="de-DE"/>
              </w:rPr>
              <w:t>Rije</w:t>
            </w:r>
            <w:r w:rsidRPr="00365E4A">
              <w:rPr>
                <w:sz w:val="20"/>
              </w:rPr>
              <w:t>č</w:t>
            </w:r>
            <w:r w:rsidRPr="00365E4A">
              <w:rPr>
                <w:sz w:val="20"/>
                <w:lang w:val="de-DE"/>
              </w:rPr>
              <w:t>ki</w:t>
            </w:r>
          </w:p>
        </w:tc>
        <w:tc>
          <w:tcPr>
            <w:tcW w:w="1066" w:type="dxa"/>
            <w:vAlign w:val="center"/>
          </w:tcPr>
          <w:p w:rsidR="00046FDC" w:rsidRDefault="00046FDC">
            <w:pPr>
              <w:jc w:val="center"/>
              <w:rPr>
                <w:sz w:val="20"/>
                <w:szCs w:val="20"/>
              </w:rPr>
            </w:pPr>
            <w:r>
              <w:rPr>
                <w:sz w:val="20"/>
                <w:szCs w:val="20"/>
              </w:rPr>
              <w:t>25,4435</w:t>
            </w:r>
          </w:p>
        </w:tc>
        <w:tc>
          <w:tcPr>
            <w:tcW w:w="1066" w:type="dxa"/>
            <w:vAlign w:val="center"/>
          </w:tcPr>
          <w:p w:rsidR="00046FDC" w:rsidRDefault="00046FDC">
            <w:pPr>
              <w:jc w:val="center"/>
              <w:rPr>
                <w:sz w:val="20"/>
                <w:szCs w:val="20"/>
              </w:rPr>
            </w:pPr>
            <w:r>
              <w:rPr>
                <w:sz w:val="20"/>
                <w:szCs w:val="20"/>
              </w:rPr>
              <w:t>25,4903</w:t>
            </w:r>
          </w:p>
        </w:tc>
        <w:tc>
          <w:tcPr>
            <w:tcW w:w="866" w:type="dxa"/>
            <w:vAlign w:val="center"/>
          </w:tcPr>
          <w:p w:rsidR="00046FDC" w:rsidRDefault="00046FDC">
            <w:pPr>
              <w:jc w:val="center"/>
              <w:rPr>
                <w:sz w:val="20"/>
                <w:szCs w:val="20"/>
              </w:rPr>
            </w:pPr>
            <w:r>
              <w:rPr>
                <w:sz w:val="20"/>
                <w:szCs w:val="20"/>
              </w:rPr>
              <w:t>0</w:t>
            </w:r>
          </w:p>
        </w:tc>
        <w:tc>
          <w:tcPr>
            <w:tcW w:w="902" w:type="dxa"/>
            <w:vAlign w:val="center"/>
          </w:tcPr>
          <w:p w:rsidR="00046FDC" w:rsidRDefault="00046FDC">
            <w:pPr>
              <w:jc w:val="center"/>
              <w:rPr>
                <w:sz w:val="20"/>
                <w:szCs w:val="20"/>
              </w:rPr>
            </w:pPr>
            <w:r>
              <w:rPr>
                <w:sz w:val="20"/>
                <w:szCs w:val="20"/>
              </w:rPr>
              <w:t>0</w:t>
            </w:r>
          </w:p>
        </w:tc>
        <w:tc>
          <w:tcPr>
            <w:tcW w:w="1440" w:type="dxa"/>
            <w:vAlign w:val="center"/>
          </w:tcPr>
          <w:p w:rsidR="00046FDC" w:rsidRDefault="00046FDC">
            <w:pPr>
              <w:jc w:val="center"/>
              <w:rPr>
                <w:sz w:val="20"/>
                <w:szCs w:val="20"/>
              </w:rPr>
            </w:pPr>
            <w:r>
              <w:rPr>
                <w:sz w:val="20"/>
                <w:szCs w:val="20"/>
              </w:rPr>
              <w:t>-10,0</w:t>
            </w:r>
          </w:p>
        </w:tc>
        <w:tc>
          <w:tcPr>
            <w:tcW w:w="1080" w:type="dxa"/>
            <w:vAlign w:val="center"/>
          </w:tcPr>
          <w:p w:rsidR="00046FDC" w:rsidRDefault="00046FDC">
            <w:pPr>
              <w:jc w:val="center"/>
              <w:rPr>
                <w:sz w:val="20"/>
                <w:szCs w:val="20"/>
              </w:rPr>
            </w:pPr>
            <w:r>
              <w:rPr>
                <w:sz w:val="20"/>
                <w:szCs w:val="20"/>
              </w:rPr>
              <w:t>-0,1273</w:t>
            </w:r>
          </w:p>
        </w:tc>
        <w:tc>
          <w:tcPr>
            <w:tcW w:w="1080" w:type="dxa"/>
            <w:vAlign w:val="center"/>
          </w:tcPr>
          <w:p w:rsidR="00046FDC" w:rsidRDefault="00046FDC">
            <w:pPr>
              <w:jc w:val="center"/>
              <w:rPr>
                <w:sz w:val="20"/>
                <w:szCs w:val="20"/>
              </w:rPr>
            </w:pPr>
            <w:r>
              <w:rPr>
                <w:sz w:val="20"/>
                <w:szCs w:val="20"/>
              </w:rPr>
              <w:t>-0,5</w:t>
            </w:r>
          </w:p>
        </w:tc>
      </w:tr>
      <w:tr w:rsidR="00046FDC">
        <w:tc>
          <w:tcPr>
            <w:tcW w:w="1368" w:type="dxa"/>
            <w:vAlign w:val="bottom"/>
          </w:tcPr>
          <w:p w:rsidR="00046FDC" w:rsidRPr="00365E4A" w:rsidRDefault="00046FDC">
            <w:pPr>
              <w:rPr>
                <w:rFonts w:ascii="Arial" w:hAnsi="Arial" w:cs="Arial"/>
                <w:sz w:val="20"/>
                <w:szCs w:val="20"/>
              </w:rPr>
            </w:pPr>
            <w:r w:rsidRPr="00365E4A">
              <w:rPr>
                <w:sz w:val="20"/>
                <w:lang w:val="de-DE"/>
              </w:rPr>
              <w:t>Luka</w:t>
            </w:r>
            <w:r w:rsidRPr="00365E4A">
              <w:rPr>
                <w:sz w:val="20"/>
              </w:rPr>
              <w:t>č</w:t>
            </w:r>
            <w:r w:rsidRPr="00365E4A">
              <w:rPr>
                <w:sz w:val="20"/>
                <w:lang w:val="de-DE"/>
              </w:rPr>
              <w:t>evec</w:t>
            </w:r>
          </w:p>
        </w:tc>
        <w:tc>
          <w:tcPr>
            <w:tcW w:w="1066" w:type="dxa"/>
            <w:vAlign w:val="center"/>
          </w:tcPr>
          <w:p w:rsidR="00046FDC" w:rsidRDefault="00365E4A">
            <w:pPr>
              <w:jc w:val="center"/>
              <w:rPr>
                <w:sz w:val="20"/>
                <w:szCs w:val="20"/>
              </w:rPr>
            </w:pPr>
            <w:r>
              <w:rPr>
                <w:sz w:val="20"/>
                <w:szCs w:val="20"/>
              </w:rPr>
              <w:t>3,3489</w:t>
            </w:r>
          </w:p>
        </w:tc>
        <w:tc>
          <w:tcPr>
            <w:tcW w:w="1066" w:type="dxa"/>
            <w:vAlign w:val="center"/>
          </w:tcPr>
          <w:p w:rsidR="00046FDC" w:rsidRDefault="00365E4A">
            <w:pPr>
              <w:jc w:val="center"/>
              <w:rPr>
                <w:sz w:val="20"/>
                <w:szCs w:val="20"/>
              </w:rPr>
            </w:pPr>
            <w:r>
              <w:rPr>
                <w:sz w:val="20"/>
                <w:szCs w:val="20"/>
              </w:rPr>
              <w:t>3,4432</w:t>
            </w:r>
          </w:p>
        </w:tc>
        <w:tc>
          <w:tcPr>
            <w:tcW w:w="866" w:type="dxa"/>
            <w:vAlign w:val="center"/>
          </w:tcPr>
          <w:p w:rsidR="00046FDC" w:rsidRDefault="00365E4A">
            <w:pPr>
              <w:jc w:val="center"/>
              <w:rPr>
                <w:sz w:val="20"/>
                <w:szCs w:val="20"/>
              </w:rPr>
            </w:pPr>
            <w:r>
              <w:rPr>
                <w:sz w:val="20"/>
                <w:szCs w:val="20"/>
              </w:rPr>
              <w:t>0,4748</w:t>
            </w:r>
          </w:p>
        </w:tc>
        <w:tc>
          <w:tcPr>
            <w:tcW w:w="902" w:type="dxa"/>
            <w:vAlign w:val="center"/>
          </w:tcPr>
          <w:p w:rsidR="00046FDC" w:rsidRDefault="00365E4A">
            <w:pPr>
              <w:jc w:val="center"/>
              <w:rPr>
                <w:sz w:val="20"/>
                <w:szCs w:val="20"/>
              </w:rPr>
            </w:pPr>
            <w:r>
              <w:rPr>
                <w:sz w:val="20"/>
                <w:szCs w:val="20"/>
              </w:rPr>
              <w:t>13,7</w:t>
            </w:r>
          </w:p>
        </w:tc>
        <w:tc>
          <w:tcPr>
            <w:tcW w:w="1440" w:type="dxa"/>
            <w:vAlign w:val="center"/>
          </w:tcPr>
          <w:p w:rsidR="00046FDC" w:rsidRDefault="00046FDC">
            <w:pPr>
              <w:jc w:val="center"/>
              <w:rPr>
                <w:sz w:val="20"/>
                <w:szCs w:val="20"/>
              </w:rPr>
            </w:pPr>
            <w:r>
              <w:rPr>
                <w:sz w:val="20"/>
                <w:szCs w:val="20"/>
              </w:rPr>
              <w:t>-14,2</w:t>
            </w:r>
          </w:p>
        </w:tc>
        <w:tc>
          <w:tcPr>
            <w:tcW w:w="1080" w:type="dxa"/>
            <w:vAlign w:val="center"/>
          </w:tcPr>
          <w:p w:rsidR="00046FDC" w:rsidRDefault="00365E4A">
            <w:pPr>
              <w:jc w:val="center"/>
              <w:rPr>
                <w:sz w:val="20"/>
                <w:szCs w:val="20"/>
              </w:rPr>
            </w:pPr>
            <w:r>
              <w:rPr>
                <w:sz w:val="20"/>
                <w:szCs w:val="20"/>
              </w:rPr>
              <w:t>0,0943</w:t>
            </w:r>
          </w:p>
        </w:tc>
        <w:tc>
          <w:tcPr>
            <w:tcW w:w="1080" w:type="dxa"/>
            <w:vAlign w:val="center"/>
          </w:tcPr>
          <w:p w:rsidR="00046FDC" w:rsidRDefault="00365E4A">
            <w:pPr>
              <w:jc w:val="center"/>
              <w:rPr>
                <w:sz w:val="20"/>
                <w:szCs w:val="20"/>
              </w:rPr>
            </w:pPr>
            <w:r>
              <w:rPr>
                <w:sz w:val="20"/>
                <w:szCs w:val="20"/>
              </w:rPr>
              <w:t>2,7</w:t>
            </w:r>
          </w:p>
        </w:tc>
      </w:tr>
      <w:tr w:rsidR="00365E4A">
        <w:tc>
          <w:tcPr>
            <w:tcW w:w="1368" w:type="dxa"/>
            <w:vAlign w:val="bottom"/>
          </w:tcPr>
          <w:p w:rsidR="00365E4A" w:rsidRPr="00365E4A" w:rsidRDefault="00365E4A">
            <w:pPr>
              <w:rPr>
                <w:rFonts w:ascii="Arial" w:hAnsi="Arial" w:cs="Arial"/>
                <w:sz w:val="20"/>
                <w:szCs w:val="20"/>
              </w:rPr>
            </w:pPr>
            <w:r w:rsidRPr="00365E4A">
              <w:rPr>
                <w:sz w:val="20"/>
              </w:rPr>
              <w:t>Nemčevec</w:t>
            </w:r>
          </w:p>
        </w:tc>
        <w:tc>
          <w:tcPr>
            <w:tcW w:w="1066" w:type="dxa"/>
            <w:vAlign w:val="center"/>
          </w:tcPr>
          <w:p w:rsidR="00365E4A" w:rsidRDefault="00365E4A">
            <w:pPr>
              <w:jc w:val="center"/>
              <w:rPr>
                <w:sz w:val="20"/>
                <w:szCs w:val="20"/>
              </w:rPr>
            </w:pPr>
            <w:r>
              <w:rPr>
                <w:sz w:val="20"/>
                <w:szCs w:val="20"/>
              </w:rPr>
              <w:t>9,1463</w:t>
            </w:r>
          </w:p>
        </w:tc>
        <w:tc>
          <w:tcPr>
            <w:tcW w:w="1066" w:type="dxa"/>
            <w:vAlign w:val="center"/>
          </w:tcPr>
          <w:p w:rsidR="00365E4A" w:rsidRDefault="00365E4A" w:rsidP="00052FA2">
            <w:pPr>
              <w:jc w:val="center"/>
              <w:rPr>
                <w:sz w:val="20"/>
                <w:szCs w:val="20"/>
              </w:rPr>
            </w:pPr>
            <w:r>
              <w:rPr>
                <w:sz w:val="20"/>
                <w:szCs w:val="20"/>
              </w:rPr>
              <w:t>9,1463</w:t>
            </w:r>
          </w:p>
        </w:tc>
        <w:tc>
          <w:tcPr>
            <w:tcW w:w="866" w:type="dxa"/>
            <w:vAlign w:val="center"/>
          </w:tcPr>
          <w:p w:rsidR="00365E4A" w:rsidRDefault="00365E4A">
            <w:pPr>
              <w:jc w:val="center"/>
              <w:rPr>
                <w:sz w:val="20"/>
                <w:szCs w:val="20"/>
              </w:rPr>
            </w:pPr>
            <w:r>
              <w:rPr>
                <w:sz w:val="20"/>
                <w:szCs w:val="20"/>
              </w:rPr>
              <w:t>0,0</w:t>
            </w:r>
          </w:p>
        </w:tc>
        <w:tc>
          <w:tcPr>
            <w:tcW w:w="902" w:type="dxa"/>
            <w:vAlign w:val="center"/>
          </w:tcPr>
          <w:p w:rsidR="00365E4A" w:rsidRDefault="00365E4A">
            <w:pPr>
              <w:jc w:val="center"/>
              <w:rPr>
                <w:sz w:val="20"/>
                <w:szCs w:val="20"/>
              </w:rPr>
            </w:pPr>
            <w:r>
              <w:rPr>
                <w:sz w:val="20"/>
                <w:szCs w:val="20"/>
              </w:rPr>
              <w:t>0,0</w:t>
            </w:r>
          </w:p>
        </w:tc>
        <w:tc>
          <w:tcPr>
            <w:tcW w:w="1440" w:type="dxa"/>
            <w:vAlign w:val="center"/>
          </w:tcPr>
          <w:p w:rsidR="00365E4A" w:rsidRDefault="00365E4A">
            <w:pPr>
              <w:jc w:val="center"/>
              <w:rPr>
                <w:sz w:val="20"/>
                <w:szCs w:val="20"/>
              </w:rPr>
            </w:pPr>
            <w:r>
              <w:rPr>
                <w:sz w:val="20"/>
                <w:szCs w:val="20"/>
              </w:rPr>
              <w:t>-36,0</w:t>
            </w:r>
          </w:p>
        </w:tc>
        <w:tc>
          <w:tcPr>
            <w:tcW w:w="1080" w:type="dxa"/>
            <w:vAlign w:val="center"/>
          </w:tcPr>
          <w:p w:rsidR="00365E4A" w:rsidRDefault="00365E4A">
            <w:pPr>
              <w:jc w:val="center"/>
              <w:rPr>
                <w:sz w:val="20"/>
                <w:szCs w:val="20"/>
              </w:rPr>
            </w:pPr>
            <w:r>
              <w:rPr>
                <w:sz w:val="20"/>
                <w:szCs w:val="20"/>
              </w:rPr>
              <w:t>0</w:t>
            </w:r>
          </w:p>
        </w:tc>
        <w:tc>
          <w:tcPr>
            <w:tcW w:w="1080" w:type="dxa"/>
            <w:vAlign w:val="center"/>
          </w:tcPr>
          <w:p w:rsidR="00365E4A" w:rsidRDefault="00365E4A">
            <w:pPr>
              <w:jc w:val="center"/>
              <w:rPr>
                <w:sz w:val="20"/>
                <w:szCs w:val="20"/>
              </w:rPr>
            </w:pPr>
            <w:r>
              <w:rPr>
                <w:sz w:val="20"/>
                <w:szCs w:val="20"/>
              </w:rPr>
              <w:t>0</w:t>
            </w:r>
          </w:p>
        </w:tc>
      </w:tr>
      <w:tr w:rsidR="00046FDC">
        <w:tc>
          <w:tcPr>
            <w:tcW w:w="1368" w:type="dxa"/>
            <w:vAlign w:val="bottom"/>
          </w:tcPr>
          <w:p w:rsidR="00046FDC" w:rsidRPr="00365E4A" w:rsidRDefault="00046FDC">
            <w:pPr>
              <w:rPr>
                <w:rFonts w:ascii="Arial" w:hAnsi="Arial" w:cs="Arial"/>
                <w:bCs/>
                <w:sz w:val="20"/>
                <w:szCs w:val="20"/>
              </w:rPr>
            </w:pPr>
            <w:r w:rsidRPr="00365E4A">
              <w:rPr>
                <w:sz w:val="20"/>
              </w:rPr>
              <w:t>Pofuki</w:t>
            </w:r>
          </w:p>
        </w:tc>
        <w:tc>
          <w:tcPr>
            <w:tcW w:w="1066" w:type="dxa"/>
            <w:vAlign w:val="center"/>
          </w:tcPr>
          <w:p w:rsidR="00046FDC" w:rsidRDefault="00046FDC">
            <w:pPr>
              <w:jc w:val="center"/>
              <w:rPr>
                <w:sz w:val="20"/>
                <w:szCs w:val="20"/>
              </w:rPr>
            </w:pPr>
            <w:r>
              <w:rPr>
                <w:sz w:val="20"/>
                <w:szCs w:val="20"/>
              </w:rPr>
              <w:t>37,8491</w:t>
            </w:r>
          </w:p>
        </w:tc>
        <w:tc>
          <w:tcPr>
            <w:tcW w:w="1066" w:type="dxa"/>
            <w:vAlign w:val="center"/>
          </w:tcPr>
          <w:p w:rsidR="00046FDC" w:rsidRDefault="00046FDC">
            <w:pPr>
              <w:jc w:val="center"/>
              <w:rPr>
                <w:sz w:val="20"/>
                <w:szCs w:val="20"/>
              </w:rPr>
            </w:pPr>
            <w:r>
              <w:rPr>
                <w:sz w:val="20"/>
                <w:szCs w:val="20"/>
              </w:rPr>
              <w:t>30,2175</w:t>
            </w:r>
          </w:p>
        </w:tc>
        <w:tc>
          <w:tcPr>
            <w:tcW w:w="866" w:type="dxa"/>
            <w:vAlign w:val="center"/>
          </w:tcPr>
          <w:p w:rsidR="00046FDC" w:rsidRDefault="00046FDC">
            <w:pPr>
              <w:jc w:val="center"/>
              <w:rPr>
                <w:sz w:val="20"/>
                <w:szCs w:val="20"/>
              </w:rPr>
            </w:pPr>
            <w:r>
              <w:rPr>
                <w:sz w:val="20"/>
                <w:szCs w:val="20"/>
              </w:rPr>
              <w:t>5,3942</w:t>
            </w:r>
          </w:p>
        </w:tc>
        <w:tc>
          <w:tcPr>
            <w:tcW w:w="902" w:type="dxa"/>
            <w:vAlign w:val="center"/>
          </w:tcPr>
          <w:p w:rsidR="00046FDC" w:rsidRDefault="00046FDC">
            <w:pPr>
              <w:jc w:val="center"/>
              <w:rPr>
                <w:sz w:val="20"/>
                <w:szCs w:val="20"/>
              </w:rPr>
            </w:pPr>
            <w:r>
              <w:rPr>
                <w:sz w:val="20"/>
                <w:szCs w:val="20"/>
              </w:rPr>
              <w:t>14,2</w:t>
            </w:r>
          </w:p>
        </w:tc>
        <w:tc>
          <w:tcPr>
            <w:tcW w:w="1440" w:type="dxa"/>
            <w:vAlign w:val="center"/>
          </w:tcPr>
          <w:p w:rsidR="00046FDC" w:rsidRDefault="00046FDC">
            <w:pPr>
              <w:jc w:val="center"/>
              <w:rPr>
                <w:sz w:val="20"/>
                <w:szCs w:val="20"/>
              </w:rPr>
            </w:pPr>
            <w:r>
              <w:rPr>
                <w:sz w:val="20"/>
                <w:szCs w:val="20"/>
              </w:rPr>
              <w:t>.8,6</w:t>
            </w:r>
          </w:p>
        </w:tc>
        <w:tc>
          <w:tcPr>
            <w:tcW w:w="1080" w:type="dxa"/>
            <w:vAlign w:val="center"/>
          </w:tcPr>
          <w:p w:rsidR="00046FDC" w:rsidRDefault="00046FDC">
            <w:pPr>
              <w:jc w:val="center"/>
              <w:rPr>
                <w:sz w:val="20"/>
                <w:szCs w:val="20"/>
              </w:rPr>
            </w:pPr>
            <w:r>
              <w:rPr>
                <w:sz w:val="20"/>
                <w:szCs w:val="20"/>
              </w:rPr>
              <w:t>-7,6316</w:t>
            </w:r>
          </w:p>
        </w:tc>
        <w:tc>
          <w:tcPr>
            <w:tcW w:w="1080" w:type="dxa"/>
            <w:vAlign w:val="center"/>
          </w:tcPr>
          <w:p w:rsidR="00046FDC" w:rsidRDefault="00046FDC">
            <w:pPr>
              <w:jc w:val="center"/>
              <w:rPr>
                <w:sz w:val="20"/>
                <w:szCs w:val="20"/>
              </w:rPr>
            </w:pPr>
            <w:r>
              <w:rPr>
                <w:sz w:val="20"/>
                <w:szCs w:val="20"/>
              </w:rPr>
              <w:t>-20,1</w:t>
            </w:r>
          </w:p>
        </w:tc>
      </w:tr>
      <w:tr w:rsidR="00046FDC" w:rsidRPr="008641E2">
        <w:tc>
          <w:tcPr>
            <w:tcW w:w="1368" w:type="dxa"/>
            <w:vAlign w:val="bottom"/>
          </w:tcPr>
          <w:p w:rsidR="00046FDC" w:rsidRPr="00365E4A" w:rsidRDefault="00046FDC">
            <w:pPr>
              <w:rPr>
                <w:rFonts w:ascii="Arial" w:hAnsi="Arial" w:cs="Arial"/>
                <w:bCs/>
                <w:sz w:val="20"/>
                <w:szCs w:val="20"/>
              </w:rPr>
            </w:pPr>
            <w:r w:rsidRPr="00365E4A">
              <w:rPr>
                <w:sz w:val="20"/>
              </w:rPr>
              <w:t>Štrigovec</w:t>
            </w:r>
          </w:p>
        </w:tc>
        <w:tc>
          <w:tcPr>
            <w:tcW w:w="1066" w:type="dxa"/>
            <w:vAlign w:val="center"/>
          </w:tcPr>
          <w:p w:rsidR="00046FDC" w:rsidRPr="008641E2" w:rsidRDefault="00046FDC">
            <w:pPr>
              <w:jc w:val="center"/>
              <w:rPr>
                <w:sz w:val="20"/>
                <w:szCs w:val="20"/>
              </w:rPr>
            </w:pPr>
            <w:r w:rsidRPr="008641E2">
              <w:rPr>
                <w:sz w:val="20"/>
                <w:szCs w:val="20"/>
              </w:rPr>
              <w:t>8,5098</w:t>
            </w:r>
          </w:p>
        </w:tc>
        <w:tc>
          <w:tcPr>
            <w:tcW w:w="1066" w:type="dxa"/>
            <w:vAlign w:val="center"/>
          </w:tcPr>
          <w:p w:rsidR="00046FDC" w:rsidRPr="008641E2" w:rsidRDefault="00046FDC">
            <w:pPr>
              <w:jc w:val="center"/>
              <w:rPr>
                <w:sz w:val="20"/>
                <w:szCs w:val="20"/>
              </w:rPr>
            </w:pPr>
            <w:r w:rsidRPr="008641E2">
              <w:rPr>
                <w:sz w:val="20"/>
                <w:szCs w:val="20"/>
              </w:rPr>
              <w:t>7,9189</w:t>
            </w:r>
          </w:p>
        </w:tc>
        <w:tc>
          <w:tcPr>
            <w:tcW w:w="866" w:type="dxa"/>
            <w:vAlign w:val="center"/>
          </w:tcPr>
          <w:p w:rsidR="00046FDC" w:rsidRPr="008641E2" w:rsidRDefault="00046FDC">
            <w:pPr>
              <w:jc w:val="center"/>
              <w:rPr>
                <w:sz w:val="20"/>
                <w:szCs w:val="20"/>
              </w:rPr>
            </w:pPr>
            <w:r w:rsidRPr="008641E2">
              <w:rPr>
                <w:sz w:val="20"/>
                <w:szCs w:val="20"/>
              </w:rPr>
              <w:t>1,8754</w:t>
            </w:r>
          </w:p>
        </w:tc>
        <w:tc>
          <w:tcPr>
            <w:tcW w:w="902" w:type="dxa"/>
            <w:vAlign w:val="center"/>
          </w:tcPr>
          <w:p w:rsidR="00046FDC" w:rsidRPr="008641E2" w:rsidRDefault="00046FDC">
            <w:pPr>
              <w:jc w:val="center"/>
              <w:rPr>
                <w:sz w:val="20"/>
                <w:szCs w:val="20"/>
              </w:rPr>
            </w:pPr>
            <w:r w:rsidRPr="008641E2">
              <w:rPr>
                <w:sz w:val="20"/>
                <w:szCs w:val="20"/>
              </w:rPr>
              <w:t>23,6</w:t>
            </w:r>
          </w:p>
        </w:tc>
        <w:tc>
          <w:tcPr>
            <w:tcW w:w="1440" w:type="dxa"/>
            <w:vAlign w:val="center"/>
          </w:tcPr>
          <w:p w:rsidR="00046FDC" w:rsidRPr="008641E2" w:rsidRDefault="00046FDC">
            <w:pPr>
              <w:jc w:val="center"/>
              <w:rPr>
                <w:sz w:val="20"/>
                <w:szCs w:val="20"/>
              </w:rPr>
            </w:pPr>
            <w:r w:rsidRPr="008641E2">
              <w:rPr>
                <w:sz w:val="20"/>
                <w:szCs w:val="20"/>
              </w:rPr>
              <w:t>-17,6</w:t>
            </w:r>
          </w:p>
        </w:tc>
        <w:tc>
          <w:tcPr>
            <w:tcW w:w="1080" w:type="dxa"/>
            <w:vAlign w:val="center"/>
          </w:tcPr>
          <w:p w:rsidR="00046FDC" w:rsidRPr="008641E2" w:rsidRDefault="00046FDC">
            <w:pPr>
              <w:jc w:val="center"/>
              <w:rPr>
                <w:sz w:val="20"/>
                <w:szCs w:val="20"/>
              </w:rPr>
            </w:pPr>
            <w:r w:rsidRPr="008641E2">
              <w:rPr>
                <w:sz w:val="20"/>
                <w:szCs w:val="20"/>
              </w:rPr>
              <w:t>-0,5909</w:t>
            </w:r>
          </w:p>
        </w:tc>
        <w:tc>
          <w:tcPr>
            <w:tcW w:w="1080" w:type="dxa"/>
            <w:vAlign w:val="center"/>
          </w:tcPr>
          <w:p w:rsidR="00046FDC" w:rsidRPr="008641E2" w:rsidRDefault="00046FDC">
            <w:pPr>
              <w:jc w:val="center"/>
              <w:rPr>
                <w:sz w:val="20"/>
                <w:szCs w:val="20"/>
              </w:rPr>
            </w:pPr>
            <w:r w:rsidRPr="008641E2">
              <w:rPr>
                <w:sz w:val="20"/>
                <w:szCs w:val="20"/>
              </w:rPr>
              <w:t>-6,9</w:t>
            </w:r>
          </w:p>
        </w:tc>
      </w:tr>
      <w:tr w:rsidR="00046FDC">
        <w:tc>
          <w:tcPr>
            <w:tcW w:w="1368" w:type="dxa"/>
            <w:vAlign w:val="bottom"/>
          </w:tcPr>
          <w:p w:rsidR="00046FDC" w:rsidRPr="00365E4A" w:rsidRDefault="00046FDC">
            <w:pPr>
              <w:rPr>
                <w:rFonts w:ascii="Arial" w:hAnsi="Arial" w:cs="Arial"/>
                <w:bCs/>
                <w:sz w:val="20"/>
                <w:szCs w:val="20"/>
              </w:rPr>
            </w:pPr>
            <w:r w:rsidRPr="00365E4A">
              <w:rPr>
                <w:sz w:val="20"/>
              </w:rPr>
              <w:t>Vukšinec Riječki</w:t>
            </w:r>
          </w:p>
        </w:tc>
        <w:tc>
          <w:tcPr>
            <w:tcW w:w="1066" w:type="dxa"/>
            <w:vAlign w:val="center"/>
          </w:tcPr>
          <w:p w:rsidR="00046FDC" w:rsidRDefault="00046FDC">
            <w:pPr>
              <w:jc w:val="center"/>
              <w:rPr>
                <w:sz w:val="20"/>
                <w:szCs w:val="20"/>
              </w:rPr>
            </w:pPr>
            <w:r>
              <w:rPr>
                <w:sz w:val="20"/>
                <w:szCs w:val="20"/>
              </w:rPr>
              <w:t>15,1741</w:t>
            </w:r>
          </w:p>
        </w:tc>
        <w:tc>
          <w:tcPr>
            <w:tcW w:w="1066" w:type="dxa"/>
            <w:vAlign w:val="center"/>
          </w:tcPr>
          <w:p w:rsidR="00046FDC" w:rsidRDefault="00046FDC">
            <w:pPr>
              <w:jc w:val="center"/>
              <w:rPr>
                <w:sz w:val="20"/>
                <w:szCs w:val="20"/>
              </w:rPr>
            </w:pPr>
            <w:r>
              <w:rPr>
                <w:sz w:val="20"/>
                <w:szCs w:val="20"/>
              </w:rPr>
              <w:t>4,4029</w:t>
            </w:r>
          </w:p>
        </w:tc>
        <w:tc>
          <w:tcPr>
            <w:tcW w:w="866" w:type="dxa"/>
            <w:vAlign w:val="center"/>
          </w:tcPr>
          <w:p w:rsidR="00046FDC" w:rsidRDefault="00046FDC" w:rsidP="00A011C6">
            <w:pPr>
              <w:jc w:val="center"/>
              <w:rPr>
                <w:sz w:val="20"/>
                <w:szCs w:val="20"/>
              </w:rPr>
            </w:pPr>
            <w:r>
              <w:rPr>
                <w:sz w:val="20"/>
                <w:szCs w:val="20"/>
              </w:rPr>
              <w:t>0</w:t>
            </w:r>
          </w:p>
        </w:tc>
        <w:tc>
          <w:tcPr>
            <w:tcW w:w="902" w:type="dxa"/>
            <w:vAlign w:val="center"/>
          </w:tcPr>
          <w:p w:rsidR="00046FDC" w:rsidRDefault="00046FDC" w:rsidP="00A011C6">
            <w:pPr>
              <w:jc w:val="center"/>
              <w:rPr>
                <w:sz w:val="20"/>
                <w:szCs w:val="20"/>
              </w:rPr>
            </w:pPr>
            <w:r>
              <w:rPr>
                <w:sz w:val="20"/>
                <w:szCs w:val="20"/>
              </w:rPr>
              <w:t>0</w:t>
            </w:r>
          </w:p>
        </w:tc>
        <w:tc>
          <w:tcPr>
            <w:tcW w:w="1440" w:type="dxa"/>
            <w:vAlign w:val="center"/>
          </w:tcPr>
          <w:p w:rsidR="00046FDC" w:rsidRDefault="00046FDC">
            <w:pPr>
              <w:jc w:val="center"/>
              <w:rPr>
                <w:sz w:val="20"/>
                <w:szCs w:val="20"/>
              </w:rPr>
            </w:pPr>
            <w:r>
              <w:rPr>
                <w:sz w:val="20"/>
                <w:szCs w:val="20"/>
              </w:rPr>
              <w:t>-3,4</w:t>
            </w:r>
          </w:p>
        </w:tc>
        <w:tc>
          <w:tcPr>
            <w:tcW w:w="1080" w:type="dxa"/>
            <w:vAlign w:val="center"/>
          </w:tcPr>
          <w:p w:rsidR="00046FDC" w:rsidRDefault="00046FDC">
            <w:pPr>
              <w:jc w:val="center"/>
              <w:rPr>
                <w:sz w:val="20"/>
                <w:szCs w:val="20"/>
              </w:rPr>
            </w:pPr>
            <w:r>
              <w:rPr>
                <w:sz w:val="20"/>
                <w:szCs w:val="20"/>
              </w:rPr>
              <w:t>-10,7712</w:t>
            </w:r>
          </w:p>
        </w:tc>
        <w:tc>
          <w:tcPr>
            <w:tcW w:w="1080" w:type="dxa"/>
            <w:vAlign w:val="center"/>
          </w:tcPr>
          <w:p w:rsidR="00046FDC" w:rsidRPr="00BF1904" w:rsidRDefault="00046FDC">
            <w:pPr>
              <w:jc w:val="center"/>
              <w:rPr>
                <w:bCs/>
                <w:sz w:val="20"/>
                <w:szCs w:val="20"/>
              </w:rPr>
            </w:pPr>
            <w:r>
              <w:rPr>
                <w:bCs/>
                <w:sz w:val="20"/>
                <w:szCs w:val="20"/>
              </w:rPr>
              <w:t>-70</w:t>
            </w:r>
            <w:r w:rsidRPr="00BF1904">
              <w:rPr>
                <w:bCs/>
                <w:sz w:val="20"/>
                <w:szCs w:val="20"/>
              </w:rPr>
              <w:t>,</w:t>
            </w:r>
            <w:r>
              <w:rPr>
                <w:bCs/>
                <w:sz w:val="20"/>
                <w:szCs w:val="20"/>
              </w:rPr>
              <w:t>9</w:t>
            </w:r>
          </w:p>
        </w:tc>
      </w:tr>
      <w:tr w:rsidR="00046FDC">
        <w:tc>
          <w:tcPr>
            <w:tcW w:w="1368" w:type="dxa"/>
            <w:vAlign w:val="bottom"/>
          </w:tcPr>
          <w:p w:rsidR="00046FDC" w:rsidRPr="004A6C7E" w:rsidRDefault="00046FDC">
            <w:pPr>
              <w:pStyle w:val="Naslov6"/>
              <w:rPr>
                <w:rFonts w:ascii="Times New Roman" w:hAnsi="Times New Roman"/>
                <w:b w:val="0"/>
                <w:sz w:val="20"/>
                <w:szCs w:val="20"/>
              </w:rPr>
            </w:pPr>
            <w:r w:rsidRPr="004A6C7E">
              <w:rPr>
                <w:rFonts w:ascii="Times New Roman" w:hAnsi="Times New Roman"/>
                <w:b w:val="0"/>
                <w:sz w:val="20"/>
                <w:szCs w:val="20"/>
              </w:rPr>
              <w:t>Općina</w:t>
            </w:r>
          </w:p>
        </w:tc>
        <w:tc>
          <w:tcPr>
            <w:tcW w:w="1066" w:type="dxa"/>
            <w:vAlign w:val="center"/>
          </w:tcPr>
          <w:p w:rsidR="00046FDC" w:rsidRDefault="004F521E">
            <w:pPr>
              <w:jc w:val="center"/>
              <w:rPr>
                <w:sz w:val="20"/>
                <w:szCs w:val="20"/>
              </w:rPr>
            </w:pPr>
            <w:r>
              <w:rPr>
                <w:sz w:val="20"/>
                <w:szCs w:val="20"/>
              </w:rPr>
              <w:fldChar w:fldCharType="begin"/>
            </w:r>
            <w:r>
              <w:rPr>
                <w:sz w:val="20"/>
                <w:szCs w:val="20"/>
              </w:rPr>
              <w:instrText xml:space="preserve"> =SUM(ABOVE) </w:instrText>
            </w:r>
            <w:r>
              <w:rPr>
                <w:sz w:val="20"/>
                <w:szCs w:val="20"/>
              </w:rPr>
              <w:fldChar w:fldCharType="separate"/>
            </w:r>
            <w:r>
              <w:rPr>
                <w:noProof/>
                <w:sz w:val="20"/>
                <w:szCs w:val="20"/>
              </w:rPr>
              <w:t>317,1526</w:t>
            </w:r>
            <w:r>
              <w:rPr>
                <w:sz w:val="20"/>
                <w:szCs w:val="20"/>
              </w:rPr>
              <w:fldChar w:fldCharType="end"/>
            </w:r>
          </w:p>
        </w:tc>
        <w:tc>
          <w:tcPr>
            <w:tcW w:w="1066" w:type="dxa"/>
            <w:vAlign w:val="center"/>
          </w:tcPr>
          <w:p w:rsidR="00046FDC" w:rsidRDefault="00AC5C24">
            <w:pPr>
              <w:jc w:val="center"/>
              <w:rPr>
                <w:sz w:val="20"/>
                <w:szCs w:val="20"/>
              </w:rPr>
            </w:pPr>
            <w:r>
              <w:rPr>
                <w:sz w:val="20"/>
                <w:szCs w:val="20"/>
              </w:rPr>
              <w:fldChar w:fldCharType="begin"/>
            </w:r>
            <w:r>
              <w:rPr>
                <w:sz w:val="20"/>
                <w:szCs w:val="20"/>
              </w:rPr>
              <w:instrText xml:space="preserve"> =SUM(ABOVE) </w:instrText>
            </w:r>
            <w:r>
              <w:rPr>
                <w:sz w:val="20"/>
                <w:szCs w:val="20"/>
              </w:rPr>
              <w:fldChar w:fldCharType="separate"/>
            </w:r>
            <w:r>
              <w:rPr>
                <w:noProof/>
                <w:sz w:val="20"/>
                <w:szCs w:val="20"/>
              </w:rPr>
              <w:t>250,2873</w:t>
            </w:r>
            <w:r>
              <w:rPr>
                <w:sz w:val="20"/>
                <w:szCs w:val="20"/>
              </w:rPr>
              <w:fldChar w:fldCharType="end"/>
            </w:r>
          </w:p>
        </w:tc>
        <w:tc>
          <w:tcPr>
            <w:tcW w:w="866" w:type="dxa"/>
            <w:vAlign w:val="center"/>
          </w:tcPr>
          <w:p w:rsidR="00046FDC" w:rsidRDefault="00640D9A">
            <w:pPr>
              <w:jc w:val="center"/>
              <w:rPr>
                <w:b/>
                <w:bCs/>
                <w:sz w:val="20"/>
                <w:szCs w:val="20"/>
              </w:rPr>
            </w:pPr>
            <w:r>
              <w:rPr>
                <w:b/>
                <w:bCs/>
                <w:sz w:val="20"/>
                <w:szCs w:val="20"/>
              </w:rPr>
              <w:fldChar w:fldCharType="begin"/>
            </w:r>
            <w:r>
              <w:rPr>
                <w:b/>
                <w:bCs/>
                <w:sz w:val="20"/>
                <w:szCs w:val="20"/>
              </w:rPr>
              <w:instrText xml:space="preserve"> =SUM(ABOVE) </w:instrText>
            </w:r>
            <w:r>
              <w:rPr>
                <w:b/>
                <w:bCs/>
                <w:sz w:val="20"/>
                <w:szCs w:val="20"/>
              </w:rPr>
              <w:fldChar w:fldCharType="separate"/>
            </w:r>
            <w:r>
              <w:rPr>
                <w:b/>
                <w:bCs/>
                <w:noProof/>
                <w:sz w:val="20"/>
                <w:szCs w:val="20"/>
              </w:rPr>
              <w:t>22,3694</w:t>
            </w:r>
            <w:r>
              <w:rPr>
                <w:b/>
                <w:bCs/>
                <w:sz w:val="20"/>
                <w:szCs w:val="20"/>
              </w:rPr>
              <w:fldChar w:fldCharType="end"/>
            </w:r>
          </w:p>
        </w:tc>
        <w:tc>
          <w:tcPr>
            <w:tcW w:w="902" w:type="dxa"/>
            <w:vAlign w:val="center"/>
          </w:tcPr>
          <w:p w:rsidR="00046FDC" w:rsidRDefault="00640D9A">
            <w:pPr>
              <w:jc w:val="center"/>
              <w:rPr>
                <w:b/>
                <w:bCs/>
                <w:sz w:val="20"/>
                <w:szCs w:val="20"/>
              </w:rPr>
            </w:pPr>
            <w:r>
              <w:rPr>
                <w:b/>
                <w:bCs/>
                <w:sz w:val="20"/>
                <w:szCs w:val="20"/>
              </w:rPr>
              <w:t>8,9</w:t>
            </w:r>
          </w:p>
        </w:tc>
        <w:tc>
          <w:tcPr>
            <w:tcW w:w="1440" w:type="dxa"/>
            <w:vAlign w:val="center"/>
          </w:tcPr>
          <w:p w:rsidR="00046FDC" w:rsidRDefault="00046FDC">
            <w:pPr>
              <w:jc w:val="center"/>
              <w:rPr>
                <w:b/>
                <w:bCs/>
                <w:sz w:val="20"/>
                <w:szCs w:val="20"/>
              </w:rPr>
            </w:pPr>
            <w:r>
              <w:rPr>
                <w:b/>
                <w:bCs/>
                <w:sz w:val="20"/>
                <w:szCs w:val="20"/>
              </w:rPr>
              <w:t>-12,6</w:t>
            </w:r>
          </w:p>
        </w:tc>
        <w:tc>
          <w:tcPr>
            <w:tcW w:w="1080" w:type="dxa"/>
            <w:vAlign w:val="center"/>
          </w:tcPr>
          <w:p w:rsidR="00046FDC" w:rsidRDefault="004F521E">
            <w:pPr>
              <w:jc w:val="center"/>
              <w:rPr>
                <w:b/>
                <w:bCs/>
                <w:sz w:val="20"/>
                <w:szCs w:val="20"/>
              </w:rPr>
            </w:pPr>
            <w:r>
              <w:rPr>
                <w:b/>
                <w:bCs/>
                <w:sz w:val="20"/>
                <w:szCs w:val="20"/>
              </w:rPr>
              <w:t>-66,8653</w:t>
            </w:r>
          </w:p>
        </w:tc>
        <w:tc>
          <w:tcPr>
            <w:tcW w:w="1080" w:type="dxa"/>
            <w:vAlign w:val="center"/>
          </w:tcPr>
          <w:p w:rsidR="00046FDC" w:rsidRDefault="004F521E">
            <w:pPr>
              <w:jc w:val="center"/>
              <w:rPr>
                <w:b/>
                <w:bCs/>
                <w:sz w:val="20"/>
                <w:szCs w:val="20"/>
              </w:rPr>
            </w:pPr>
            <w:r>
              <w:rPr>
                <w:b/>
                <w:bCs/>
                <w:sz w:val="20"/>
                <w:szCs w:val="20"/>
              </w:rPr>
              <w:t>-26,7</w:t>
            </w:r>
          </w:p>
        </w:tc>
      </w:tr>
    </w:tbl>
    <w:p w:rsidR="00012172" w:rsidRDefault="00012172"/>
    <w:p w:rsidR="00012172" w:rsidRDefault="00012172">
      <w:pPr>
        <w:rPr>
          <w:rFonts w:ascii="Arial" w:hAnsi="Arial" w:cs="Arial"/>
        </w:rPr>
      </w:pPr>
    </w:p>
    <w:p w:rsidR="00012172" w:rsidRDefault="00012172">
      <w:pPr>
        <w:rPr>
          <w:rFonts w:ascii="Arial" w:hAnsi="Arial" w:cs="Arial"/>
        </w:rPr>
      </w:pPr>
    </w:p>
    <w:p w:rsidR="007C5863" w:rsidRDefault="007C5863">
      <w:pPr>
        <w:rPr>
          <w:rFonts w:ascii="Arial" w:hAnsi="Arial" w:cs="Arial"/>
        </w:rPr>
      </w:pPr>
    </w:p>
    <w:p w:rsidR="007C5863" w:rsidRDefault="007C5863">
      <w:pPr>
        <w:rPr>
          <w:rFonts w:ascii="Arial" w:hAnsi="Arial" w:cs="Arial"/>
        </w:rPr>
        <w:sectPr w:rsidR="007C5863">
          <w:headerReference w:type="default" r:id="rId20"/>
          <w:footerReference w:type="even" r:id="rId21"/>
          <w:footerReference w:type="default" r:id="rId22"/>
          <w:type w:val="oddPage"/>
          <w:pgSz w:w="11906" w:h="16838"/>
          <w:pgMar w:top="1267" w:right="1411" w:bottom="1411" w:left="1411" w:header="720" w:footer="720" w:gutter="0"/>
          <w:cols w:space="720"/>
          <w:docGrid w:linePitch="360"/>
        </w:sectPr>
      </w:pPr>
    </w:p>
    <w:p w:rsidR="007C5863" w:rsidRDefault="007C5863">
      <w:pPr>
        <w:rPr>
          <w:rFonts w:ascii="Arial" w:hAnsi="Arial" w:cs="Arial"/>
        </w:rPr>
      </w:pPr>
    </w:p>
    <w:p w:rsidR="007C5863" w:rsidRDefault="007C5863" w:rsidP="007C5863">
      <w:pPr>
        <w:pStyle w:val="Opisslike"/>
        <w:keepNext/>
        <w:rPr>
          <w:b/>
          <w:bCs w:val="0"/>
        </w:rPr>
      </w:pPr>
      <w:r>
        <w:rPr>
          <w:b/>
          <w:bCs w:val="0"/>
        </w:rPr>
        <w:t xml:space="preserve">Tablica </w:t>
      </w:r>
      <w:r>
        <w:rPr>
          <w:b/>
          <w:bCs w:val="0"/>
        </w:rPr>
        <w:fldChar w:fldCharType="begin"/>
      </w:r>
      <w:r>
        <w:rPr>
          <w:b/>
          <w:bCs w:val="0"/>
        </w:rPr>
        <w:instrText xml:space="preserve"> SEQ Tablica \* ARABIC </w:instrText>
      </w:r>
      <w:r>
        <w:rPr>
          <w:b/>
          <w:bCs w:val="0"/>
        </w:rPr>
        <w:fldChar w:fldCharType="separate"/>
      </w:r>
      <w:r w:rsidR="002B1815">
        <w:rPr>
          <w:b/>
          <w:bCs w:val="0"/>
          <w:noProof/>
        </w:rPr>
        <w:t>13</w:t>
      </w:r>
      <w:r>
        <w:rPr>
          <w:b/>
          <w:bCs w:val="0"/>
        </w:rPr>
        <w:fldChar w:fldCharType="end"/>
      </w:r>
      <w:r>
        <w:rPr>
          <w:b/>
          <w:bCs w:val="0"/>
        </w:rPr>
        <w:t>3: Namjena površina</w:t>
      </w:r>
      <w:r w:rsidR="00225369">
        <w:rPr>
          <w:b/>
          <w:bCs w:val="0"/>
        </w:rPr>
        <w:t xml:space="preserve"> unutar naselja</w:t>
      </w:r>
    </w:p>
    <w:tbl>
      <w:tblPr>
        <w:tblW w:w="14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3"/>
        <w:gridCol w:w="1504"/>
        <w:gridCol w:w="1406"/>
        <w:gridCol w:w="1162"/>
        <w:gridCol w:w="154"/>
        <w:gridCol w:w="720"/>
        <w:gridCol w:w="939"/>
        <w:gridCol w:w="668"/>
        <w:gridCol w:w="939"/>
        <w:gridCol w:w="247"/>
        <w:gridCol w:w="510"/>
        <w:gridCol w:w="939"/>
        <w:gridCol w:w="767"/>
        <w:gridCol w:w="933"/>
        <w:gridCol w:w="38"/>
        <w:gridCol w:w="705"/>
        <w:gridCol w:w="1014"/>
        <w:gridCol w:w="732"/>
      </w:tblGrid>
      <w:tr w:rsidR="0012288D">
        <w:tc>
          <w:tcPr>
            <w:tcW w:w="1503" w:type="dxa"/>
            <w:vMerge w:val="restart"/>
          </w:tcPr>
          <w:p w:rsidR="0012288D" w:rsidRDefault="0012288D" w:rsidP="00632419">
            <w:pPr>
              <w:rPr>
                <w:rFonts w:ascii="Arial" w:hAnsi="Arial" w:cs="Arial"/>
                <w:b/>
                <w:sz w:val="20"/>
                <w:szCs w:val="20"/>
              </w:rPr>
            </w:pPr>
          </w:p>
        </w:tc>
        <w:tc>
          <w:tcPr>
            <w:tcW w:w="1504" w:type="dxa"/>
            <w:vMerge w:val="restart"/>
          </w:tcPr>
          <w:p w:rsidR="0012288D" w:rsidRDefault="0012288D" w:rsidP="00632419">
            <w:pPr>
              <w:rPr>
                <w:rFonts w:ascii="Arial" w:hAnsi="Arial" w:cs="Arial"/>
                <w:b/>
                <w:sz w:val="20"/>
                <w:szCs w:val="20"/>
              </w:rPr>
            </w:pPr>
          </w:p>
        </w:tc>
        <w:tc>
          <w:tcPr>
            <w:tcW w:w="1406" w:type="dxa"/>
            <w:vAlign w:val="center"/>
          </w:tcPr>
          <w:p w:rsidR="0012288D" w:rsidRDefault="0012288D" w:rsidP="007C5863">
            <w:pPr>
              <w:jc w:val="center"/>
              <w:rPr>
                <w:rFonts w:ascii="Arial" w:hAnsi="Arial" w:cs="Arial"/>
                <w:b/>
                <w:sz w:val="20"/>
                <w:szCs w:val="20"/>
              </w:rPr>
            </w:pPr>
            <w:r>
              <w:rPr>
                <w:rFonts w:ascii="Arial" w:hAnsi="Arial" w:cs="Arial"/>
                <w:b/>
                <w:sz w:val="20"/>
                <w:szCs w:val="20"/>
              </w:rPr>
              <w:t>Sveukupno</w:t>
            </w:r>
          </w:p>
          <w:p w:rsidR="0012288D" w:rsidRDefault="0012288D" w:rsidP="007C5863">
            <w:pPr>
              <w:jc w:val="center"/>
              <w:rPr>
                <w:rFonts w:ascii="Arial" w:hAnsi="Arial" w:cs="Arial"/>
                <w:b/>
                <w:sz w:val="20"/>
                <w:szCs w:val="20"/>
              </w:rPr>
            </w:pPr>
            <w:r>
              <w:rPr>
                <w:rFonts w:ascii="Arial" w:hAnsi="Arial" w:cs="Arial"/>
                <w:b/>
                <w:sz w:val="20"/>
                <w:szCs w:val="20"/>
              </w:rPr>
              <w:t>(ha)</w:t>
            </w:r>
          </w:p>
        </w:tc>
        <w:tc>
          <w:tcPr>
            <w:tcW w:w="2036" w:type="dxa"/>
            <w:gridSpan w:val="3"/>
            <w:vAlign w:val="center"/>
          </w:tcPr>
          <w:p w:rsidR="0012288D" w:rsidRDefault="0012288D" w:rsidP="007C5863">
            <w:pPr>
              <w:jc w:val="center"/>
              <w:rPr>
                <w:rFonts w:ascii="Arial" w:hAnsi="Arial" w:cs="Arial"/>
                <w:b/>
                <w:sz w:val="20"/>
                <w:szCs w:val="20"/>
              </w:rPr>
            </w:pPr>
            <w:r>
              <w:rPr>
                <w:rFonts w:ascii="Arial" w:hAnsi="Arial" w:cs="Arial"/>
                <w:b/>
                <w:sz w:val="20"/>
                <w:szCs w:val="20"/>
              </w:rPr>
              <w:t>Stambena namjena</w:t>
            </w:r>
          </w:p>
        </w:tc>
        <w:tc>
          <w:tcPr>
            <w:tcW w:w="1607" w:type="dxa"/>
            <w:gridSpan w:val="2"/>
            <w:vAlign w:val="center"/>
          </w:tcPr>
          <w:p w:rsidR="0012288D" w:rsidRDefault="0012288D" w:rsidP="007C5863">
            <w:pPr>
              <w:jc w:val="center"/>
              <w:rPr>
                <w:rFonts w:ascii="Arial" w:hAnsi="Arial" w:cs="Arial"/>
                <w:b/>
                <w:sz w:val="20"/>
                <w:szCs w:val="20"/>
              </w:rPr>
            </w:pPr>
            <w:r>
              <w:rPr>
                <w:rFonts w:ascii="Arial" w:hAnsi="Arial" w:cs="Arial"/>
                <w:b/>
                <w:sz w:val="20"/>
                <w:szCs w:val="20"/>
              </w:rPr>
              <w:t>Zelene površine</w:t>
            </w:r>
          </w:p>
        </w:tc>
        <w:tc>
          <w:tcPr>
            <w:tcW w:w="1696" w:type="dxa"/>
            <w:gridSpan w:val="3"/>
            <w:vAlign w:val="center"/>
          </w:tcPr>
          <w:p w:rsidR="0012288D" w:rsidRDefault="0012288D" w:rsidP="007C5863">
            <w:pPr>
              <w:jc w:val="center"/>
              <w:rPr>
                <w:rFonts w:ascii="Arial" w:hAnsi="Arial" w:cs="Arial"/>
                <w:b/>
                <w:sz w:val="20"/>
                <w:szCs w:val="20"/>
              </w:rPr>
            </w:pPr>
            <w:r>
              <w:rPr>
                <w:rFonts w:ascii="Arial" w:hAnsi="Arial" w:cs="Arial"/>
                <w:b/>
                <w:sz w:val="20"/>
                <w:szCs w:val="20"/>
              </w:rPr>
              <w:t>Javna namjena</w:t>
            </w:r>
          </w:p>
        </w:tc>
        <w:tc>
          <w:tcPr>
            <w:tcW w:w="1706" w:type="dxa"/>
            <w:gridSpan w:val="2"/>
            <w:vAlign w:val="center"/>
          </w:tcPr>
          <w:p w:rsidR="0012288D" w:rsidRDefault="0012288D" w:rsidP="007C5863">
            <w:pPr>
              <w:jc w:val="center"/>
              <w:rPr>
                <w:rFonts w:ascii="Arial" w:hAnsi="Arial" w:cs="Arial"/>
                <w:b/>
                <w:sz w:val="20"/>
                <w:szCs w:val="20"/>
              </w:rPr>
            </w:pPr>
            <w:r>
              <w:rPr>
                <w:rFonts w:ascii="Arial" w:hAnsi="Arial" w:cs="Arial"/>
                <w:b/>
                <w:sz w:val="20"/>
                <w:szCs w:val="20"/>
              </w:rPr>
              <w:t>Gospodarska namjena</w:t>
            </w:r>
          </w:p>
        </w:tc>
        <w:tc>
          <w:tcPr>
            <w:tcW w:w="1676" w:type="dxa"/>
            <w:gridSpan w:val="3"/>
            <w:vAlign w:val="center"/>
          </w:tcPr>
          <w:p w:rsidR="0012288D" w:rsidRDefault="0012288D" w:rsidP="007C5863">
            <w:pPr>
              <w:jc w:val="center"/>
              <w:rPr>
                <w:rFonts w:ascii="Arial" w:hAnsi="Arial" w:cs="Arial"/>
                <w:b/>
                <w:sz w:val="20"/>
                <w:szCs w:val="20"/>
              </w:rPr>
            </w:pPr>
            <w:r>
              <w:rPr>
                <w:rFonts w:ascii="Arial" w:hAnsi="Arial" w:cs="Arial"/>
                <w:b/>
                <w:sz w:val="20"/>
                <w:szCs w:val="20"/>
              </w:rPr>
              <w:t>Športske površine</w:t>
            </w:r>
          </w:p>
        </w:tc>
        <w:tc>
          <w:tcPr>
            <w:tcW w:w="1746" w:type="dxa"/>
            <w:gridSpan w:val="2"/>
            <w:vAlign w:val="center"/>
          </w:tcPr>
          <w:p w:rsidR="0012288D" w:rsidRDefault="0012288D" w:rsidP="007C5863">
            <w:pPr>
              <w:jc w:val="center"/>
              <w:rPr>
                <w:rFonts w:ascii="Arial" w:hAnsi="Arial" w:cs="Arial"/>
                <w:b/>
                <w:sz w:val="20"/>
                <w:szCs w:val="20"/>
              </w:rPr>
            </w:pPr>
            <w:r>
              <w:rPr>
                <w:rFonts w:ascii="Arial" w:hAnsi="Arial" w:cs="Arial"/>
                <w:b/>
                <w:sz w:val="20"/>
                <w:szCs w:val="20"/>
              </w:rPr>
              <w:t>Infrastruktura, groblje</w:t>
            </w:r>
            <w:r w:rsidR="00B23D6D">
              <w:rPr>
                <w:rFonts w:ascii="Arial" w:hAnsi="Arial" w:cs="Arial"/>
                <w:b/>
                <w:sz w:val="20"/>
                <w:szCs w:val="20"/>
              </w:rPr>
              <w:t xml:space="preserve"> i ostalo</w:t>
            </w:r>
          </w:p>
        </w:tc>
      </w:tr>
      <w:tr w:rsidR="0012288D">
        <w:tc>
          <w:tcPr>
            <w:tcW w:w="1503" w:type="dxa"/>
            <w:vMerge/>
          </w:tcPr>
          <w:p w:rsidR="0012288D" w:rsidRDefault="0012288D" w:rsidP="00632419">
            <w:pPr>
              <w:rPr>
                <w:rFonts w:ascii="Arial" w:hAnsi="Arial" w:cs="Arial"/>
                <w:sz w:val="20"/>
                <w:szCs w:val="20"/>
              </w:rPr>
            </w:pPr>
          </w:p>
        </w:tc>
        <w:tc>
          <w:tcPr>
            <w:tcW w:w="1504" w:type="dxa"/>
            <w:vMerge/>
          </w:tcPr>
          <w:p w:rsidR="0012288D" w:rsidRDefault="0012288D" w:rsidP="00632419">
            <w:pPr>
              <w:rPr>
                <w:rFonts w:ascii="Arial" w:hAnsi="Arial" w:cs="Arial"/>
                <w:sz w:val="20"/>
                <w:szCs w:val="20"/>
              </w:rPr>
            </w:pPr>
          </w:p>
        </w:tc>
        <w:tc>
          <w:tcPr>
            <w:tcW w:w="1406" w:type="dxa"/>
          </w:tcPr>
          <w:p w:rsidR="0012288D" w:rsidRDefault="0012288D" w:rsidP="00632419">
            <w:pPr>
              <w:rPr>
                <w:rFonts w:ascii="Arial" w:hAnsi="Arial" w:cs="Arial"/>
                <w:sz w:val="20"/>
                <w:szCs w:val="20"/>
              </w:rPr>
            </w:pPr>
          </w:p>
        </w:tc>
        <w:tc>
          <w:tcPr>
            <w:tcW w:w="1316" w:type="dxa"/>
            <w:gridSpan w:val="2"/>
            <w:vAlign w:val="center"/>
          </w:tcPr>
          <w:p w:rsidR="0012288D" w:rsidRDefault="0012288D" w:rsidP="00632419">
            <w:pPr>
              <w:jc w:val="center"/>
              <w:rPr>
                <w:rFonts w:ascii="Arial" w:hAnsi="Arial" w:cs="Arial"/>
                <w:sz w:val="22"/>
                <w:szCs w:val="22"/>
              </w:rPr>
            </w:pPr>
            <w:r>
              <w:rPr>
                <w:rFonts w:ascii="Arial" w:hAnsi="Arial" w:cs="Arial"/>
                <w:sz w:val="22"/>
                <w:szCs w:val="22"/>
              </w:rPr>
              <w:t>ha</w:t>
            </w:r>
          </w:p>
        </w:tc>
        <w:tc>
          <w:tcPr>
            <w:tcW w:w="720" w:type="dxa"/>
            <w:vAlign w:val="center"/>
          </w:tcPr>
          <w:p w:rsidR="0012288D" w:rsidRDefault="0012288D" w:rsidP="00632419">
            <w:pPr>
              <w:jc w:val="center"/>
              <w:rPr>
                <w:rFonts w:ascii="Arial" w:hAnsi="Arial" w:cs="Arial"/>
                <w:sz w:val="22"/>
                <w:szCs w:val="22"/>
              </w:rPr>
            </w:pPr>
            <w:r>
              <w:rPr>
                <w:rFonts w:ascii="Arial" w:hAnsi="Arial" w:cs="Arial"/>
                <w:sz w:val="22"/>
                <w:szCs w:val="22"/>
              </w:rPr>
              <w:t>%</w:t>
            </w:r>
          </w:p>
        </w:tc>
        <w:tc>
          <w:tcPr>
            <w:tcW w:w="939" w:type="dxa"/>
            <w:vAlign w:val="center"/>
          </w:tcPr>
          <w:p w:rsidR="0012288D" w:rsidRDefault="0012288D" w:rsidP="00632419">
            <w:pPr>
              <w:jc w:val="center"/>
              <w:rPr>
                <w:rFonts w:ascii="Arial" w:hAnsi="Arial" w:cs="Arial"/>
                <w:sz w:val="22"/>
                <w:szCs w:val="22"/>
              </w:rPr>
            </w:pPr>
            <w:r>
              <w:rPr>
                <w:rFonts w:ascii="Arial" w:hAnsi="Arial" w:cs="Arial"/>
                <w:sz w:val="22"/>
                <w:szCs w:val="22"/>
              </w:rPr>
              <w:t>ha</w:t>
            </w:r>
          </w:p>
        </w:tc>
        <w:tc>
          <w:tcPr>
            <w:tcW w:w="668" w:type="dxa"/>
            <w:vAlign w:val="center"/>
          </w:tcPr>
          <w:p w:rsidR="0012288D" w:rsidRDefault="0012288D" w:rsidP="00632419">
            <w:pPr>
              <w:jc w:val="center"/>
              <w:rPr>
                <w:rFonts w:ascii="Arial" w:hAnsi="Arial" w:cs="Arial"/>
                <w:sz w:val="22"/>
                <w:szCs w:val="22"/>
              </w:rPr>
            </w:pPr>
            <w:r>
              <w:rPr>
                <w:rFonts w:ascii="Arial" w:hAnsi="Arial" w:cs="Arial"/>
                <w:sz w:val="22"/>
                <w:szCs w:val="22"/>
              </w:rPr>
              <w:t>%</w:t>
            </w:r>
          </w:p>
        </w:tc>
        <w:tc>
          <w:tcPr>
            <w:tcW w:w="1186" w:type="dxa"/>
            <w:gridSpan w:val="2"/>
            <w:vAlign w:val="center"/>
          </w:tcPr>
          <w:p w:rsidR="0012288D" w:rsidRDefault="0012288D" w:rsidP="00632419">
            <w:pPr>
              <w:jc w:val="center"/>
              <w:rPr>
                <w:rFonts w:ascii="Arial" w:hAnsi="Arial" w:cs="Arial"/>
                <w:sz w:val="22"/>
                <w:szCs w:val="22"/>
              </w:rPr>
            </w:pPr>
            <w:r>
              <w:rPr>
                <w:rFonts w:ascii="Arial" w:hAnsi="Arial" w:cs="Arial"/>
                <w:sz w:val="22"/>
                <w:szCs w:val="22"/>
              </w:rPr>
              <w:t>ha</w:t>
            </w:r>
          </w:p>
        </w:tc>
        <w:tc>
          <w:tcPr>
            <w:tcW w:w="510" w:type="dxa"/>
            <w:vAlign w:val="center"/>
          </w:tcPr>
          <w:p w:rsidR="0012288D" w:rsidRDefault="0012288D" w:rsidP="00632419">
            <w:pPr>
              <w:jc w:val="center"/>
              <w:rPr>
                <w:rFonts w:ascii="Arial" w:hAnsi="Arial" w:cs="Arial"/>
                <w:sz w:val="22"/>
                <w:szCs w:val="22"/>
              </w:rPr>
            </w:pPr>
            <w:r>
              <w:rPr>
                <w:rFonts w:ascii="Arial" w:hAnsi="Arial" w:cs="Arial"/>
                <w:sz w:val="22"/>
                <w:szCs w:val="22"/>
              </w:rPr>
              <w:t>%</w:t>
            </w:r>
          </w:p>
        </w:tc>
        <w:tc>
          <w:tcPr>
            <w:tcW w:w="939" w:type="dxa"/>
            <w:vAlign w:val="center"/>
          </w:tcPr>
          <w:p w:rsidR="0012288D" w:rsidRDefault="0012288D" w:rsidP="00632419">
            <w:pPr>
              <w:jc w:val="center"/>
              <w:rPr>
                <w:rFonts w:ascii="Arial" w:hAnsi="Arial" w:cs="Arial"/>
                <w:sz w:val="22"/>
                <w:szCs w:val="22"/>
              </w:rPr>
            </w:pPr>
            <w:r>
              <w:rPr>
                <w:rFonts w:ascii="Arial" w:hAnsi="Arial" w:cs="Arial"/>
                <w:sz w:val="22"/>
                <w:szCs w:val="22"/>
              </w:rPr>
              <w:t>ha</w:t>
            </w:r>
          </w:p>
        </w:tc>
        <w:tc>
          <w:tcPr>
            <w:tcW w:w="767" w:type="dxa"/>
            <w:vAlign w:val="center"/>
          </w:tcPr>
          <w:p w:rsidR="0012288D" w:rsidRDefault="0012288D" w:rsidP="00632419">
            <w:pPr>
              <w:jc w:val="center"/>
              <w:rPr>
                <w:rFonts w:ascii="Arial" w:hAnsi="Arial" w:cs="Arial"/>
                <w:sz w:val="22"/>
                <w:szCs w:val="22"/>
              </w:rPr>
            </w:pPr>
            <w:r>
              <w:rPr>
                <w:rFonts w:ascii="Arial" w:hAnsi="Arial" w:cs="Arial"/>
                <w:sz w:val="22"/>
                <w:szCs w:val="22"/>
              </w:rPr>
              <w:t>%</w:t>
            </w:r>
          </w:p>
        </w:tc>
        <w:tc>
          <w:tcPr>
            <w:tcW w:w="971" w:type="dxa"/>
            <w:gridSpan w:val="2"/>
            <w:vAlign w:val="center"/>
          </w:tcPr>
          <w:p w:rsidR="0012288D" w:rsidRDefault="0012288D" w:rsidP="00632419">
            <w:pPr>
              <w:jc w:val="center"/>
              <w:rPr>
                <w:rFonts w:ascii="Arial" w:hAnsi="Arial" w:cs="Arial"/>
                <w:sz w:val="22"/>
                <w:szCs w:val="22"/>
              </w:rPr>
            </w:pPr>
            <w:r>
              <w:rPr>
                <w:rFonts w:ascii="Arial" w:hAnsi="Arial" w:cs="Arial"/>
                <w:sz w:val="22"/>
                <w:szCs w:val="22"/>
              </w:rPr>
              <w:t>ha</w:t>
            </w:r>
          </w:p>
        </w:tc>
        <w:tc>
          <w:tcPr>
            <w:tcW w:w="705" w:type="dxa"/>
            <w:vAlign w:val="center"/>
          </w:tcPr>
          <w:p w:rsidR="0012288D" w:rsidRDefault="0012288D" w:rsidP="00632419">
            <w:pPr>
              <w:jc w:val="center"/>
              <w:rPr>
                <w:rFonts w:ascii="Arial" w:hAnsi="Arial" w:cs="Arial"/>
                <w:sz w:val="22"/>
                <w:szCs w:val="22"/>
              </w:rPr>
            </w:pPr>
            <w:r>
              <w:rPr>
                <w:rFonts w:ascii="Arial" w:hAnsi="Arial" w:cs="Arial"/>
                <w:sz w:val="22"/>
                <w:szCs w:val="22"/>
              </w:rPr>
              <w:t>%</w:t>
            </w:r>
          </w:p>
        </w:tc>
        <w:tc>
          <w:tcPr>
            <w:tcW w:w="1014" w:type="dxa"/>
            <w:vAlign w:val="center"/>
          </w:tcPr>
          <w:p w:rsidR="0012288D" w:rsidRDefault="0012288D" w:rsidP="00632419">
            <w:pPr>
              <w:jc w:val="center"/>
              <w:rPr>
                <w:rFonts w:ascii="Arial" w:hAnsi="Arial" w:cs="Arial"/>
                <w:sz w:val="22"/>
                <w:szCs w:val="22"/>
              </w:rPr>
            </w:pPr>
            <w:r>
              <w:rPr>
                <w:rFonts w:ascii="Arial" w:hAnsi="Arial" w:cs="Arial"/>
                <w:sz w:val="22"/>
                <w:szCs w:val="22"/>
              </w:rPr>
              <w:t>ha</w:t>
            </w:r>
          </w:p>
        </w:tc>
        <w:tc>
          <w:tcPr>
            <w:tcW w:w="732" w:type="dxa"/>
            <w:vAlign w:val="center"/>
          </w:tcPr>
          <w:p w:rsidR="0012288D" w:rsidRDefault="0012288D" w:rsidP="00632419">
            <w:pPr>
              <w:jc w:val="center"/>
              <w:rPr>
                <w:rFonts w:ascii="Arial" w:hAnsi="Arial" w:cs="Arial"/>
                <w:sz w:val="22"/>
                <w:szCs w:val="22"/>
              </w:rPr>
            </w:pPr>
            <w:r>
              <w:rPr>
                <w:rFonts w:ascii="Arial" w:hAnsi="Arial" w:cs="Arial"/>
                <w:sz w:val="22"/>
                <w:szCs w:val="22"/>
              </w:rPr>
              <w:t>%</w:t>
            </w:r>
          </w:p>
        </w:tc>
      </w:tr>
      <w:tr w:rsidR="00FD1525">
        <w:tc>
          <w:tcPr>
            <w:tcW w:w="1503" w:type="dxa"/>
            <w:vMerge w:val="restart"/>
          </w:tcPr>
          <w:p w:rsidR="00FD1525" w:rsidRDefault="00FD1525" w:rsidP="00632419">
            <w:pPr>
              <w:rPr>
                <w:rFonts w:ascii="Arial" w:hAnsi="Arial" w:cs="Arial"/>
                <w:sz w:val="20"/>
                <w:szCs w:val="20"/>
              </w:rPr>
            </w:pPr>
            <w:r>
              <w:rPr>
                <w:rFonts w:ascii="Arial" w:hAnsi="Arial" w:cs="Arial"/>
                <w:sz w:val="20"/>
                <w:szCs w:val="20"/>
              </w:rPr>
              <w:t xml:space="preserve">Izgrađeno </w:t>
            </w:r>
          </w:p>
        </w:tc>
        <w:tc>
          <w:tcPr>
            <w:tcW w:w="1504" w:type="dxa"/>
            <w:vAlign w:val="bottom"/>
          </w:tcPr>
          <w:p w:rsidR="00FD1525" w:rsidRDefault="00FD1525" w:rsidP="00213657">
            <w:pPr>
              <w:rPr>
                <w:rFonts w:ascii="Arial" w:hAnsi="Arial" w:cs="Arial"/>
                <w:sz w:val="20"/>
                <w:szCs w:val="20"/>
              </w:rPr>
            </w:pPr>
            <w:r w:rsidRPr="0003329F">
              <w:rPr>
                <w:rFonts w:ascii="Arial" w:hAnsi="Arial" w:cs="Arial"/>
                <w:sz w:val="20"/>
                <w:szCs w:val="20"/>
              </w:rPr>
              <w:t>Barlabaševec</w:t>
            </w:r>
          </w:p>
        </w:tc>
        <w:tc>
          <w:tcPr>
            <w:tcW w:w="1406" w:type="dxa"/>
          </w:tcPr>
          <w:p w:rsidR="00FD1525" w:rsidRDefault="00FD1525" w:rsidP="00C1271B">
            <w:pPr>
              <w:jc w:val="center"/>
              <w:rPr>
                <w:rFonts w:ascii="Arial" w:hAnsi="Arial" w:cs="Arial"/>
                <w:sz w:val="20"/>
                <w:szCs w:val="20"/>
              </w:rPr>
            </w:pPr>
            <w:r>
              <w:rPr>
                <w:rFonts w:ascii="Arial" w:hAnsi="Arial" w:cs="Arial"/>
                <w:sz w:val="20"/>
                <w:szCs w:val="20"/>
              </w:rPr>
              <w:t>2,4916</w:t>
            </w:r>
          </w:p>
        </w:tc>
        <w:tc>
          <w:tcPr>
            <w:tcW w:w="1316" w:type="dxa"/>
            <w:gridSpan w:val="2"/>
          </w:tcPr>
          <w:p w:rsidR="00FD1525" w:rsidRDefault="00FD1525" w:rsidP="00052FA2">
            <w:pPr>
              <w:jc w:val="center"/>
              <w:rPr>
                <w:rFonts w:ascii="Arial" w:hAnsi="Arial" w:cs="Arial"/>
                <w:sz w:val="20"/>
                <w:szCs w:val="20"/>
              </w:rPr>
            </w:pPr>
            <w:r>
              <w:rPr>
                <w:rFonts w:ascii="Arial" w:hAnsi="Arial" w:cs="Arial"/>
                <w:sz w:val="20"/>
                <w:szCs w:val="20"/>
              </w:rPr>
              <w:t>2,4916</w:t>
            </w:r>
          </w:p>
        </w:tc>
        <w:tc>
          <w:tcPr>
            <w:tcW w:w="720" w:type="dxa"/>
          </w:tcPr>
          <w:p w:rsidR="00FD1525" w:rsidRDefault="00FD1525" w:rsidP="00632419">
            <w:pPr>
              <w:rPr>
                <w:rFonts w:ascii="Arial" w:hAnsi="Arial" w:cs="Arial"/>
                <w:sz w:val="20"/>
                <w:szCs w:val="20"/>
              </w:rPr>
            </w:pPr>
            <w:r>
              <w:rPr>
                <w:rFonts w:ascii="Arial" w:hAnsi="Arial" w:cs="Arial"/>
                <w:sz w:val="20"/>
                <w:szCs w:val="20"/>
              </w:rPr>
              <w:t>100</w:t>
            </w:r>
          </w:p>
        </w:tc>
        <w:tc>
          <w:tcPr>
            <w:tcW w:w="939" w:type="dxa"/>
          </w:tcPr>
          <w:p w:rsidR="00FD1525" w:rsidRDefault="00FD1525" w:rsidP="00FD1525">
            <w:pPr>
              <w:jc w:val="center"/>
            </w:pPr>
            <w:r w:rsidRPr="00BF5CF5">
              <w:rPr>
                <w:rFonts w:ascii="Arial" w:hAnsi="Arial" w:cs="Arial"/>
                <w:sz w:val="20"/>
                <w:szCs w:val="20"/>
              </w:rPr>
              <w:t>0</w:t>
            </w:r>
          </w:p>
        </w:tc>
        <w:tc>
          <w:tcPr>
            <w:tcW w:w="668" w:type="dxa"/>
          </w:tcPr>
          <w:p w:rsidR="00FD1525" w:rsidRDefault="00FD1525" w:rsidP="00FD1525">
            <w:pPr>
              <w:jc w:val="center"/>
            </w:pPr>
            <w:r w:rsidRPr="00A2240D">
              <w:rPr>
                <w:rFonts w:ascii="Arial" w:hAnsi="Arial" w:cs="Arial"/>
                <w:sz w:val="20"/>
                <w:szCs w:val="20"/>
              </w:rPr>
              <w:t>0</w:t>
            </w:r>
          </w:p>
        </w:tc>
        <w:tc>
          <w:tcPr>
            <w:tcW w:w="1186" w:type="dxa"/>
            <w:gridSpan w:val="2"/>
            <w:vAlign w:val="center"/>
          </w:tcPr>
          <w:p w:rsidR="00FD1525" w:rsidRDefault="00FD1525" w:rsidP="00C1271B">
            <w:pPr>
              <w:jc w:val="center"/>
              <w:rPr>
                <w:rFonts w:ascii="Arial" w:hAnsi="Arial" w:cs="Arial"/>
                <w:sz w:val="20"/>
                <w:szCs w:val="20"/>
              </w:rPr>
            </w:pPr>
            <w:r>
              <w:rPr>
                <w:rFonts w:ascii="Arial" w:hAnsi="Arial" w:cs="Arial"/>
                <w:sz w:val="20"/>
                <w:szCs w:val="20"/>
              </w:rPr>
              <w:t>0</w:t>
            </w:r>
          </w:p>
        </w:tc>
        <w:tc>
          <w:tcPr>
            <w:tcW w:w="510" w:type="dxa"/>
          </w:tcPr>
          <w:p w:rsidR="00FD1525" w:rsidRDefault="00FD1525" w:rsidP="00FD1525">
            <w:pPr>
              <w:jc w:val="center"/>
              <w:rPr>
                <w:rFonts w:ascii="AmerType Md BT" w:hAnsi="AmerType Md BT" w:cs="Arial"/>
                <w:sz w:val="20"/>
                <w:szCs w:val="20"/>
              </w:rPr>
            </w:pPr>
            <w:r>
              <w:rPr>
                <w:rFonts w:ascii="Arial" w:hAnsi="Arial" w:cs="Arial"/>
                <w:sz w:val="20"/>
                <w:szCs w:val="20"/>
              </w:rPr>
              <w:t>0</w:t>
            </w:r>
          </w:p>
        </w:tc>
        <w:tc>
          <w:tcPr>
            <w:tcW w:w="939" w:type="dxa"/>
            <w:vAlign w:val="center"/>
          </w:tcPr>
          <w:p w:rsidR="00FD1525" w:rsidRDefault="00FD1525" w:rsidP="00632419">
            <w:pPr>
              <w:jc w:val="center"/>
              <w:rPr>
                <w:rFonts w:ascii="Arial" w:hAnsi="Arial" w:cs="Arial"/>
                <w:sz w:val="20"/>
                <w:szCs w:val="20"/>
              </w:rPr>
            </w:pPr>
            <w:r>
              <w:rPr>
                <w:rFonts w:ascii="Arial" w:hAnsi="Arial" w:cs="Arial"/>
                <w:sz w:val="20"/>
                <w:szCs w:val="20"/>
              </w:rPr>
              <w:t>0</w:t>
            </w:r>
          </w:p>
        </w:tc>
        <w:tc>
          <w:tcPr>
            <w:tcW w:w="767" w:type="dxa"/>
          </w:tcPr>
          <w:p w:rsidR="00FD1525" w:rsidRDefault="00FD1525" w:rsidP="00FD1525">
            <w:pPr>
              <w:jc w:val="center"/>
            </w:pPr>
            <w:r w:rsidRPr="00AE1B42">
              <w:rPr>
                <w:rFonts w:ascii="Arial" w:hAnsi="Arial" w:cs="Arial"/>
                <w:sz w:val="20"/>
                <w:szCs w:val="20"/>
              </w:rPr>
              <w:t>0</w:t>
            </w:r>
          </w:p>
        </w:tc>
        <w:tc>
          <w:tcPr>
            <w:tcW w:w="971" w:type="dxa"/>
            <w:gridSpan w:val="2"/>
            <w:vAlign w:val="center"/>
          </w:tcPr>
          <w:p w:rsidR="00FD1525" w:rsidRDefault="00FD1525" w:rsidP="00632419">
            <w:pPr>
              <w:jc w:val="center"/>
              <w:rPr>
                <w:rFonts w:ascii="Arial" w:hAnsi="Arial" w:cs="Arial"/>
                <w:sz w:val="20"/>
                <w:szCs w:val="20"/>
              </w:rPr>
            </w:pPr>
            <w:r>
              <w:rPr>
                <w:rFonts w:ascii="Arial" w:hAnsi="Arial" w:cs="Arial"/>
                <w:sz w:val="20"/>
                <w:szCs w:val="20"/>
              </w:rPr>
              <w:t>0</w:t>
            </w:r>
          </w:p>
        </w:tc>
        <w:tc>
          <w:tcPr>
            <w:tcW w:w="705" w:type="dxa"/>
          </w:tcPr>
          <w:p w:rsidR="00FD1525" w:rsidRDefault="00FD1525">
            <w:r w:rsidRPr="00E03B91">
              <w:rPr>
                <w:rFonts w:ascii="Arial" w:hAnsi="Arial" w:cs="Arial"/>
                <w:sz w:val="20"/>
                <w:szCs w:val="20"/>
              </w:rPr>
              <w:t>0</w:t>
            </w:r>
          </w:p>
        </w:tc>
        <w:tc>
          <w:tcPr>
            <w:tcW w:w="1014" w:type="dxa"/>
          </w:tcPr>
          <w:p w:rsidR="00FD1525" w:rsidRDefault="00FD1525">
            <w:r w:rsidRPr="00E03B91">
              <w:rPr>
                <w:rFonts w:ascii="Arial" w:hAnsi="Arial" w:cs="Arial"/>
                <w:sz w:val="20"/>
                <w:szCs w:val="20"/>
              </w:rPr>
              <w:t>0</w:t>
            </w:r>
          </w:p>
        </w:tc>
        <w:tc>
          <w:tcPr>
            <w:tcW w:w="732" w:type="dxa"/>
          </w:tcPr>
          <w:p w:rsidR="00FD1525" w:rsidRDefault="00FD1525">
            <w:r w:rsidRPr="00E03B91">
              <w:rPr>
                <w:rFonts w:ascii="Arial" w:hAnsi="Arial" w:cs="Arial"/>
                <w:sz w:val="20"/>
                <w:szCs w:val="20"/>
              </w:rPr>
              <w:t>0</w:t>
            </w:r>
          </w:p>
        </w:tc>
      </w:tr>
      <w:tr w:rsidR="00FD1525">
        <w:tc>
          <w:tcPr>
            <w:tcW w:w="1503" w:type="dxa"/>
            <w:vMerge/>
          </w:tcPr>
          <w:p w:rsidR="00FD1525" w:rsidRDefault="00FD1525" w:rsidP="00632419">
            <w:pPr>
              <w:rPr>
                <w:rFonts w:ascii="Arial" w:hAnsi="Arial" w:cs="Arial"/>
                <w:sz w:val="20"/>
                <w:szCs w:val="20"/>
              </w:rPr>
            </w:pPr>
          </w:p>
        </w:tc>
        <w:tc>
          <w:tcPr>
            <w:tcW w:w="1504" w:type="dxa"/>
            <w:vAlign w:val="bottom"/>
          </w:tcPr>
          <w:p w:rsidR="00FD1525" w:rsidRDefault="00FD1525" w:rsidP="00213657">
            <w:pPr>
              <w:rPr>
                <w:rFonts w:ascii="Arial" w:hAnsi="Arial" w:cs="Arial"/>
                <w:sz w:val="20"/>
                <w:szCs w:val="20"/>
              </w:rPr>
            </w:pPr>
            <w:r w:rsidRPr="0003329F">
              <w:rPr>
                <w:rFonts w:ascii="Arial" w:hAnsi="Arial" w:cs="Arial"/>
                <w:sz w:val="20"/>
                <w:szCs w:val="20"/>
              </w:rPr>
              <w:t>Deklešanec</w:t>
            </w:r>
          </w:p>
        </w:tc>
        <w:tc>
          <w:tcPr>
            <w:tcW w:w="1406" w:type="dxa"/>
          </w:tcPr>
          <w:p w:rsidR="00FD1525" w:rsidRDefault="00FD1525" w:rsidP="00204469">
            <w:pPr>
              <w:jc w:val="center"/>
              <w:rPr>
                <w:rFonts w:ascii="Arial" w:hAnsi="Arial" w:cs="Arial"/>
                <w:sz w:val="20"/>
                <w:szCs w:val="20"/>
              </w:rPr>
            </w:pPr>
            <w:r>
              <w:rPr>
                <w:rFonts w:ascii="Arial" w:hAnsi="Arial" w:cs="Arial"/>
                <w:sz w:val="20"/>
                <w:szCs w:val="20"/>
              </w:rPr>
              <w:t>9,0553</w:t>
            </w:r>
          </w:p>
        </w:tc>
        <w:tc>
          <w:tcPr>
            <w:tcW w:w="1316" w:type="dxa"/>
            <w:gridSpan w:val="2"/>
          </w:tcPr>
          <w:p w:rsidR="00FD1525" w:rsidRDefault="00FD1525" w:rsidP="00204469">
            <w:pPr>
              <w:jc w:val="center"/>
              <w:rPr>
                <w:rFonts w:ascii="Arial" w:hAnsi="Arial" w:cs="Arial"/>
                <w:sz w:val="20"/>
                <w:szCs w:val="20"/>
              </w:rPr>
            </w:pPr>
            <w:r>
              <w:rPr>
                <w:rFonts w:ascii="Arial" w:hAnsi="Arial" w:cs="Arial"/>
                <w:sz w:val="20"/>
                <w:szCs w:val="20"/>
              </w:rPr>
              <w:t>7,4417</w:t>
            </w:r>
          </w:p>
        </w:tc>
        <w:tc>
          <w:tcPr>
            <w:tcW w:w="720" w:type="dxa"/>
          </w:tcPr>
          <w:p w:rsidR="00FD1525" w:rsidRDefault="00FD1525" w:rsidP="00632419">
            <w:pPr>
              <w:rPr>
                <w:rFonts w:ascii="Arial" w:hAnsi="Arial" w:cs="Arial"/>
                <w:sz w:val="20"/>
                <w:szCs w:val="20"/>
              </w:rPr>
            </w:pPr>
            <w:r>
              <w:rPr>
                <w:rFonts w:ascii="Arial" w:hAnsi="Arial" w:cs="Arial"/>
                <w:sz w:val="20"/>
                <w:szCs w:val="20"/>
              </w:rPr>
              <w:t>82,1</w:t>
            </w:r>
          </w:p>
        </w:tc>
        <w:tc>
          <w:tcPr>
            <w:tcW w:w="939" w:type="dxa"/>
          </w:tcPr>
          <w:p w:rsidR="00FD1525" w:rsidRDefault="00FD1525" w:rsidP="00FD1525">
            <w:pPr>
              <w:jc w:val="center"/>
            </w:pPr>
            <w:r w:rsidRPr="00BF5CF5">
              <w:rPr>
                <w:rFonts w:ascii="Arial" w:hAnsi="Arial" w:cs="Arial"/>
                <w:sz w:val="20"/>
                <w:szCs w:val="20"/>
              </w:rPr>
              <w:t>0</w:t>
            </w:r>
          </w:p>
        </w:tc>
        <w:tc>
          <w:tcPr>
            <w:tcW w:w="668" w:type="dxa"/>
          </w:tcPr>
          <w:p w:rsidR="00FD1525" w:rsidRDefault="00FD1525" w:rsidP="00FD1525">
            <w:pPr>
              <w:jc w:val="center"/>
            </w:pPr>
            <w:r w:rsidRPr="00A2240D">
              <w:rPr>
                <w:rFonts w:ascii="Arial" w:hAnsi="Arial" w:cs="Arial"/>
                <w:sz w:val="20"/>
                <w:szCs w:val="20"/>
              </w:rPr>
              <w:t>0</w:t>
            </w:r>
          </w:p>
        </w:tc>
        <w:tc>
          <w:tcPr>
            <w:tcW w:w="1186" w:type="dxa"/>
            <w:gridSpan w:val="2"/>
            <w:vAlign w:val="center"/>
          </w:tcPr>
          <w:p w:rsidR="00FD1525" w:rsidRDefault="00FD1525" w:rsidP="00632419">
            <w:pPr>
              <w:jc w:val="center"/>
              <w:rPr>
                <w:rFonts w:ascii="Arial" w:hAnsi="Arial" w:cs="Arial"/>
                <w:sz w:val="20"/>
                <w:szCs w:val="20"/>
              </w:rPr>
            </w:pPr>
            <w:r>
              <w:rPr>
                <w:rFonts w:ascii="Arial" w:hAnsi="Arial" w:cs="Arial"/>
                <w:sz w:val="20"/>
                <w:szCs w:val="20"/>
              </w:rPr>
              <w:t>0,1289</w:t>
            </w:r>
          </w:p>
        </w:tc>
        <w:tc>
          <w:tcPr>
            <w:tcW w:w="510" w:type="dxa"/>
          </w:tcPr>
          <w:p w:rsidR="00FD1525" w:rsidRDefault="00FD1525" w:rsidP="00632419">
            <w:pPr>
              <w:jc w:val="center"/>
              <w:rPr>
                <w:rFonts w:ascii="Arial" w:hAnsi="Arial" w:cs="Arial"/>
                <w:sz w:val="20"/>
                <w:szCs w:val="20"/>
              </w:rPr>
            </w:pPr>
            <w:r>
              <w:rPr>
                <w:rFonts w:ascii="Arial" w:hAnsi="Arial" w:cs="Arial"/>
                <w:sz w:val="20"/>
                <w:szCs w:val="20"/>
              </w:rPr>
              <w:t>1,4</w:t>
            </w:r>
          </w:p>
        </w:tc>
        <w:tc>
          <w:tcPr>
            <w:tcW w:w="939" w:type="dxa"/>
            <w:vAlign w:val="center"/>
          </w:tcPr>
          <w:p w:rsidR="00FD1525" w:rsidRDefault="00FD1525" w:rsidP="00632419">
            <w:pPr>
              <w:jc w:val="center"/>
              <w:rPr>
                <w:rFonts w:ascii="Arial" w:hAnsi="Arial" w:cs="Arial"/>
                <w:sz w:val="20"/>
                <w:szCs w:val="20"/>
              </w:rPr>
            </w:pPr>
            <w:r>
              <w:rPr>
                <w:rFonts w:ascii="Arial" w:hAnsi="Arial" w:cs="Arial"/>
                <w:sz w:val="20"/>
                <w:szCs w:val="20"/>
              </w:rPr>
              <w:t>0</w:t>
            </w:r>
          </w:p>
        </w:tc>
        <w:tc>
          <w:tcPr>
            <w:tcW w:w="767" w:type="dxa"/>
          </w:tcPr>
          <w:p w:rsidR="00FD1525" w:rsidRDefault="00FD1525" w:rsidP="00FD1525">
            <w:pPr>
              <w:jc w:val="center"/>
            </w:pPr>
            <w:r w:rsidRPr="00AE1B42">
              <w:rPr>
                <w:rFonts w:ascii="Arial" w:hAnsi="Arial" w:cs="Arial"/>
                <w:sz w:val="20"/>
                <w:szCs w:val="20"/>
              </w:rPr>
              <w:t>0</w:t>
            </w:r>
          </w:p>
        </w:tc>
        <w:tc>
          <w:tcPr>
            <w:tcW w:w="971" w:type="dxa"/>
            <w:gridSpan w:val="2"/>
            <w:vAlign w:val="center"/>
          </w:tcPr>
          <w:p w:rsidR="00FD1525" w:rsidRDefault="00FD1525" w:rsidP="00632419">
            <w:pPr>
              <w:jc w:val="center"/>
              <w:rPr>
                <w:rFonts w:ascii="Arial" w:hAnsi="Arial" w:cs="Arial"/>
                <w:sz w:val="20"/>
                <w:szCs w:val="20"/>
              </w:rPr>
            </w:pPr>
            <w:r>
              <w:rPr>
                <w:rFonts w:ascii="Arial" w:hAnsi="Arial" w:cs="Arial"/>
                <w:sz w:val="20"/>
                <w:szCs w:val="20"/>
              </w:rPr>
              <w:t>0,4020</w:t>
            </w:r>
          </w:p>
        </w:tc>
        <w:tc>
          <w:tcPr>
            <w:tcW w:w="705" w:type="dxa"/>
          </w:tcPr>
          <w:p w:rsidR="00FD1525" w:rsidRDefault="00FD1525" w:rsidP="00632419">
            <w:pPr>
              <w:jc w:val="center"/>
              <w:rPr>
                <w:rFonts w:ascii="Arial" w:hAnsi="Arial" w:cs="Arial"/>
                <w:sz w:val="20"/>
                <w:szCs w:val="20"/>
              </w:rPr>
            </w:pPr>
            <w:r>
              <w:rPr>
                <w:rFonts w:ascii="Arial" w:hAnsi="Arial" w:cs="Arial"/>
                <w:sz w:val="20"/>
                <w:szCs w:val="20"/>
              </w:rPr>
              <w:t>4,4</w:t>
            </w:r>
          </w:p>
        </w:tc>
        <w:tc>
          <w:tcPr>
            <w:tcW w:w="1014" w:type="dxa"/>
            <w:vAlign w:val="center"/>
          </w:tcPr>
          <w:p w:rsidR="00FD1525" w:rsidRDefault="00FD1525" w:rsidP="00632419">
            <w:pPr>
              <w:jc w:val="center"/>
              <w:rPr>
                <w:rFonts w:ascii="Arial" w:hAnsi="Arial" w:cs="Arial"/>
                <w:sz w:val="20"/>
                <w:szCs w:val="20"/>
              </w:rPr>
            </w:pPr>
            <w:r>
              <w:rPr>
                <w:rFonts w:ascii="Arial" w:hAnsi="Arial" w:cs="Arial"/>
                <w:sz w:val="20"/>
                <w:szCs w:val="20"/>
              </w:rPr>
              <w:t>1,0827</w:t>
            </w:r>
          </w:p>
        </w:tc>
        <w:tc>
          <w:tcPr>
            <w:tcW w:w="732" w:type="dxa"/>
          </w:tcPr>
          <w:p w:rsidR="00FD1525" w:rsidRDefault="00FD1525" w:rsidP="00632419">
            <w:pPr>
              <w:jc w:val="center"/>
              <w:rPr>
                <w:rFonts w:ascii="Arial" w:hAnsi="Arial" w:cs="Arial"/>
                <w:sz w:val="20"/>
                <w:szCs w:val="20"/>
              </w:rPr>
            </w:pPr>
            <w:r>
              <w:rPr>
                <w:rFonts w:ascii="Arial" w:hAnsi="Arial" w:cs="Arial"/>
                <w:sz w:val="20"/>
                <w:szCs w:val="20"/>
              </w:rPr>
              <w:t>11,9</w:t>
            </w:r>
          </w:p>
        </w:tc>
      </w:tr>
      <w:tr w:rsidR="00FD1525">
        <w:tc>
          <w:tcPr>
            <w:tcW w:w="1503" w:type="dxa"/>
            <w:vMerge/>
          </w:tcPr>
          <w:p w:rsidR="00FD1525" w:rsidRDefault="00FD1525" w:rsidP="00632419">
            <w:pPr>
              <w:rPr>
                <w:rFonts w:ascii="Arial" w:hAnsi="Arial" w:cs="Arial"/>
                <w:sz w:val="20"/>
                <w:szCs w:val="20"/>
              </w:rPr>
            </w:pPr>
          </w:p>
        </w:tc>
        <w:tc>
          <w:tcPr>
            <w:tcW w:w="1504" w:type="dxa"/>
            <w:vAlign w:val="bottom"/>
          </w:tcPr>
          <w:p w:rsidR="00FD1525" w:rsidRDefault="00FD1525" w:rsidP="00213657">
            <w:pPr>
              <w:rPr>
                <w:rFonts w:ascii="Arial" w:hAnsi="Arial" w:cs="Arial"/>
                <w:sz w:val="20"/>
                <w:szCs w:val="20"/>
              </w:rPr>
            </w:pPr>
            <w:r w:rsidRPr="0003329F">
              <w:rPr>
                <w:rFonts w:ascii="Arial" w:hAnsi="Arial" w:cs="Arial"/>
                <w:sz w:val="20"/>
                <w:szCs w:val="20"/>
              </w:rPr>
              <w:t>Donja Rijeka</w:t>
            </w:r>
          </w:p>
        </w:tc>
        <w:tc>
          <w:tcPr>
            <w:tcW w:w="1406" w:type="dxa"/>
          </w:tcPr>
          <w:p w:rsidR="00FD1525" w:rsidRDefault="00FD1525" w:rsidP="00753D67">
            <w:pPr>
              <w:jc w:val="center"/>
              <w:rPr>
                <w:rFonts w:ascii="Arial" w:hAnsi="Arial" w:cs="Arial"/>
                <w:sz w:val="20"/>
                <w:szCs w:val="20"/>
              </w:rPr>
            </w:pPr>
            <w:r>
              <w:rPr>
                <w:rFonts w:ascii="Arial" w:hAnsi="Arial" w:cs="Arial"/>
                <w:sz w:val="20"/>
                <w:szCs w:val="20"/>
              </w:rPr>
              <w:t>38,9428</w:t>
            </w:r>
          </w:p>
        </w:tc>
        <w:tc>
          <w:tcPr>
            <w:tcW w:w="1316" w:type="dxa"/>
            <w:gridSpan w:val="2"/>
          </w:tcPr>
          <w:p w:rsidR="00FD1525" w:rsidRDefault="00FD1525" w:rsidP="00632419">
            <w:pPr>
              <w:rPr>
                <w:rFonts w:ascii="Arial" w:hAnsi="Arial" w:cs="Arial"/>
                <w:sz w:val="20"/>
                <w:szCs w:val="20"/>
              </w:rPr>
            </w:pPr>
            <w:r>
              <w:rPr>
                <w:rFonts w:ascii="Arial" w:hAnsi="Arial" w:cs="Arial"/>
                <w:sz w:val="20"/>
                <w:szCs w:val="20"/>
              </w:rPr>
              <w:t>37,0591</w:t>
            </w:r>
          </w:p>
        </w:tc>
        <w:tc>
          <w:tcPr>
            <w:tcW w:w="720" w:type="dxa"/>
          </w:tcPr>
          <w:p w:rsidR="00FD1525" w:rsidRDefault="00FD1525" w:rsidP="00632419">
            <w:pPr>
              <w:rPr>
                <w:rFonts w:ascii="Arial" w:hAnsi="Arial" w:cs="Arial"/>
                <w:sz w:val="20"/>
                <w:szCs w:val="20"/>
              </w:rPr>
            </w:pPr>
            <w:r>
              <w:rPr>
                <w:rFonts w:ascii="Arial" w:hAnsi="Arial" w:cs="Arial"/>
                <w:sz w:val="20"/>
                <w:szCs w:val="20"/>
              </w:rPr>
              <w:t>95,1</w:t>
            </w:r>
          </w:p>
        </w:tc>
        <w:tc>
          <w:tcPr>
            <w:tcW w:w="939" w:type="dxa"/>
          </w:tcPr>
          <w:p w:rsidR="00FD1525" w:rsidRDefault="00FD1525" w:rsidP="00FD1525">
            <w:pPr>
              <w:jc w:val="center"/>
            </w:pPr>
            <w:r w:rsidRPr="00BF5CF5">
              <w:rPr>
                <w:rFonts w:ascii="Arial" w:hAnsi="Arial" w:cs="Arial"/>
                <w:sz w:val="20"/>
                <w:szCs w:val="20"/>
              </w:rPr>
              <w:t>0</w:t>
            </w:r>
          </w:p>
        </w:tc>
        <w:tc>
          <w:tcPr>
            <w:tcW w:w="668" w:type="dxa"/>
          </w:tcPr>
          <w:p w:rsidR="00FD1525" w:rsidRDefault="00FD1525" w:rsidP="00FD1525">
            <w:pPr>
              <w:jc w:val="center"/>
            </w:pPr>
            <w:r w:rsidRPr="00A2240D">
              <w:rPr>
                <w:rFonts w:ascii="Arial" w:hAnsi="Arial" w:cs="Arial"/>
                <w:sz w:val="20"/>
                <w:szCs w:val="20"/>
              </w:rPr>
              <w:t>0</w:t>
            </w:r>
          </w:p>
        </w:tc>
        <w:tc>
          <w:tcPr>
            <w:tcW w:w="1186" w:type="dxa"/>
            <w:gridSpan w:val="2"/>
            <w:vAlign w:val="center"/>
          </w:tcPr>
          <w:p w:rsidR="00FD1525" w:rsidRDefault="00FD1525" w:rsidP="000C678A">
            <w:pPr>
              <w:jc w:val="center"/>
              <w:rPr>
                <w:rFonts w:ascii="Arial" w:hAnsi="Arial" w:cs="Arial"/>
                <w:sz w:val="20"/>
                <w:szCs w:val="20"/>
              </w:rPr>
            </w:pPr>
            <w:r>
              <w:rPr>
                <w:rFonts w:ascii="Arial" w:hAnsi="Arial" w:cs="Arial"/>
                <w:sz w:val="20"/>
                <w:szCs w:val="20"/>
              </w:rPr>
              <w:t>0</w:t>
            </w:r>
          </w:p>
        </w:tc>
        <w:tc>
          <w:tcPr>
            <w:tcW w:w="510" w:type="dxa"/>
          </w:tcPr>
          <w:p w:rsidR="00FD1525" w:rsidRDefault="00FD1525" w:rsidP="00FD1525">
            <w:pPr>
              <w:jc w:val="center"/>
              <w:rPr>
                <w:rFonts w:ascii="AmerType Md BT" w:hAnsi="AmerType Md BT" w:cs="Arial"/>
                <w:sz w:val="20"/>
                <w:szCs w:val="20"/>
              </w:rPr>
            </w:pPr>
            <w:r>
              <w:rPr>
                <w:rFonts w:ascii="Arial" w:hAnsi="Arial" w:cs="Arial"/>
                <w:sz w:val="20"/>
                <w:szCs w:val="20"/>
              </w:rPr>
              <w:t>0</w:t>
            </w:r>
          </w:p>
        </w:tc>
        <w:tc>
          <w:tcPr>
            <w:tcW w:w="939" w:type="dxa"/>
            <w:vAlign w:val="center"/>
          </w:tcPr>
          <w:p w:rsidR="00FD1525" w:rsidRDefault="00FD1525" w:rsidP="00632419">
            <w:pPr>
              <w:jc w:val="center"/>
              <w:rPr>
                <w:rFonts w:ascii="Arial" w:hAnsi="Arial" w:cs="Arial"/>
                <w:sz w:val="20"/>
                <w:szCs w:val="20"/>
              </w:rPr>
            </w:pPr>
            <w:r>
              <w:rPr>
                <w:rFonts w:ascii="Arial" w:hAnsi="Arial" w:cs="Arial"/>
                <w:sz w:val="20"/>
                <w:szCs w:val="20"/>
              </w:rPr>
              <w:t>0</w:t>
            </w:r>
          </w:p>
        </w:tc>
        <w:tc>
          <w:tcPr>
            <w:tcW w:w="767" w:type="dxa"/>
          </w:tcPr>
          <w:p w:rsidR="00FD1525" w:rsidRDefault="00FD1525" w:rsidP="00FD1525">
            <w:pPr>
              <w:jc w:val="center"/>
            </w:pPr>
            <w:r w:rsidRPr="00AE1B42">
              <w:rPr>
                <w:rFonts w:ascii="Arial" w:hAnsi="Arial" w:cs="Arial"/>
                <w:sz w:val="20"/>
                <w:szCs w:val="20"/>
              </w:rPr>
              <w:t>0</w:t>
            </w:r>
          </w:p>
        </w:tc>
        <w:tc>
          <w:tcPr>
            <w:tcW w:w="971" w:type="dxa"/>
            <w:gridSpan w:val="2"/>
            <w:vAlign w:val="center"/>
          </w:tcPr>
          <w:p w:rsidR="00FD1525" w:rsidRDefault="00FD1525" w:rsidP="00632419">
            <w:pPr>
              <w:jc w:val="center"/>
              <w:rPr>
                <w:rFonts w:ascii="Arial" w:hAnsi="Arial" w:cs="Arial"/>
                <w:sz w:val="20"/>
                <w:szCs w:val="20"/>
              </w:rPr>
            </w:pPr>
            <w:r>
              <w:rPr>
                <w:rFonts w:ascii="Arial" w:hAnsi="Arial" w:cs="Arial"/>
                <w:sz w:val="20"/>
                <w:szCs w:val="20"/>
              </w:rPr>
              <w:t>0</w:t>
            </w:r>
          </w:p>
        </w:tc>
        <w:tc>
          <w:tcPr>
            <w:tcW w:w="705" w:type="dxa"/>
          </w:tcPr>
          <w:p w:rsidR="00FD1525" w:rsidRDefault="00FD1525" w:rsidP="00632419">
            <w:pPr>
              <w:jc w:val="center"/>
              <w:rPr>
                <w:rFonts w:ascii="Arial" w:hAnsi="Arial" w:cs="Arial"/>
                <w:sz w:val="20"/>
                <w:szCs w:val="20"/>
              </w:rPr>
            </w:pPr>
            <w:r>
              <w:rPr>
                <w:rFonts w:ascii="Arial" w:hAnsi="Arial" w:cs="Arial"/>
                <w:sz w:val="20"/>
                <w:szCs w:val="20"/>
              </w:rPr>
              <w:t>0</w:t>
            </w:r>
          </w:p>
        </w:tc>
        <w:tc>
          <w:tcPr>
            <w:tcW w:w="1014" w:type="dxa"/>
            <w:vAlign w:val="center"/>
          </w:tcPr>
          <w:p w:rsidR="00FD1525" w:rsidRDefault="00FD1525" w:rsidP="00632419">
            <w:pPr>
              <w:jc w:val="center"/>
              <w:rPr>
                <w:rFonts w:ascii="Arial" w:hAnsi="Arial" w:cs="Arial"/>
                <w:sz w:val="20"/>
                <w:szCs w:val="20"/>
              </w:rPr>
            </w:pPr>
            <w:r>
              <w:rPr>
                <w:rFonts w:ascii="Arial" w:hAnsi="Arial" w:cs="Arial"/>
                <w:sz w:val="20"/>
                <w:szCs w:val="20"/>
              </w:rPr>
              <w:t>1,8837</w:t>
            </w:r>
          </w:p>
        </w:tc>
        <w:tc>
          <w:tcPr>
            <w:tcW w:w="732" w:type="dxa"/>
          </w:tcPr>
          <w:p w:rsidR="00FD1525" w:rsidRDefault="00FD1525" w:rsidP="00632419">
            <w:pPr>
              <w:jc w:val="center"/>
              <w:rPr>
                <w:rFonts w:ascii="Arial" w:hAnsi="Arial" w:cs="Arial"/>
                <w:sz w:val="20"/>
                <w:szCs w:val="20"/>
              </w:rPr>
            </w:pPr>
            <w:r>
              <w:rPr>
                <w:rFonts w:ascii="Arial" w:hAnsi="Arial" w:cs="Arial"/>
                <w:sz w:val="20"/>
                <w:szCs w:val="20"/>
              </w:rPr>
              <w:t>4,9</w:t>
            </w:r>
          </w:p>
        </w:tc>
      </w:tr>
      <w:tr w:rsidR="00FD1525">
        <w:tc>
          <w:tcPr>
            <w:tcW w:w="1503" w:type="dxa"/>
            <w:vMerge/>
          </w:tcPr>
          <w:p w:rsidR="00FD1525" w:rsidRDefault="00FD1525" w:rsidP="00632419">
            <w:pPr>
              <w:rPr>
                <w:rFonts w:ascii="Arial" w:hAnsi="Arial" w:cs="Arial"/>
                <w:sz w:val="20"/>
                <w:szCs w:val="20"/>
              </w:rPr>
            </w:pPr>
          </w:p>
        </w:tc>
        <w:tc>
          <w:tcPr>
            <w:tcW w:w="1504" w:type="dxa"/>
            <w:vAlign w:val="bottom"/>
          </w:tcPr>
          <w:p w:rsidR="00FD1525" w:rsidRDefault="00FD1525" w:rsidP="00213657">
            <w:pPr>
              <w:rPr>
                <w:rFonts w:ascii="Arial" w:hAnsi="Arial" w:cs="Arial"/>
                <w:sz w:val="20"/>
                <w:szCs w:val="20"/>
              </w:rPr>
            </w:pPr>
            <w:r w:rsidRPr="0003329F">
              <w:rPr>
                <w:rFonts w:ascii="Arial" w:hAnsi="Arial" w:cs="Arial"/>
                <w:sz w:val="20"/>
                <w:szCs w:val="20"/>
              </w:rPr>
              <w:t>Dropkovec</w:t>
            </w:r>
          </w:p>
        </w:tc>
        <w:tc>
          <w:tcPr>
            <w:tcW w:w="1406" w:type="dxa"/>
          </w:tcPr>
          <w:p w:rsidR="00FD1525" w:rsidRDefault="00FD1525" w:rsidP="00FF2DB1">
            <w:pPr>
              <w:jc w:val="center"/>
              <w:rPr>
                <w:rFonts w:ascii="Arial" w:hAnsi="Arial" w:cs="Arial"/>
                <w:sz w:val="20"/>
                <w:szCs w:val="20"/>
              </w:rPr>
            </w:pPr>
            <w:r>
              <w:rPr>
                <w:rFonts w:ascii="Arial" w:hAnsi="Arial" w:cs="Arial"/>
                <w:sz w:val="20"/>
                <w:szCs w:val="20"/>
              </w:rPr>
              <w:t>17,0271</w:t>
            </w:r>
          </w:p>
        </w:tc>
        <w:tc>
          <w:tcPr>
            <w:tcW w:w="1316" w:type="dxa"/>
            <w:gridSpan w:val="2"/>
          </w:tcPr>
          <w:p w:rsidR="00FD1525" w:rsidRDefault="00FD1525" w:rsidP="00632419">
            <w:pPr>
              <w:rPr>
                <w:rFonts w:ascii="Arial" w:hAnsi="Arial" w:cs="Arial"/>
                <w:sz w:val="20"/>
                <w:szCs w:val="20"/>
              </w:rPr>
            </w:pPr>
            <w:r>
              <w:rPr>
                <w:rFonts w:ascii="Arial" w:hAnsi="Arial" w:cs="Arial"/>
                <w:sz w:val="20"/>
                <w:szCs w:val="20"/>
              </w:rPr>
              <w:t>13,6949</w:t>
            </w:r>
          </w:p>
        </w:tc>
        <w:tc>
          <w:tcPr>
            <w:tcW w:w="720" w:type="dxa"/>
          </w:tcPr>
          <w:p w:rsidR="00FD1525" w:rsidRDefault="00FD1525" w:rsidP="00632419">
            <w:pPr>
              <w:rPr>
                <w:rFonts w:ascii="Arial" w:hAnsi="Arial" w:cs="Arial"/>
                <w:sz w:val="20"/>
                <w:szCs w:val="20"/>
              </w:rPr>
            </w:pPr>
            <w:r>
              <w:rPr>
                <w:rFonts w:ascii="Arial" w:hAnsi="Arial" w:cs="Arial"/>
                <w:sz w:val="20"/>
                <w:szCs w:val="20"/>
              </w:rPr>
              <w:t>80,4</w:t>
            </w:r>
          </w:p>
        </w:tc>
        <w:tc>
          <w:tcPr>
            <w:tcW w:w="939" w:type="dxa"/>
          </w:tcPr>
          <w:p w:rsidR="00FD1525" w:rsidRDefault="00FD1525" w:rsidP="00FD1525">
            <w:pPr>
              <w:jc w:val="center"/>
            </w:pPr>
            <w:r w:rsidRPr="00BF5CF5">
              <w:rPr>
                <w:rFonts w:ascii="Arial" w:hAnsi="Arial" w:cs="Arial"/>
                <w:sz w:val="20"/>
                <w:szCs w:val="20"/>
              </w:rPr>
              <w:t>0</w:t>
            </w:r>
          </w:p>
        </w:tc>
        <w:tc>
          <w:tcPr>
            <w:tcW w:w="668" w:type="dxa"/>
          </w:tcPr>
          <w:p w:rsidR="00FD1525" w:rsidRDefault="00FD1525" w:rsidP="00FD1525">
            <w:pPr>
              <w:jc w:val="center"/>
            </w:pPr>
            <w:r w:rsidRPr="00A2240D">
              <w:rPr>
                <w:rFonts w:ascii="Arial" w:hAnsi="Arial" w:cs="Arial"/>
                <w:sz w:val="20"/>
                <w:szCs w:val="20"/>
              </w:rPr>
              <w:t>0</w:t>
            </w:r>
          </w:p>
        </w:tc>
        <w:tc>
          <w:tcPr>
            <w:tcW w:w="1186" w:type="dxa"/>
            <w:gridSpan w:val="2"/>
            <w:vAlign w:val="center"/>
          </w:tcPr>
          <w:p w:rsidR="00FD1525" w:rsidRDefault="00FD1525" w:rsidP="00632419">
            <w:pPr>
              <w:jc w:val="center"/>
              <w:rPr>
                <w:rFonts w:ascii="Arial" w:hAnsi="Arial" w:cs="Arial"/>
                <w:sz w:val="20"/>
                <w:szCs w:val="20"/>
              </w:rPr>
            </w:pPr>
            <w:r>
              <w:rPr>
                <w:rFonts w:ascii="Arial" w:hAnsi="Arial" w:cs="Arial"/>
                <w:sz w:val="20"/>
                <w:szCs w:val="20"/>
              </w:rPr>
              <w:t>0,3087</w:t>
            </w:r>
          </w:p>
        </w:tc>
        <w:tc>
          <w:tcPr>
            <w:tcW w:w="510" w:type="dxa"/>
          </w:tcPr>
          <w:p w:rsidR="00FD1525" w:rsidRDefault="00FD1525" w:rsidP="00632419">
            <w:pPr>
              <w:jc w:val="center"/>
              <w:rPr>
                <w:rFonts w:ascii="Arial" w:hAnsi="Arial" w:cs="Arial"/>
                <w:sz w:val="20"/>
                <w:szCs w:val="20"/>
              </w:rPr>
            </w:pPr>
            <w:r>
              <w:rPr>
                <w:rFonts w:ascii="Arial" w:hAnsi="Arial" w:cs="Arial"/>
                <w:sz w:val="20"/>
                <w:szCs w:val="20"/>
              </w:rPr>
              <w:t>1,8</w:t>
            </w:r>
          </w:p>
        </w:tc>
        <w:tc>
          <w:tcPr>
            <w:tcW w:w="939" w:type="dxa"/>
            <w:vAlign w:val="center"/>
          </w:tcPr>
          <w:p w:rsidR="00FD1525" w:rsidRDefault="00FD1525" w:rsidP="00632419">
            <w:pPr>
              <w:jc w:val="center"/>
              <w:rPr>
                <w:rFonts w:ascii="Arial" w:hAnsi="Arial" w:cs="Arial"/>
                <w:sz w:val="20"/>
                <w:szCs w:val="20"/>
              </w:rPr>
            </w:pPr>
            <w:r>
              <w:rPr>
                <w:rFonts w:ascii="Arial" w:hAnsi="Arial" w:cs="Arial"/>
                <w:sz w:val="20"/>
                <w:szCs w:val="20"/>
              </w:rPr>
              <w:t>0,6799</w:t>
            </w:r>
          </w:p>
        </w:tc>
        <w:tc>
          <w:tcPr>
            <w:tcW w:w="767" w:type="dxa"/>
          </w:tcPr>
          <w:p w:rsidR="00FD1525" w:rsidRDefault="00FD1525" w:rsidP="00632419">
            <w:pPr>
              <w:jc w:val="center"/>
              <w:rPr>
                <w:rFonts w:ascii="Arial" w:hAnsi="Arial" w:cs="Arial"/>
                <w:sz w:val="20"/>
                <w:szCs w:val="20"/>
              </w:rPr>
            </w:pPr>
            <w:r>
              <w:rPr>
                <w:rFonts w:ascii="Arial" w:hAnsi="Arial" w:cs="Arial"/>
                <w:sz w:val="20"/>
                <w:szCs w:val="20"/>
              </w:rPr>
              <w:t>3,9</w:t>
            </w:r>
          </w:p>
        </w:tc>
        <w:tc>
          <w:tcPr>
            <w:tcW w:w="971" w:type="dxa"/>
            <w:gridSpan w:val="2"/>
            <w:vAlign w:val="center"/>
          </w:tcPr>
          <w:p w:rsidR="00FD1525" w:rsidRDefault="00FD1525" w:rsidP="00632419">
            <w:pPr>
              <w:jc w:val="center"/>
              <w:rPr>
                <w:rFonts w:ascii="Arial" w:hAnsi="Arial" w:cs="Arial"/>
                <w:sz w:val="20"/>
                <w:szCs w:val="20"/>
              </w:rPr>
            </w:pPr>
            <w:r>
              <w:rPr>
                <w:rFonts w:ascii="Arial" w:hAnsi="Arial" w:cs="Arial"/>
                <w:sz w:val="20"/>
                <w:szCs w:val="20"/>
              </w:rPr>
              <w:t>0,3</w:t>
            </w:r>
          </w:p>
        </w:tc>
        <w:tc>
          <w:tcPr>
            <w:tcW w:w="705" w:type="dxa"/>
          </w:tcPr>
          <w:p w:rsidR="00FD1525" w:rsidRDefault="00FD1525" w:rsidP="00632419">
            <w:pPr>
              <w:jc w:val="center"/>
              <w:rPr>
                <w:rFonts w:ascii="Arial" w:hAnsi="Arial" w:cs="Arial"/>
                <w:sz w:val="20"/>
                <w:szCs w:val="20"/>
              </w:rPr>
            </w:pPr>
            <w:r>
              <w:rPr>
                <w:rFonts w:ascii="Arial" w:hAnsi="Arial" w:cs="Arial"/>
                <w:sz w:val="20"/>
                <w:szCs w:val="20"/>
              </w:rPr>
              <w:t>1,8</w:t>
            </w:r>
          </w:p>
        </w:tc>
        <w:tc>
          <w:tcPr>
            <w:tcW w:w="1014" w:type="dxa"/>
            <w:vAlign w:val="center"/>
          </w:tcPr>
          <w:p w:rsidR="00FD1525" w:rsidRDefault="00FD1525" w:rsidP="00632419">
            <w:pPr>
              <w:jc w:val="center"/>
              <w:rPr>
                <w:rFonts w:ascii="Arial" w:hAnsi="Arial" w:cs="Arial"/>
                <w:sz w:val="20"/>
                <w:szCs w:val="20"/>
              </w:rPr>
            </w:pPr>
            <w:r>
              <w:rPr>
                <w:rFonts w:ascii="Arial" w:hAnsi="Arial" w:cs="Arial"/>
                <w:sz w:val="20"/>
                <w:szCs w:val="20"/>
              </w:rPr>
              <w:t>2,2875</w:t>
            </w:r>
          </w:p>
        </w:tc>
        <w:tc>
          <w:tcPr>
            <w:tcW w:w="732" w:type="dxa"/>
          </w:tcPr>
          <w:p w:rsidR="00FD1525" w:rsidRDefault="00FD1525" w:rsidP="00632419">
            <w:pPr>
              <w:jc w:val="center"/>
              <w:rPr>
                <w:rFonts w:ascii="Arial" w:hAnsi="Arial" w:cs="Arial"/>
                <w:sz w:val="20"/>
                <w:szCs w:val="20"/>
              </w:rPr>
            </w:pPr>
            <w:r>
              <w:rPr>
                <w:rFonts w:ascii="Arial" w:hAnsi="Arial" w:cs="Arial"/>
                <w:sz w:val="20"/>
                <w:szCs w:val="20"/>
              </w:rPr>
              <w:t>13,4</w:t>
            </w:r>
          </w:p>
        </w:tc>
      </w:tr>
      <w:tr w:rsidR="00FD1525">
        <w:tc>
          <w:tcPr>
            <w:tcW w:w="1503" w:type="dxa"/>
            <w:vMerge/>
          </w:tcPr>
          <w:p w:rsidR="00FD1525" w:rsidRDefault="00FD1525" w:rsidP="00632419">
            <w:pPr>
              <w:rPr>
                <w:rFonts w:ascii="Arial" w:hAnsi="Arial" w:cs="Arial"/>
                <w:sz w:val="20"/>
                <w:szCs w:val="20"/>
              </w:rPr>
            </w:pPr>
          </w:p>
        </w:tc>
        <w:tc>
          <w:tcPr>
            <w:tcW w:w="1504" w:type="dxa"/>
            <w:vAlign w:val="bottom"/>
          </w:tcPr>
          <w:p w:rsidR="00FD1525" w:rsidRDefault="00FD1525" w:rsidP="00213657">
            <w:pPr>
              <w:rPr>
                <w:rFonts w:ascii="Arial" w:hAnsi="Arial" w:cs="Arial"/>
                <w:sz w:val="20"/>
                <w:szCs w:val="20"/>
              </w:rPr>
            </w:pPr>
            <w:r w:rsidRPr="0003329F">
              <w:rPr>
                <w:rFonts w:ascii="Arial" w:hAnsi="Arial" w:cs="Arial"/>
                <w:sz w:val="20"/>
                <w:szCs w:val="20"/>
              </w:rPr>
              <w:t>Fajerovec</w:t>
            </w:r>
          </w:p>
        </w:tc>
        <w:tc>
          <w:tcPr>
            <w:tcW w:w="1406" w:type="dxa"/>
          </w:tcPr>
          <w:p w:rsidR="00FD1525" w:rsidRDefault="00FD1525" w:rsidP="00911679">
            <w:pPr>
              <w:jc w:val="center"/>
              <w:rPr>
                <w:rFonts w:ascii="Arial" w:hAnsi="Arial" w:cs="Arial"/>
                <w:sz w:val="20"/>
                <w:szCs w:val="20"/>
              </w:rPr>
            </w:pPr>
            <w:r>
              <w:rPr>
                <w:rFonts w:ascii="Arial" w:hAnsi="Arial" w:cs="Arial"/>
                <w:sz w:val="20"/>
                <w:szCs w:val="20"/>
              </w:rPr>
              <w:t>4,8796</w:t>
            </w:r>
          </w:p>
        </w:tc>
        <w:tc>
          <w:tcPr>
            <w:tcW w:w="1316" w:type="dxa"/>
            <w:gridSpan w:val="2"/>
          </w:tcPr>
          <w:p w:rsidR="00FD1525" w:rsidRDefault="00FD1525" w:rsidP="00087CF6">
            <w:pPr>
              <w:jc w:val="center"/>
              <w:rPr>
                <w:rFonts w:ascii="Arial" w:hAnsi="Arial" w:cs="Arial"/>
                <w:sz w:val="20"/>
                <w:szCs w:val="20"/>
              </w:rPr>
            </w:pPr>
            <w:r>
              <w:rPr>
                <w:rFonts w:ascii="Arial" w:hAnsi="Arial" w:cs="Arial"/>
                <w:sz w:val="20"/>
                <w:szCs w:val="20"/>
              </w:rPr>
              <w:t>4,5331</w:t>
            </w:r>
          </w:p>
        </w:tc>
        <w:tc>
          <w:tcPr>
            <w:tcW w:w="720" w:type="dxa"/>
          </w:tcPr>
          <w:p w:rsidR="00FD1525" w:rsidRDefault="00FD1525" w:rsidP="00632419">
            <w:pPr>
              <w:rPr>
                <w:rFonts w:ascii="Arial" w:hAnsi="Arial" w:cs="Arial"/>
                <w:sz w:val="20"/>
                <w:szCs w:val="20"/>
              </w:rPr>
            </w:pPr>
            <w:r>
              <w:rPr>
                <w:rFonts w:ascii="Arial" w:hAnsi="Arial" w:cs="Arial"/>
                <w:sz w:val="20"/>
                <w:szCs w:val="20"/>
              </w:rPr>
              <w:t>92,8</w:t>
            </w:r>
          </w:p>
        </w:tc>
        <w:tc>
          <w:tcPr>
            <w:tcW w:w="939" w:type="dxa"/>
          </w:tcPr>
          <w:p w:rsidR="00FD1525" w:rsidRDefault="00FD1525" w:rsidP="00FD1525">
            <w:pPr>
              <w:jc w:val="center"/>
            </w:pPr>
            <w:r w:rsidRPr="00BF5CF5">
              <w:rPr>
                <w:rFonts w:ascii="Arial" w:hAnsi="Arial" w:cs="Arial"/>
                <w:sz w:val="20"/>
                <w:szCs w:val="20"/>
              </w:rPr>
              <w:t>0</w:t>
            </w:r>
          </w:p>
        </w:tc>
        <w:tc>
          <w:tcPr>
            <w:tcW w:w="668" w:type="dxa"/>
          </w:tcPr>
          <w:p w:rsidR="00FD1525" w:rsidRDefault="00FD1525" w:rsidP="00FD1525">
            <w:pPr>
              <w:jc w:val="center"/>
            </w:pPr>
            <w:r w:rsidRPr="00A2240D">
              <w:rPr>
                <w:rFonts w:ascii="Arial" w:hAnsi="Arial" w:cs="Arial"/>
                <w:sz w:val="20"/>
                <w:szCs w:val="20"/>
              </w:rPr>
              <w:t>0</w:t>
            </w:r>
          </w:p>
        </w:tc>
        <w:tc>
          <w:tcPr>
            <w:tcW w:w="1186" w:type="dxa"/>
            <w:gridSpan w:val="2"/>
            <w:vAlign w:val="center"/>
          </w:tcPr>
          <w:p w:rsidR="00FD1525" w:rsidRDefault="00FD1525" w:rsidP="00632419">
            <w:pPr>
              <w:jc w:val="center"/>
              <w:rPr>
                <w:rFonts w:ascii="Arial" w:hAnsi="Arial" w:cs="Arial"/>
                <w:sz w:val="20"/>
                <w:szCs w:val="20"/>
              </w:rPr>
            </w:pPr>
            <w:r>
              <w:rPr>
                <w:rFonts w:ascii="Arial" w:hAnsi="Arial" w:cs="Arial"/>
                <w:sz w:val="20"/>
                <w:szCs w:val="20"/>
              </w:rPr>
              <w:t>0</w:t>
            </w:r>
          </w:p>
        </w:tc>
        <w:tc>
          <w:tcPr>
            <w:tcW w:w="510" w:type="dxa"/>
          </w:tcPr>
          <w:p w:rsidR="00FD1525" w:rsidRDefault="00FD1525" w:rsidP="00FD1525">
            <w:pPr>
              <w:jc w:val="center"/>
              <w:rPr>
                <w:rFonts w:ascii="AmerType Md BT" w:hAnsi="AmerType Md BT" w:cs="Arial"/>
                <w:sz w:val="20"/>
                <w:szCs w:val="20"/>
              </w:rPr>
            </w:pPr>
            <w:r>
              <w:rPr>
                <w:rFonts w:ascii="Arial" w:hAnsi="Arial" w:cs="Arial"/>
                <w:sz w:val="20"/>
                <w:szCs w:val="20"/>
              </w:rPr>
              <w:t>0</w:t>
            </w:r>
          </w:p>
        </w:tc>
        <w:tc>
          <w:tcPr>
            <w:tcW w:w="939" w:type="dxa"/>
            <w:vAlign w:val="center"/>
          </w:tcPr>
          <w:p w:rsidR="00FD1525" w:rsidRDefault="00FD1525" w:rsidP="00632419">
            <w:pPr>
              <w:jc w:val="center"/>
              <w:rPr>
                <w:rFonts w:ascii="Arial" w:hAnsi="Arial" w:cs="Arial"/>
                <w:sz w:val="20"/>
                <w:szCs w:val="20"/>
              </w:rPr>
            </w:pPr>
            <w:r>
              <w:rPr>
                <w:rFonts w:ascii="Arial" w:hAnsi="Arial" w:cs="Arial"/>
                <w:sz w:val="20"/>
                <w:szCs w:val="20"/>
              </w:rPr>
              <w:t>0</w:t>
            </w:r>
          </w:p>
        </w:tc>
        <w:tc>
          <w:tcPr>
            <w:tcW w:w="767" w:type="dxa"/>
          </w:tcPr>
          <w:p w:rsidR="00FD1525" w:rsidRDefault="00FD1525" w:rsidP="00FD1525">
            <w:pPr>
              <w:jc w:val="center"/>
            </w:pPr>
            <w:r w:rsidRPr="007D26E3">
              <w:rPr>
                <w:rFonts w:ascii="Arial" w:hAnsi="Arial" w:cs="Arial"/>
                <w:sz w:val="20"/>
                <w:szCs w:val="20"/>
              </w:rPr>
              <w:t>0</w:t>
            </w:r>
          </w:p>
        </w:tc>
        <w:tc>
          <w:tcPr>
            <w:tcW w:w="971" w:type="dxa"/>
            <w:gridSpan w:val="2"/>
            <w:vAlign w:val="center"/>
          </w:tcPr>
          <w:p w:rsidR="00FD1525" w:rsidRDefault="00FD1525" w:rsidP="00632419">
            <w:pPr>
              <w:jc w:val="center"/>
              <w:rPr>
                <w:rFonts w:ascii="Arial" w:hAnsi="Arial" w:cs="Arial"/>
                <w:sz w:val="20"/>
                <w:szCs w:val="20"/>
              </w:rPr>
            </w:pPr>
            <w:r>
              <w:rPr>
                <w:rFonts w:ascii="Arial" w:hAnsi="Arial" w:cs="Arial"/>
                <w:sz w:val="20"/>
                <w:szCs w:val="20"/>
              </w:rPr>
              <w:t>0</w:t>
            </w:r>
          </w:p>
        </w:tc>
        <w:tc>
          <w:tcPr>
            <w:tcW w:w="705" w:type="dxa"/>
          </w:tcPr>
          <w:p w:rsidR="00FD1525" w:rsidRDefault="00FD1525" w:rsidP="00632419">
            <w:pPr>
              <w:jc w:val="center"/>
              <w:rPr>
                <w:rFonts w:ascii="Arial" w:hAnsi="Arial" w:cs="Arial"/>
                <w:sz w:val="20"/>
                <w:szCs w:val="20"/>
              </w:rPr>
            </w:pPr>
            <w:r>
              <w:rPr>
                <w:rFonts w:ascii="Arial" w:hAnsi="Arial" w:cs="Arial"/>
                <w:sz w:val="20"/>
                <w:szCs w:val="20"/>
              </w:rPr>
              <w:t>0</w:t>
            </w:r>
          </w:p>
        </w:tc>
        <w:tc>
          <w:tcPr>
            <w:tcW w:w="1014" w:type="dxa"/>
            <w:vAlign w:val="center"/>
          </w:tcPr>
          <w:p w:rsidR="00FD1525" w:rsidRDefault="00FD1525" w:rsidP="00632419">
            <w:pPr>
              <w:jc w:val="center"/>
              <w:rPr>
                <w:rFonts w:ascii="Arial" w:hAnsi="Arial" w:cs="Arial"/>
                <w:sz w:val="20"/>
                <w:szCs w:val="20"/>
              </w:rPr>
            </w:pPr>
            <w:r>
              <w:rPr>
                <w:rFonts w:ascii="Arial" w:hAnsi="Arial" w:cs="Arial"/>
                <w:sz w:val="20"/>
                <w:szCs w:val="20"/>
              </w:rPr>
              <w:t>0,3465</w:t>
            </w:r>
          </w:p>
        </w:tc>
        <w:tc>
          <w:tcPr>
            <w:tcW w:w="732" w:type="dxa"/>
          </w:tcPr>
          <w:p w:rsidR="00FD1525" w:rsidRDefault="00FD1525" w:rsidP="00632419">
            <w:pPr>
              <w:jc w:val="center"/>
              <w:rPr>
                <w:rFonts w:ascii="Arial" w:hAnsi="Arial" w:cs="Arial"/>
                <w:sz w:val="20"/>
                <w:szCs w:val="20"/>
              </w:rPr>
            </w:pPr>
            <w:r>
              <w:rPr>
                <w:rFonts w:ascii="Arial" w:hAnsi="Arial" w:cs="Arial"/>
                <w:sz w:val="20"/>
                <w:szCs w:val="20"/>
              </w:rPr>
              <w:t>7,2</w:t>
            </w:r>
          </w:p>
        </w:tc>
      </w:tr>
      <w:tr w:rsidR="00FD1525">
        <w:tc>
          <w:tcPr>
            <w:tcW w:w="1503" w:type="dxa"/>
            <w:vMerge/>
          </w:tcPr>
          <w:p w:rsidR="00FD1525" w:rsidRDefault="00FD1525" w:rsidP="00632419">
            <w:pPr>
              <w:rPr>
                <w:rFonts w:ascii="Arial" w:hAnsi="Arial" w:cs="Arial"/>
                <w:sz w:val="20"/>
                <w:szCs w:val="20"/>
              </w:rPr>
            </w:pPr>
          </w:p>
        </w:tc>
        <w:tc>
          <w:tcPr>
            <w:tcW w:w="1504" w:type="dxa"/>
            <w:vAlign w:val="bottom"/>
          </w:tcPr>
          <w:p w:rsidR="00FD1525" w:rsidRDefault="00FD1525" w:rsidP="00213657">
            <w:pPr>
              <w:rPr>
                <w:rFonts w:ascii="Arial" w:hAnsi="Arial" w:cs="Arial"/>
                <w:sz w:val="20"/>
                <w:szCs w:val="20"/>
              </w:rPr>
            </w:pPr>
            <w:r w:rsidRPr="0003329F">
              <w:rPr>
                <w:rFonts w:ascii="Arial" w:hAnsi="Arial" w:cs="Arial"/>
                <w:sz w:val="20"/>
                <w:szCs w:val="20"/>
              </w:rPr>
              <w:t>Fodrovec R</w:t>
            </w:r>
            <w:r>
              <w:rPr>
                <w:rFonts w:ascii="Arial" w:hAnsi="Arial" w:cs="Arial"/>
                <w:sz w:val="20"/>
                <w:szCs w:val="20"/>
              </w:rPr>
              <w:t>.</w:t>
            </w:r>
          </w:p>
        </w:tc>
        <w:tc>
          <w:tcPr>
            <w:tcW w:w="1406" w:type="dxa"/>
            <w:vAlign w:val="center"/>
          </w:tcPr>
          <w:p w:rsidR="00FD1525" w:rsidRPr="00D14A4E" w:rsidRDefault="00FD1525" w:rsidP="00213657">
            <w:pPr>
              <w:jc w:val="center"/>
              <w:rPr>
                <w:rFonts w:ascii="Arial" w:hAnsi="Arial" w:cs="Arial"/>
                <w:sz w:val="20"/>
                <w:szCs w:val="20"/>
              </w:rPr>
            </w:pPr>
            <w:r w:rsidRPr="00D14A4E">
              <w:rPr>
                <w:rFonts w:ascii="Arial" w:hAnsi="Arial" w:cs="Arial"/>
                <w:sz w:val="20"/>
                <w:szCs w:val="20"/>
              </w:rPr>
              <w:t>4,7979</w:t>
            </w:r>
          </w:p>
        </w:tc>
        <w:tc>
          <w:tcPr>
            <w:tcW w:w="1316" w:type="dxa"/>
            <w:gridSpan w:val="2"/>
          </w:tcPr>
          <w:p w:rsidR="00FD1525" w:rsidRDefault="00FD1525" w:rsidP="006C239A">
            <w:pPr>
              <w:jc w:val="center"/>
              <w:rPr>
                <w:rFonts w:ascii="Arial" w:hAnsi="Arial" w:cs="Arial"/>
                <w:sz w:val="20"/>
                <w:szCs w:val="20"/>
              </w:rPr>
            </w:pPr>
            <w:r>
              <w:rPr>
                <w:rFonts w:ascii="Arial" w:hAnsi="Arial" w:cs="Arial"/>
                <w:sz w:val="20"/>
                <w:szCs w:val="20"/>
              </w:rPr>
              <w:t>4,3913</w:t>
            </w:r>
          </w:p>
        </w:tc>
        <w:tc>
          <w:tcPr>
            <w:tcW w:w="720" w:type="dxa"/>
          </w:tcPr>
          <w:p w:rsidR="00FD1525" w:rsidRDefault="00FD1525" w:rsidP="00632419">
            <w:pPr>
              <w:rPr>
                <w:rFonts w:ascii="Arial" w:hAnsi="Arial" w:cs="Arial"/>
                <w:sz w:val="20"/>
                <w:szCs w:val="20"/>
              </w:rPr>
            </w:pPr>
            <w:r>
              <w:rPr>
                <w:rFonts w:ascii="Arial" w:hAnsi="Arial" w:cs="Arial"/>
                <w:sz w:val="20"/>
                <w:szCs w:val="20"/>
              </w:rPr>
              <w:t>91,5</w:t>
            </w:r>
          </w:p>
        </w:tc>
        <w:tc>
          <w:tcPr>
            <w:tcW w:w="939" w:type="dxa"/>
          </w:tcPr>
          <w:p w:rsidR="00FD1525" w:rsidRDefault="00FD1525" w:rsidP="00FD1525">
            <w:pPr>
              <w:jc w:val="center"/>
            </w:pPr>
            <w:r w:rsidRPr="00BF5CF5">
              <w:rPr>
                <w:rFonts w:ascii="Arial" w:hAnsi="Arial" w:cs="Arial"/>
                <w:sz w:val="20"/>
                <w:szCs w:val="20"/>
              </w:rPr>
              <w:t>0</w:t>
            </w:r>
          </w:p>
        </w:tc>
        <w:tc>
          <w:tcPr>
            <w:tcW w:w="668" w:type="dxa"/>
          </w:tcPr>
          <w:p w:rsidR="00FD1525" w:rsidRDefault="00FD1525" w:rsidP="00FD1525">
            <w:pPr>
              <w:jc w:val="center"/>
            </w:pPr>
            <w:r w:rsidRPr="00A2240D">
              <w:rPr>
                <w:rFonts w:ascii="Arial" w:hAnsi="Arial" w:cs="Arial"/>
                <w:sz w:val="20"/>
                <w:szCs w:val="20"/>
              </w:rPr>
              <w:t>0</w:t>
            </w:r>
          </w:p>
        </w:tc>
        <w:tc>
          <w:tcPr>
            <w:tcW w:w="1186" w:type="dxa"/>
            <w:gridSpan w:val="2"/>
            <w:vAlign w:val="center"/>
          </w:tcPr>
          <w:p w:rsidR="00FD1525" w:rsidRDefault="00FD1525" w:rsidP="00632419">
            <w:pPr>
              <w:jc w:val="center"/>
              <w:rPr>
                <w:rFonts w:ascii="Arial" w:hAnsi="Arial" w:cs="Arial"/>
                <w:sz w:val="20"/>
                <w:szCs w:val="20"/>
              </w:rPr>
            </w:pPr>
            <w:r>
              <w:rPr>
                <w:rFonts w:ascii="Arial" w:hAnsi="Arial" w:cs="Arial"/>
                <w:sz w:val="20"/>
                <w:szCs w:val="20"/>
              </w:rPr>
              <w:t>0,0196</w:t>
            </w:r>
          </w:p>
        </w:tc>
        <w:tc>
          <w:tcPr>
            <w:tcW w:w="510" w:type="dxa"/>
          </w:tcPr>
          <w:p w:rsidR="00FD1525" w:rsidRDefault="00FD1525" w:rsidP="00632419">
            <w:pPr>
              <w:jc w:val="center"/>
              <w:rPr>
                <w:rFonts w:ascii="Arial" w:hAnsi="Arial" w:cs="Arial"/>
                <w:sz w:val="20"/>
                <w:szCs w:val="20"/>
              </w:rPr>
            </w:pPr>
            <w:r>
              <w:rPr>
                <w:rFonts w:ascii="Arial" w:hAnsi="Arial" w:cs="Arial"/>
                <w:sz w:val="20"/>
                <w:szCs w:val="20"/>
              </w:rPr>
              <w:t>0,4</w:t>
            </w:r>
          </w:p>
        </w:tc>
        <w:tc>
          <w:tcPr>
            <w:tcW w:w="939" w:type="dxa"/>
            <w:vAlign w:val="center"/>
          </w:tcPr>
          <w:p w:rsidR="00FD1525" w:rsidRDefault="00FD1525" w:rsidP="00632419">
            <w:pPr>
              <w:jc w:val="center"/>
              <w:rPr>
                <w:rFonts w:ascii="Arial" w:hAnsi="Arial" w:cs="Arial"/>
                <w:sz w:val="20"/>
                <w:szCs w:val="20"/>
              </w:rPr>
            </w:pPr>
            <w:r>
              <w:rPr>
                <w:rFonts w:ascii="Arial" w:hAnsi="Arial" w:cs="Arial"/>
                <w:sz w:val="20"/>
                <w:szCs w:val="20"/>
              </w:rPr>
              <w:t>0</w:t>
            </w:r>
          </w:p>
        </w:tc>
        <w:tc>
          <w:tcPr>
            <w:tcW w:w="767" w:type="dxa"/>
          </w:tcPr>
          <w:p w:rsidR="00FD1525" w:rsidRDefault="00FD1525" w:rsidP="00FD1525">
            <w:pPr>
              <w:jc w:val="center"/>
            </w:pPr>
            <w:r w:rsidRPr="007D26E3">
              <w:rPr>
                <w:rFonts w:ascii="Arial" w:hAnsi="Arial" w:cs="Arial"/>
                <w:sz w:val="20"/>
                <w:szCs w:val="20"/>
              </w:rPr>
              <w:t>0</w:t>
            </w:r>
          </w:p>
        </w:tc>
        <w:tc>
          <w:tcPr>
            <w:tcW w:w="971" w:type="dxa"/>
            <w:gridSpan w:val="2"/>
            <w:vAlign w:val="center"/>
          </w:tcPr>
          <w:p w:rsidR="00FD1525" w:rsidRDefault="00FD1525" w:rsidP="00632419">
            <w:pPr>
              <w:jc w:val="center"/>
              <w:rPr>
                <w:rFonts w:ascii="Arial" w:hAnsi="Arial" w:cs="Arial"/>
                <w:sz w:val="20"/>
                <w:szCs w:val="20"/>
              </w:rPr>
            </w:pPr>
            <w:r>
              <w:rPr>
                <w:rFonts w:ascii="Arial" w:hAnsi="Arial" w:cs="Arial"/>
                <w:sz w:val="20"/>
                <w:szCs w:val="20"/>
              </w:rPr>
              <w:t>0</w:t>
            </w:r>
          </w:p>
        </w:tc>
        <w:tc>
          <w:tcPr>
            <w:tcW w:w="705" w:type="dxa"/>
          </w:tcPr>
          <w:p w:rsidR="00FD1525" w:rsidRDefault="00FD1525" w:rsidP="00632419">
            <w:pPr>
              <w:jc w:val="center"/>
              <w:rPr>
                <w:rFonts w:ascii="Arial" w:hAnsi="Arial" w:cs="Arial"/>
                <w:sz w:val="20"/>
                <w:szCs w:val="20"/>
              </w:rPr>
            </w:pPr>
            <w:r>
              <w:rPr>
                <w:rFonts w:ascii="Arial" w:hAnsi="Arial" w:cs="Arial"/>
                <w:sz w:val="20"/>
                <w:szCs w:val="20"/>
              </w:rPr>
              <w:t>0</w:t>
            </w:r>
          </w:p>
        </w:tc>
        <w:tc>
          <w:tcPr>
            <w:tcW w:w="1014" w:type="dxa"/>
            <w:vAlign w:val="center"/>
          </w:tcPr>
          <w:p w:rsidR="00FD1525" w:rsidRDefault="00FD1525" w:rsidP="00632419">
            <w:pPr>
              <w:jc w:val="center"/>
              <w:rPr>
                <w:rFonts w:ascii="Arial" w:hAnsi="Arial" w:cs="Arial"/>
                <w:sz w:val="20"/>
                <w:szCs w:val="20"/>
              </w:rPr>
            </w:pPr>
            <w:r>
              <w:rPr>
                <w:rFonts w:ascii="Arial" w:hAnsi="Arial" w:cs="Arial"/>
                <w:sz w:val="20"/>
                <w:szCs w:val="20"/>
              </w:rPr>
              <w:t>0,387</w:t>
            </w:r>
          </w:p>
        </w:tc>
        <w:tc>
          <w:tcPr>
            <w:tcW w:w="732" w:type="dxa"/>
          </w:tcPr>
          <w:p w:rsidR="00FD1525" w:rsidRDefault="00FD1525" w:rsidP="00632419">
            <w:pPr>
              <w:jc w:val="center"/>
              <w:rPr>
                <w:rFonts w:ascii="Arial" w:hAnsi="Arial" w:cs="Arial"/>
                <w:sz w:val="20"/>
                <w:szCs w:val="20"/>
              </w:rPr>
            </w:pPr>
            <w:r>
              <w:rPr>
                <w:rFonts w:ascii="Arial" w:hAnsi="Arial" w:cs="Arial"/>
                <w:sz w:val="20"/>
                <w:szCs w:val="20"/>
              </w:rPr>
              <w:t>8,0</w:t>
            </w:r>
          </w:p>
        </w:tc>
      </w:tr>
      <w:tr w:rsidR="00FD1525">
        <w:tc>
          <w:tcPr>
            <w:tcW w:w="1503" w:type="dxa"/>
            <w:vMerge/>
          </w:tcPr>
          <w:p w:rsidR="00FD1525" w:rsidRDefault="00FD1525" w:rsidP="00632419">
            <w:pPr>
              <w:rPr>
                <w:rFonts w:ascii="Arial" w:hAnsi="Arial" w:cs="Arial"/>
                <w:sz w:val="20"/>
                <w:szCs w:val="20"/>
              </w:rPr>
            </w:pPr>
          </w:p>
        </w:tc>
        <w:tc>
          <w:tcPr>
            <w:tcW w:w="1504" w:type="dxa"/>
            <w:vAlign w:val="bottom"/>
          </w:tcPr>
          <w:p w:rsidR="00FD1525" w:rsidRDefault="00FD1525" w:rsidP="00213657">
            <w:pPr>
              <w:rPr>
                <w:rFonts w:ascii="Arial" w:hAnsi="Arial" w:cs="Arial"/>
                <w:sz w:val="20"/>
                <w:szCs w:val="20"/>
              </w:rPr>
            </w:pPr>
            <w:r w:rsidRPr="0003329F">
              <w:rPr>
                <w:rFonts w:ascii="Arial" w:hAnsi="Arial" w:cs="Arial"/>
                <w:sz w:val="20"/>
                <w:szCs w:val="20"/>
              </w:rPr>
              <w:t>Gornja Rijeka</w:t>
            </w:r>
          </w:p>
        </w:tc>
        <w:tc>
          <w:tcPr>
            <w:tcW w:w="1406" w:type="dxa"/>
          </w:tcPr>
          <w:p w:rsidR="00FD1525" w:rsidRDefault="00FD1525" w:rsidP="00AE72A2">
            <w:pPr>
              <w:jc w:val="center"/>
              <w:rPr>
                <w:rFonts w:ascii="Arial" w:hAnsi="Arial" w:cs="Arial"/>
                <w:sz w:val="20"/>
                <w:szCs w:val="20"/>
              </w:rPr>
            </w:pPr>
            <w:r>
              <w:rPr>
                <w:rFonts w:ascii="Arial" w:hAnsi="Arial" w:cs="Arial"/>
                <w:sz w:val="20"/>
                <w:szCs w:val="20"/>
              </w:rPr>
              <w:t>42,6782</w:t>
            </w:r>
          </w:p>
        </w:tc>
        <w:tc>
          <w:tcPr>
            <w:tcW w:w="1316" w:type="dxa"/>
            <w:gridSpan w:val="2"/>
          </w:tcPr>
          <w:p w:rsidR="00FD1525" w:rsidRDefault="00FD1525" w:rsidP="006C239A">
            <w:pPr>
              <w:jc w:val="center"/>
              <w:rPr>
                <w:rFonts w:ascii="Arial" w:hAnsi="Arial" w:cs="Arial"/>
                <w:sz w:val="20"/>
                <w:szCs w:val="20"/>
              </w:rPr>
            </w:pPr>
            <w:r>
              <w:rPr>
                <w:rFonts w:ascii="Arial" w:hAnsi="Arial" w:cs="Arial"/>
                <w:sz w:val="20"/>
                <w:szCs w:val="20"/>
              </w:rPr>
              <w:t>27,4523</w:t>
            </w:r>
          </w:p>
        </w:tc>
        <w:tc>
          <w:tcPr>
            <w:tcW w:w="720" w:type="dxa"/>
          </w:tcPr>
          <w:p w:rsidR="00FD1525" w:rsidRDefault="00FD1525" w:rsidP="00632419">
            <w:pPr>
              <w:rPr>
                <w:rFonts w:ascii="Arial" w:hAnsi="Arial" w:cs="Arial"/>
                <w:sz w:val="20"/>
                <w:szCs w:val="20"/>
              </w:rPr>
            </w:pPr>
            <w:r>
              <w:rPr>
                <w:rFonts w:ascii="Arial" w:hAnsi="Arial" w:cs="Arial"/>
                <w:sz w:val="20"/>
                <w:szCs w:val="20"/>
              </w:rPr>
              <w:t>64,3</w:t>
            </w:r>
          </w:p>
        </w:tc>
        <w:tc>
          <w:tcPr>
            <w:tcW w:w="939" w:type="dxa"/>
          </w:tcPr>
          <w:p w:rsidR="00FD1525" w:rsidRDefault="00FD1525" w:rsidP="00632419">
            <w:pPr>
              <w:rPr>
                <w:rFonts w:ascii="Arial" w:hAnsi="Arial" w:cs="Arial"/>
                <w:sz w:val="20"/>
                <w:szCs w:val="20"/>
              </w:rPr>
            </w:pPr>
            <w:r>
              <w:rPr>
                <w:rFonts w:ascii="Arial" w:hAnsi="Arial" w:cs="Arial"/>
                <w:sz w:val="20"/>
                <w:szCs w:val="20"/>
              </w:rPr>
              <w:t>0,1204</w:t>
            </w:r>
          </w:p>
        </w:tc>
        <w:tc>
          <w:tcPr>
            <w:tcW w:w="668" w:type="dxa"/>
          </w:tcPr>
          <w:p w:rsidR="00FD1525" w:rsidRDefault="00FD1525" w:rsidP="00632419">
            <w:pPr>
              <w:rPr>
                <w:rFonts w:ascii="Arial" w:hAnsi="Arial" w:cs="Arial"/>
                <w:sz w:val="20"/>
                <w:szCs w:val="20"/>
              </w:rPr>
            </w:pPr>
            <w:r>
              <w:rPr>
                <w:rFonts w:ascii="Arial" w:hAnsi="Arial" w:cs="Arial"/>
                <w:sz w:val="20"/>
                <w:szCs w:val="20"/>
              </w:rPr>
              <w:t>0,2</w:t>
            </w:r>
          </w:p>
        </w:tc>
        <w:tc>
          <w:tcPr>
            <w:tcW w:w="1186" w:type="dxa"/>
            <w:gridSpan w:val="2"/>
            <w:vAlign w:val="center"/>
          </w:tcPr>
          <w:p w:rsidR="00FD1525" w:rsidRDefault="00FD1525" w:rsidP="00632419">
            <w:pPr>
              <w:jc w:val="center"/>
              <w:rPr>
                <w:rFonts w:ascii="Arial" w:hAnsi="Arial" w:cs="Arial"/>
                <w:sz w:val="20"/>
                <w:szCs w:val="20"/>
              </w:rPr>
            </w:pPr>
            <w:r>
              <w:rPr>
                <w:rFonts w:ascii="Arial" w:hAnsi="Arial" w:cs="Arial"/>
                <w:sz w:val="20"/>
                <w:szCs w:val="20"/>
              </w:rPr>
              <w:t>2,5253</w:t>
            </w:r>
          </w:p>
        </w:tc>
        <w:tc>
          <w:tcPr>
            <w:tcW w:w="510" w:type="dxa"/>
          </w:tcPr>
          <w:p w:rsidR="00FD1525" w:rsidRDefault="00FD1525" w:rsidP="00632419">
            <w:pPr>
              <w:jc w:val="center"/>
              <w:rPr>
                <w:rFonts w:ascii="Arial" w:hAnsi="Arial" w:cs="Arial"/>
                <w:sz w:val="20"/>
                <w:szCs w:val="20"/>
              </w:rPr>
            </w:pPr>
            <w:r>
              <w:rPr>
                <w:rFonts w:ascii="Arial" w:hAnsi="Arial" w:cs="Arial"/>
                <w:sz w:val="20"/>
                <w:szCs w:val="20"/>
              </w:rPr>
              <w:t>5,9</w:t>
            </w:r>
          </w:p>
        </w:tc>
        <w:tc>
          <w:tcPr>
            <w:tcW w:w="939" w:type="dxa"/>
            <w:vAlign w:val="center"/>
          </w:tcPr>
          <w:p w:rsidR="00FD1525" w:rsidRDefault="00FD1525" w:rsidP="00632419">
            <w:pPr>
              <w:jc w:val="center"/>
              <w:rPr>
                <w:rFonts w:ascii="Arial" w:hAnsi="Arial" w:cs="Arial"/>
                <w:sz w:val="20"/>
                <w:szCs w:val="20"/>
              </w:rPr>
            </w:pPr>
            <w:r>
              <w:rPr>
                <w:rFonts w:ascii="Arial" w:hAnsi="Arial" w:cs="Arial"/>
                <w:sz w:val="20"/>
                <w:szCs w:val="20"/>
              </w:rPr>
              <w:t>7,0328</w:t>
            </w:r>
          </w:p>
        </w:tc>
        <w:tc>
          <w:tcPr>
            <w:tcW w:w="767" w:type="dxa"/>
          </w:tcPr>
          <w:p w:rsidR="00FD1525" w:rsidRDefault="00FD1525" w:rsidP="00632419">
            <w:pPr>
              <w:jc w:val="center"/>
              <w:rPr>
                <w:rFonts w:ascii="Arial" w:hAnsi="Arial" w:cs="Arial"/>
                <w:sz w:val="20"/>
                <w:szCs w:val="20"/>
              </w:rPr>
            </w:pPr>
            <w:r>
              <w:rPr>
                <w:rFonts w:ascii="Arial" w:hAnsi="Arial" w:cs="Arial"/>
                <w:sz w:val="20"/>
                <w:szCs w:val="20"/>
              </w:rPr>
              <w:t>16,4</w:t>
            </w:r>
          </w:p>
        </w:tc>
        <w:tc>
          <w:tcPr>
            <w:tcW w:w="971" w:type="dxa"/>
            <w:gridSpan w:val="2"/>
            <w:vAlign w:val="center"/>
          </w:tcPr>
          <w:p w:rsidR="00FD1525" w:rsidRDefault="00FD1525" w:rsidP="00632419">
            <w:pPr>
              <w:jc w:val="center"/>
              <w:rPr>
                <w:rFonts w:ascii="Arial" w:hAnsi="Arial" w:cs="Arial"/>
                <w:sz w:val="20"/>
                <w:szCs w:val="20"/>
              </w:rPr>
            </w:pPr>
            <w:r>
              <w:rPr>
                <w:rFonts w:ascii="Arial" w:hAnsi="Arial" w:cs="Arial"/>
                <w:sz w:val="20"/>
                <w:szCs w:val="20"/>
              </w:rPr>
              <w:t>1,4019</w:t>
            </w:r>
          </w:p>
        </w:tc>
        <w:tc>
          <w:tcPr>
            <w:tcW w:w="705" w:type="dxa"/>
          </w:tcPr>
          <w:p w:rsidR="00FD1525" w:rsidRDefault="00FD1525" w:rsidP="00632419">
            <w:pPr>
              <w:jc w:val="center"/>
              <w:rPr>
                <w:rFonts w:ascii="Arial" w:hAnsi="Arial" w:cs="Arial"/>
                <w:sz w:val="20"/>
                <w:szCs w:val="20"/>
              </w:rPr>
            </w:pPr>
            <w:r>
              <w:rPr>
                <w:rFonts w:ascii="Arial" w:hAnsi="Arial" w:cs="Arial"/>
                <w:sz w:val="20"/>
                <w:szCs w:val="20"/>
              </w:rPr>
              <w:t>3,2</w:t>
            </w:r>
          </w:p>
        </w:tc>
        <w:tc>
          <w:tcPr>
            <w:tcW w:w="1014" w:type="dxa"/>
            <w:vAlign w:val="center"/>
          </w:tcPr>
          <w:p w:rsidR="00FD1525" w:rsidRDefault="00FD1525" w:rsidP="00632419">
            <w:pPr>
              <w:jc w:val="center"/>
              <w:rPr>
                <w:rFonts w:ascii="Arial" w:hAnsi="Arial" w:cs="Arial"/>
                <w:sz w:val="20"/>
                <w:szCs w:val="20"/>
              </w:rPr>
            </w:pPr>
            <w:r>
              <w:rPr>
                <w:rFonts w:ascii="Arial" w:hAnsi="Arial" w:cs="Arial"/>
                <w:sz w:val="20"/>
                <w:szCs w:val="20"/>
              </w:rPr>
              <w:t>4,1455</w:t>
            </w:r>
          </w:p>
        </w:tc>
        <w:tc>
          <w:tcPr>
            <w:tcW w:w="732" w:type="dxa"/>
          </w:tcPr>
          <w:p w:rsidR="00FD1525" w:rsidRDefault="00FD1525" w:rsidP="00632419">
            <w:pPr>
              <w:jc w:val="center"/>
              <w:rPr>
                <w:rFonts w:ascii="Arial" w:hAnsi="Arial" w:cs="Arial"/>
                <w:sz w:val="20"/>
                <w:szCs w:val="20"/>
              </w:rPr>
            </w:pPr>
            <w:r>
              <w:rPr>
                <w:rFonts w:ascii="Arial" w:hAnsi="Arial" w:cs="Arial"/>
                <w:sz w:val="20"/>
                <w:szCs w:val="20"/>
              </w:rPr>
              <w:t>9,7</w:t>
            </w:r>
          </w:p>
        </w:tc>
      </w:tr>
      <w:tr w:rsidR="00FD1525">
        <w:tc>
          <w:tcPr>
            <w:tcW w:w="1503" w:type="dxa"/>
            <w:vMerge/>
          </w:tcPr>
          <w:p w:rsidR="00FD1525" w:rsidRDefault="00FD1525" w:rsidP="00632419">
            <w:pPr>
              <w:rPr>
                <w:rFonts w:ascii="Arial" w:hAnsi="Arial" w:cs="Arial"/>
                <w:sz w:val="20"/>
                <w:szCs w:val="20"/>
              </w:rPr>
            </w:pPr>
          </w:p>
        </w:tc>
        <w:tc>
          <w:tcPr>
            <w:tcW w:w="1504" w:type="dxa"/>
            <w:vAlign w:val="bottom"/>
          </w:tcPr>
          <w:p w:rsidR="00FD1525" w:rsidRPr="0003329F" w:rsidRDefault="00FD1525" w:rsidP="00213657">
            <w:pPr>
              <w:rPr>
                <w:rFonts w:ascii="Arial" w:hAnsi="Arial" w:cs="Arial"/>
                <w:sz w:val="20"/>
                <w:szCs w:val="20"/>
              </w:rPr>
            </w:pPr>
            <w:r w:rsidRPr="0003329F">
              <w:rPr>
                <w:rFonts w:ascii="Arial" w:hAnsi="Arial" w:cs="Arial"/>
                <w:sz w:val="20"/>
                <w:szCs w:val="20"/>
              </w:rPr>
              <w:t>Kolarec</w:t>
            </w:r>
          </w:p>
        </w:tc>
        <w:tc>
          <w:tcPr>
            <w:tcW w:w="1406" w:type="dxa"/>
          </w:tcPr>
          <w:p w:rsidR="00FD1525" w:rsidRDefault="00FD1525" w:rsidP="0003329F">
            <w:pPr>
              <w:jc w:val="center"/>
              <w:rPr>
                <w:rFonts w:ascii="Arial" w:hAnsi="Arial" w:cs="Arial"/>
                <w:sz w:val="20"/>
                <w:szCs w:val="20"/>
              </w:rPr>
            </w:pPr>
            <w:r>
              <w:rPr>
                <w:rFonts w:ascii="Arial" w:hAnsi="Arial" w:cs="Arial"/>
                <w:sz w:val="20"/>
                <w:szCs w:val="20"/>
              </w:rPr>
              <w:t>30,2446</w:t>
            </w:r>
          </w:p>
        </w:tc>
        <w:tc>
          <w:tcPr>
            <w:tcW w:w="1316" w:type="dxa"/>
            <w:gridSpan w:val="2"/>
          </w:tcPr>
          <w:p w:rsidR="00FD1525" w:rsidRDefault="00FD1525" w:rsidP="006C239A">
            <w:pPr>
              <w:jc w:val="center"/>
              <w:rPr>
                <w:rFonts w:ascii="Arial" w:hAnsi="Arial" w:cs="Arial"/>
                <w:sz w:val="20"/>
                <w:szCs w:val="20"/>
              </w:rPr>
            </w:pPr>
            <w:r>
              <w:rPr>
                <w:rFonts w:ascii="Arial" w:hAnsi="Arial" w:cs="Arial"/>
                <w:sz w:val="20"/>
                <w:szCs w:val="20"/>
              </w:rPr>
              <w:t>28,0699</w:t>
            </w:r>
          </w:p>
        </w:tc>
        <w:tc>
          <w:tcPr>
            <w:tcW w:w="720" w:type="dxa"/>
          </w:tcPr>
          <w:p w:rsidR="00FD1525" w:rsidRDefault="00FD1525" w:rsidP="00632419">
            <w:pPr>
              <w:rPr>
                <w:rFonts w:ascii="Arial" w:hAnsi="Arial" w:cs="Arial"/>
                <w:sz w:val="20"/>
                <w:szCs w:val="20"/>
              </w:rPr>
            </w:pPr>
            <w:r>
              <w:rPr>
                <w:rFonts w:ascii="Arial" w:hAnsi="Arial" w:cs="Arial"/>
                <w:sz w:val="20"/>
                <w:szCs w:val="20"/>
              </w:rPr>
              <w:t>92,8</w:t>
            </w:r>
          </w:p>
        </w:tc>
        <w:tc>
          <w:tcPr>
            <w:tcW w:w="939" w:type="dxa"/>
          </w:tcPr>
          <w:p w:rsidR="00FD1525" w:rsidRDefault="00FD1525" w:rsidP="00FD1525">
            <w:pPr>
              <w:jc w:val="center"/>
            </w:pPr>
            <w:r w:rsidRPr="003A5EEA">
              <w:rPr>
                <w:rFonts w:ascii="Arial" w:hAnsi="Arial" w:cs="Arial"/>
                <w:sz w:val="20"/>
                <w:szCs w:val="20"/>
              </w:rPr>
              <w:t>0</w:t>
            </w:r>
          </w:p>
        </w:tc>
        <w:tc>
          <w:tcPr>
            <w:tcW w:w="668" w:type="dxa"/>
          </w:tcPr>
          <w:p w:rsidR="00FD1525" w:rsidRDefault="00FD1525" w:rsidP="00FD1525">
            <w:pPr>
              <w:jc w:val="center"/>
            </w:pPr>
            <w:r w:rsidRPr="001B6CC9">
              <w:rPr>
                <w:rFonts w:ascii="Arial" w:hAnsi="Arial" w:cs="Arial"/>
                <w:sz w:val="20"/>
                <w:szCs w:val="20"/>
              </w:rPr>
              <w:t>0</w:t>
            </w:r>
          </w:p>
        </w:tc>
        <w:tc>
          <w:tcPr>
            <w:tcW w:w="1186" w:type="dxa"/>
            <w:gridSpan w:val="2"/>
            <w:vAlign w:val="center"/>
          </w:tcPr>
          <w:p w:rsidR="00FD1525" w:rsidRDefault="00FD1525" w:rsidP="00632419">
            <w:pPr>
              <w:jc w:val="center"/>
              <w:rPr>
                <w:rFonts w:ascii="Arial" w:hAnsi="Arial" w:cs="Arial"/>
                <w:sz w:val="20"/>
                <w:szCs w:val="20"/>
              </w:rPr>
            </w:pPr>
            <w:r>
              <w:rPr>
                <w:rFonts w:ascii="Arial" w:hAnsi="Arial" w:cs="Arial"/>
                <w:sz w:val="20"/>
                <w:szCs w:val="20"/>
              </w:rPr>
              <w:t>0,2294</w:t>
            </w:r>
          </w:p>
        </w:tc>
        <w:tc>
          <w:tcPr>
            <w:tcW w:w="510" w:type="dxa"/>
          </w:tcPr>
          <w:p w:rsidR="00FD1525" w:rsidRDefault="00FD1525" w:rsidP="00632419">
            <w:pPr>
              <w:jc w:val="center"/>
              <w:rPr>
                <w:rFonts w:ascii="Arial" w:hAnsi="Arial" w:cs="Arial"/>
                <w:sz w:val="20"/>
                <w:szCs w:val="20"/>
              </w:rPr>
            </w:pPr>
            <w:r>
              <w:rPr>
                <w:rFonts w:ascii="Arial" w:hAnsi="Arial" w:cs="Arial"/>
                <w:sz w:val="20"/>
                <w:szCs w:val="20"/>
              </w:rPr>
              <w:t>0,7</w:t>
            </w:r>
          </w:p>
        </w:tc>
        <w:tc>
          <w:tcPr>
            <w:tcW w:w="939" w:type="dxa"/>
            <w:vAlign w:val="center"/>
          </w:tcPr>
          <w:p w:rsidR="00FD1525" w:rsidRDefault="00FD1525" w:rsidP="00632419">
            <w:pPr>
              <w:jc w:val="center"/>
              <w:rPr>
                <w:rFonts w:ascii="Arial" w:hAnsi="Arial" w:cs="Arial"/>
                <w:sz w:val="20"/>
                <w:szCs w:val="20"/>
              </w:rPr>
            </w:pPr>
            <w:r>
              <w:rPr>
                <w:rFonts w:ascii="Arial" w:hAnsi="Arial" w:cs="Arial"/>
                <w:sz w:val="20"/>
                <w:szCs w:val="20"/>
              </w:rPr>
              <w:t>0</w:t>
            </w:r>
          </w:p>
        </w:tc>
        <w:tc>
          <w:tcPr>
            <w:tcW w:w="767" w:type="dxa"/>
          </w:tcPr>
          <w:p w:rsidR="00FD1525" w:rsidRDefault="00FD1525" w:rsidP="00FD1525">
            <w:pPr>
              <w:jc w:val="center"/>
            </w:pPr>
            <w:r w:rsidRPr="003507D0">
              <w:rPr>
                <w:rFonts w:ascii="Arial" w:hAnsi="Arial" w:cs="Arial"/>
                <w:sz w:val="20"/>
                <w:szCs w:val="20"/>
              </w:rPr>
              <w:t>0</w:t>
            </w:r>
          </w:p>
        </w:tc>
        <w:tc>
          <w:tcPr>
            <w:tcW w:w="971" w:type="dxa"/>
            <w:gridSpan w:val="2"/>
            <w:vAlign w:val="center"/>
          </w:tcPr>
          <w:p w:rsidR="00FD1525" w:rsidRDefault="00FD1525" w:rsidP="00632419">
            <w:pPr>
              <w:jc w:val="center"/>
              <w:rPr>
                <w:rFonts w:ascii="Arial" w:hAnsi="Arial" w:cs="Arial"/>
                <w:sz w:val="20"/>
                <w:szCs w:val="20"/>
              </w:rPr>
            </w:pPr>
            <w:r>
              <w:rPr>
                <w:rFonts w:ascii="Arial" w:hAnsi="Arial" w:cs="Arial"/>
                <w:sz w:val="20"/>
                <w:szCs w:val="20"/>
              </w:rPr>
              <w:t>0,1167</w:t>
            </w:r>
          </w:p>
        </w:tc>
        <w:tc>
          <w:tcPr>
            <w:tcW w:w="705" w:type="dxa"/>
          </w:tcPr>
          <w:p w:rsidR="00FD1525" w:rsidRDefault="00FD1525" w:rsidP="00632419">
            <w:pPr>
              <w:jc w:val="center"/>
              <w:rPr>
                <w:rFonts w:ascii="Arial" w:hAnsi="Arial" w:cs="Arial"/>
                <w:sz w:val="20"/>
                <w:szCs w:val="20"/>
              </w:rPr>
            </w:pPr>
            <w:r>
              <w:rPr>
                <w:rFonts w:ascii="Arial" w:hAnsi="Arial" w:cs="Arial"/>
                <w:sz w:val="20"/>
                <w:szCs w:val="20"/>
              </w:rPr>
              <w:t>0,3</w:t>
            </w:r>
          </w:p>
        </w:tc>
        <w:tc>
          <w:tcPr>
            <w:tcW w:w="1014" w:type="dxa"/>
            <w:vAlign w:val="center"/>
          </w:tcPr>
          <w:p w:rsidR="00FD1525" w:rsidRDefault="00FD1525" w:rsidP="00632419">
            <w:pPr>
              <w:jc w:val="center"/>
              <w:rPr>
                <w:rFonts w:ascii="Arial" w:hAnsi="Arial" w:cs="Arial"/>
                <w:sz w:val="20"/>
                <w:szCs w:val="20"/>
              </w:rPr>
            </w:pPr>
            <w:r>
              <w:rPr>
                <w:rFonts w:ascii="Arial" w:hAnsi="Arial" w:cs="Arial"/>
                <w:sz w:val="20"/>
                <w:szCs w:val="20"/>
              </w:rPr>
              <w:t>1,8286</w:t>
            </w:r>
          </w:p>
        </w:tc>
        <w:tc>
          <w:tcPr>
            <w:tcW w:w="732" w:type="dxa"/>
          </w:tcPr>
          <w:p w:rsidR="00FD1525" w:rsidRDefault="00FD1525" w:rsidP="00632419">
            <w:pPr>
              <w:jc w:val="center"/>
              <w:rPr>
                <w:rFonts w:ascii="Arial" w:hAnsi="Arial" w:cs="Arial"/>
                <w:sz w:val="20"/>
                <w:szCs w:val="20"/>
              </w:rPr>
            </w:pPr>
            <w:r>
              <w:rPr>
                <w:rFonts w:ascii="Arial" w:hAnsi="Arial" w:cs="Arial"/>
                <w:sz w:val="20"/>
                <w:szCs w:val="20"/>
              </w:rPr>
              <w:t>6,0</w:t>
            </w:r>
          </w:p>
        </w:tc>
      </w:tr>
      <w:tr w:rsidR="00FD1525">
        <w:tc>
          <w:tcPr>
            <w:tcW w:w="1503" w:type="dxa"/>
            <w:vMerge/>
          </w:tcPr>
          <w:p w:rsidR="00FD1525" w:rsidRDefault="00FD1525" w:rsidP="00632419">
            <w:pPr>
              <w:rPr>
                <w:rFonts w:ascii="Arial" w:hAnsi="Arial" w:cs="Arial"/>
                <w:sz w:val="20"/>
                <w:szCs w:val="20"/>
              </w:rPr>
            </w:pPr>
          </w:p>
        </w:tc>
        <w:tc>
          <w:tcPr>
            <w:tcW w:w="1504" w:type="dxa"/>
            <w:vAlign w:val="bottom"/>
          </w:tcPr>
          <w:p w:rsidR="00FD1525" w:rsidRDefault="00FD1525" w:rsidP="00213657">
            <w:pPr>
              <w:rPr>
                <w:rFonts w:ascii="Arial" w:hAnsi="Arial" w:cs="Arial"/>
                <w:sz w:val="20"/>
                <w:szCs w:val="20"/>
              </w:rPr>
            </w:pPr>
            <w:r w:rsidRPr="0003329F">
              <w:rPr>
                <w:rFonts w:ascii="Arial" w:hAnsi="Arial" w:cs="Arial"/>
                <w:sz w:val="20"/>
                <w:szCs w:val="20"/>
              </w:rPr>
              <w:t>Kostanjevec</w:t>
            </w:r>
            <w:r>
              <w:rPr>
                <w:rFonts w:ascii="Arial" w:hAnsi="Arial" w:cs="Arial"/>
                <w:sz w:val="20"/>
                <w:szCs w:val="20"/>
              </w:rPr>
              <w:t xml:space="preserve"> </w:t>
            </w:r>
          </w:p>
        </w:tc>
        <w:tc>
          <w:tcPr>
            <w:tcW w:w="1406" w:type="dxa"/>
          </w:tcPr>
          <w:p w:rsidR="00FD1525" w:rsidRDefault="00FD1525" w:rsidP="0042599D">
            <w:pPr>
              <w:jc w:val="center"/>
              <w:rPr>
                <w:rFonts w:ascii="Arial" w:hAnsi="Arial" w:cs="Arial"/>
                <w:sz w:val="20"/>
                <w:szCs w:val="20"/>
              </w:rPr>
            </w:pPr>
            <w:r>
              <w:rPr>
                <w:rFonts w:ascii="Arial" w:hAnsi="Arial" w:cs="Arial"/>
                <w:sz w:val="20"/>
                <w:szCs w:val="20"/>
              </w:rPr>
              <w:t>25,3162</w:t>
            </w:r>
          </w:p>
        </w:tc>
        <w:tc>
          <w:tcPr>
            <w:tcW w:w="1316" w:type="dxa"/>
            <w:gridSpan w:val="2"/>
          </w:tcPr>
          <w:p w:rsidR="00FD1525" w:rsidRDefault="00FD1525" w:rsidP="006C239A">
            <w:pPr>
              <w:jc w:val="center"/>
              <w:rPr>
                <w:rFonts w:ascii="Arial" w:hAnsi="Arial" w:cs="Arial"/>
                <w:sz w:val="20"/>
                <w:szCs w:val="20"/>
              </w:rPr>
            </w:pPr>
            <w:r>
              <w:rPr>
                <w:rFonts w:ascii="Arial" w:hAnsi="Arial" w:cs="Arial"/>
                <w:sz w:val="20"/>
                <w:szCs w:val="20"/>
              </w:rPr>
              <w:t>24,1919</w:t>
            </w:r>
          </w:p>
        </w:tc>
        <w:tc>
          <w:tcPr>
            <w:tcW w:w="720" w:type="dxa"/>
          </w:tcPr>
          <w:p w:rsidR="00FD1525" w:rsidRDefault="00FD1525" w:rsidP="00632419">
            <w:pPr>
              <w:rPr>
                <w:rFonts w:ascii="Arial" w:hAnsi="Arial" w:cs="Arial"/>
                <w:sz w:val="20"/>
                <w:szCs w:val="20"/>
              </w:rPr>
            </w:pPr>
            <w:r>
              <w:rPr>
                <w:rFonts w:ascii="Arial" w:hAnsi="Arial" w:cs="Arial"/>
                <w:sz w:val="20"/>
                <w:szCs w:val="20"/>
              </w:rPr>
              <w:t>95,5</w:t>
            </w:r>
          </w:p>
        </w:tc>
        <w:tc>
          <w:tcPr>
            <w:tcW w:w="939" w:type="dxa"/>
          </w:tcPr>
          <w:p w:rsidR="00FD1525" w:rsidRDefault="00FD1525" w:rsidP="00FD1525">
            <w:pPr>
              <w:jc w:val="center"/>
            </w:pPr>
            <w:r w:rsidRPr="003A5EEA">
              <w:rPr>
                <w:rFonts w:ascii="Arial" w:hAnsi="Arial" w:cs="Arial"/>
                <w:sz w:val="20"/>
                <w:szCs w:val="20"/>
              </w:rPr>
              <w:t>0</w:t>
            </w:r>
          </w:p>
        </w:tc>
        <w:tc>
          <w:tcPr>
            <w:tcW w:w="668" w:type="dxa"/>
          </w:tcPr>
          <w:p w:rsidR="00FD1525" w:rsidRDefault="00FD1525" w:rsidP="00FD1525">
            <w:pPr>
              <w:jc w:val="center"/>
            </w:pPr>
            <w:r w:rsidRPr="001B6CC9">
              <w:rPr>
                <w:rFonts w:ascii="Arial" w:hAnsi="Arial" w:cs="Arial"/>
                <w:sz w:val="20"/>
                <w:szCs w:val="20"/>
              </w:rPr>
              <w:t>0</w:t>
            </w:r>
          </w:p>
        </w:tc>
        <w:tc>
          <w:tcPr>
            <w:tcW w:w="1186" w:type="dxa"/>
            <w:gridSpan w:val="2"/>
            <w:vAlign w:val="center"/>
          </w:tcPr>
          <w:p w:rsidR="00FD1525" w:rsidRDefault="00FD1525" w:rsidP="00632419">
            <w:pPr>
              <w:jc w:val="center"/>
              <w:rPr>
                <w:rFonts w:ascii="Arial" w:hAnsi="Arial" w:cs="Arial"/>
                <w:sz w:val="20"/>
                <w:szCs w:val="20"/>
              </w:rPr>
            </w:pPr>
            <w:r>
              <w:rPr>
                <w:rFonts w:ascii="Arial" w:hAnsi="Arial" w:cs="Arial"/>
                <w:sz w:val="20"/>
                <w:szCs w:val="20"/>
              </w:rPr>
              <w:t>0,0586</w:t>
            </w:r>
          </w:p>
        </w:tc>
        <w:tc>
          <w:tcPr>
            <w:tcW w:w="510" w:type="dxa"/>
          </w:tcPr>
          <w:p w:rsidR="00FD1525" w:rsidRDefault="00FD1525" w:rsidP="00632419">
            <w:pPr>
              <w:jc w:val="center"/>
              <w:rPr>
                <w:rFonts w:ascii="Arial" w:hAnsi="Arial" w:cs="Arial"/>
                <w:sz w:val="20"/>
                <w:szCs w:val="20"/>
              </w:rPr>
            </w:pPr>
            <w:r>
              <w:rPr>
                <w:rFonts w:ascii="Arial" w:hAnsi="Arial" w:cs="Arial"/>
                <w:sz w:val="20"/>
                <w:szCs w:val="20"/>
              </w:rPr>
              <w:t>0,2</w:t>
            </w:r>
          </w:p>
        </w:tc>
        <w:tc>
          <w:tcPr>
            <w:tcW w:w="939" w:type="dxa"/>
            <w:vAlign w:val="center"/>
          </w:tcPr>
          <w:p w:rsidR="00FD1525" w:rsidRDefault="00FD1525" w:rsidP="00632419">
            <w:pPr>
              <w:jc w:val="center"/>
              <w:rPr>
                <w:rFonts w:ascii="Arial" w:hAnsi="Arial" w:cs="Arial"/>
                <w:sz w:val="20"/>
                <w:szCs w:val="20"/>
              </w:rPr>
            </w:pPr>
            <w:r>
              <w:rPr>
                <w:rFonts w:ascii="Arial" w:hAnsi="Arial" w:cs="Arial"/>
                <w:sz w:val="20"/>
                <w:szCs w:val="20"/>
              </w:rPr>
              <w:t>0</w:t>
            </w:r>
          </w:p>
        </w:tc>
        <w:tc>
          <w:tcPr>
            <w:tcW w:w="767" w:type="dxa"/>
          </w:tcPr>
          <w:p w:rsidR="00FD1525" w:rsidRDefault="00FD1525" w:rsidP="00FD1525">
            <w:pPr>
              <w:jc w:val="center"/>
            </w:pPr>
            <w:r w:rsidRPr="003507D0">
              <w:rPr>
                <w:rFonts w:ascii="Arial" w:hAnsi="Arial" w:cs="Arial"/>
                <w:sz w:val="20"/>
                <w:szCs w:val="20"/>
              </w:rPr>
              <w:t>0</w:t>
            </w:r>
          </w:p>
        </w:tc>
        <w:tc>
          <w:tcPr>
            <w:tcW w:w="971" w:type="dxa"/>
            <w:gridSpan w:val="2"/>
            <w:vAlign w:val="center"/>
          </w:tcPr>
          <w:p w:rsidR="00FD1525" w:rsidRDefault="00FD1525" w:rsidP="00632419">
            <w:pPr>
              <w:jc w:val="center"/>
              <w:rPr>
                <w:rFonts w:ascii="Arial" w:hAnsi="Arial" w:cs="Arial"/>
                <w:sz w:val="20"/>
                <w:szCs w:val="20"/>
              </w:rPr>
            </w:pPr>
            <w:r>
              <w:rPr>
                <w:rFonts w:ascii="Arial" w:hAnsi="Arial" w:cs="Arial"/>
                <w:sz w:val="20"/>
                <w:szCs w:val="20"/>
              </w:rPr>
              <w:t>0</w:t>
            </w:r>
          </w:p>
        </w:tc>
        <w:tc>
          <w:tcPr>
            <w:tcW w:w="705" w:type="dxa"/>
          </w:tcPr>
          <w:p w:rsidR="00FD1525" w:rsidRDefault="00FD1525" w:rsidP="00FD1525">
            <w:pPr>
              <w:jc w:val="center"/>
            </w:pPr>
            <w:r w:rsidRPr="001175F4">
              <w:rPr>
                <w:rFonts w:ascii="Arial" w:hAnsi="Arial" w:cs="Arial"/>
                <w:sz w:val="20"/>
                <w:szCs w:val="20"/>
              </w:rPr>
              <w:t>0</w:t>
            </w:r>
          </w:p>
        </w:tc>
        <w:tc>
          <w:tcPr>
            <w:tcW w:w="1014" w:type="dxa"/>
            <w:vAlign w:val="center"/>
          </w:tcPr>
          <w:p w:rsidR="00FD1525" w:rsidRDefault="00FD1525" w:rsidP="00632419">
            <w:pPr>
              <w:jc w:val="center"/>
              <w:rPr>
                <w:rFonts w:ascii="Arial" w:hAnsi="Arial" w:cs="Arial"/>
                <w:sz w:val="20"/>
                <w:szCs w:val="20"/>
              </w:rPr>
            </w:pPr>
            <w:r>
              <w:rPr>
                <w:rFonts w:ascii="Arial" w:hAnsi="Arial" w:cs="Arial"/>
                <w:sz w:val="20"/>
                <w:szCs w:val="20"/>
              </w:rPr>
              <w:t>1,0657</w:t>
            </w:r>
          </w:p>
        </w:tc>
        <w:tc>
          <w:tcPr>
            <w:tcW w:w="732" w:type="dxa"/>
          </w:tcPr>
          <w:p w:rsidR="00FD1525" w:rsidRDefault="00FD1525" w:rsidP="00632419">
            <w:pPr>
              <w:jc w:val="center"/>
              <w:rPr>
                <w:rFonts w:ascii="Arial" w:hAnsi="Arial" w:cs="Arial"/>
                <w:sz w:val="20"/>
                <w:szCs w:val="20"/>
              </w:rPr>
            </w:pPr>
            <w:r>
              <w:rPr>
                <w:rFonts w:ascii="Arial" w:hAnsi="Arial" w:cs="Arial"/>
                <w:sz w:val="20"/>
                <w:szCs w:val="20"/>
              </w:rPr>
              <w:t>4,3</w:t>
            </w:r>
          </w:p>
        </w:tc>
      </w:tr>
      <w:tr w:rsidR="00FD1525">
        <w:tc>
          <w:tcPr>
            <w:tcW w:w="1503" w:type="dxa"/>
            <w:vMerge/>
          </w:tcPr>
          <w:p w:rsidR="00FD1525" w:rsidRDefault="00FD1525" w:rsidP="00632419">
            <w:pPr>
              <w:rPr>
                <w:rFonts w:ascii="Arial" w:hAnsi="Arial" w:cs="Arial"/>
                <w:sz w:val="20"/>
                <w:szCs w:val="20"/>
              </w:rPr>
            </w:pPr>
          </w:p>
        </w:tc>
        <w:tc>
          <w:tcPr>
            <w:tcW w:w="1504" w:type="dxa"/>
            <w:vAlign w:val="bottom"/>
          </w:tcPr>
          <w:p w:rsidR="00FD1525" w:rsidRDefault="00FD1525" w:rsidP="00213657">
            <w:pPr>
              <w:rPr>
                <w:rFonts w:ascii="Arial" w:hAnsi="Arial" w:cs="Arial"/>
                <w:sz w:val="20"/>
                <w:szCs w:val="20"/>
              </w:rPr>
            </w:pPr>
            <w:r w:rsidRPr="0003329F">
              <w:rPr>
                <w:rFonts w:ascii="Arial" w:hAnsi="Arial" w:cs="Arial"/>
                <w:sz w:val="20"/>
                <w:szCs w:val="20"/>
              </w:rPr>
              <w:t>Lukačevec</w:t>
            </w:r>
          </w:p>
        </w:tc>
        <w:tc>
          <w:tcPr>
            <w:tcW w:w="1406" w:type="dxa"/>
          </w:tcPr>
          <w:p w:rsidR="00FD1525" w:rsidRDefault="00FD1525" w:rsidP="00A74645">
            <w:pPr>
              <w:jc w:val="center"/>
              <w:rPr>
                <w:rFonts w:ascii="Arial" w:hAnsi="Arial" w:cs="Arial"/>
                <w:sz w:val="20"/>
                <w:szCs w:val="20"/>
              </w:rPr>
            </w:pPr>
            <w:r>
              <w:rPr>
                <w:rFonts w:ascii="Arial" w:hAnsi="Arial" w:cs="Arial"/>
                <w:sz w:val="20"/>
                <w:szCs w:val="20"/>
              </w:rPr>
              <w:t>2,9684</w:t>
            </w:r>
          </w:p>
        </w:tc>
        <w:tc>
          <w:tcPr>
            <w:tcW w:w="1316" w:type="dxa"/>
            <w:gridSpan w:val="2"/>
          </w:tcPr>
          <w:p w:rsidR="00FD1525" w:rsidRDefault="00FD1525" w:rsidP="006C239A">
            <w:pPr>
              <w:jc w:val="center"/>
              <w:rPr>
                <w:rFonts w:ascii="Arial" w:hAnsi="Arial" w:cs="Arial"/>
                <w:sz w:val="20"/>
                <w:szCs w:val="20"/>
              </w:rPr>
            </w:pPr>
            <w:r>
              <w:rPr>
                <w:rFonts w:ascii="Arial" w:hAnsi="Arial" w:cs="Arial"/>
                <w:sz w:val="20"/>
                <w:szCs w:val="20"/>
              </w:rPr>
              <w:t>2,7532</w:t>
            </w:r>
          </w:p>
        </w:tc>
        <w:tc>
          <w:tcPr>
            <w:tcW w:w="720" w:type="dxa"/>
          </w:tcPr>
          <w:p w:rsidR="00FD1525" w:rsidRDefault="00FD1525" w:rsidP="00632419">
            <w:pPr>
              <w:rPr>
                <w:rFonts w:ascii="Arial" w:hAnsi="Arial" w:cs="Arial"/>
                <w:sz w:val="20"/>
                <w:szCs w:val="20"/>
              </w:rPr>
            </w:pPr>
            <w:r>
              <w:rPr>
                <w:rFonts w:ascii="Arial" w:hAnsi="Arial" w:cs="Arial"/>
                <w:sz w:val="20"/>
                <w:szCs w:val="20"/>
              </w:rPr>
              <w:t>92,7</w:t>
            </w:r>
          </w:p>
        </w:tc>
        <w:tc>
          <w:tcPr>
            <w:tcW w:w="939" w:type="dxa"/>
          </w:tcPr>
          <w:p w:rsidR="00FD1525" w:rsidRDefault="00FD1525" w:rsidP="00FD1525">
            <w:pPr>
              <w:jc w:val="center"/>
            </w:pPr>
            <w:r w:rsidRPr="003A5EEA">
              <w:rPr>
                <w:rFonts w:ascii="Arial" w:hAnsi="Arial" w:cs="Arial"/>
                <w:sz w:val="20"/>
                <w:szCs w:val="20"/>
              </w:rPr>
              <w:t>0</w:t>
            </w:r>
          </w:p>
        </w:tc>
        <w:tc>
          <w:tcPr>
            <w:tcW w:w="668" w:type="dxa"/>
          </w:tcPr>
          <w:p w:rsidR="00FD1525" w:rsidRDefault="00FD1525" w:rsidP="00FD1525">
            <w:pPr>
              <w:jc w:val="center"/>
            </w:pPr>
            <w:r w:rsidRPr="001B6CC9">
              <w:rPr>
                <w:rFonts w:ascii="Arial" w:hAnsi="Arial" w:cs="Arial"/>
                <w:sz w:val="20"/>
                <w:szCs w:val="20"/>
              </w:rPr>
              <w:t>0</w:t>
            </w:r>
          </w:p>
        </w:tc>
        <w:tc>
          <w:tcPr>
            <w:tcW w:w="1186" w:type="dxa"/>
            <w:gridSpan w:val="2"/>
            <w:vAlign w:val="center"/>
          </w:tcPr>
          <w:p w:rsidR="00FD1525" w:rsidRDefault="00FD1525" w:rsidP="00632419">
            <w:pPr>
              <w:jc w:val="center"/>
              <w:rPr>
                <w:rFonts w:ascii="Arial" w:hAnsi="Arial" w:cs="Arial"/>
                <w:sz w:val="20"/>
                <w:szCs w:val="20"/>
              </w:rPr>
            </w:pPr>
            <w:r>
              <w:rPr>
                <w:rFonts w:ascii="Arial" w:hAnsi="Arial" w:cs="Arial"/>
                <w:sz w:val="20"/>
                <w:szCs w:val="20"/>
              </w:rPr>
              <w:t>0</w:t>
            </w:r>
          </w:p>
        </w:tc>
        <w:tc>
          <w:tcPr>
            <w:tcW w:w="510" w:type="dxa"/>
          </w:tcPr>
          <w:p w:rsidR="00FD1525" w:rsidRDefault="00FD1525" w:rsidP="00FD1525">
            <w:pPr>
              <w:jc w:val="center"/>
            </w:pPr>
            <w:r w:rsidRPr="004A23F6">
              <w:rPr>
                <w:rFonts w:ascii="Arial" w:hAnsi="Arial" w:cs="Arial"/>
                <w:sz w:val="20"/>
                <w:szCs w:val="20"/>
              </w:rPr>
              <w:t>0</w:t>
            </w:r>
          </w:p>
        </w:tc>
        <w:tc>
          <w:tcPr>
            <w:tcW w:w="939" w:type="dxa"/>
            <w:vAlign w:val="center"/>
          </w:tcPr>
          <w:p w:rsidR="00FD1525" w:rsidRDefault="00FD1525" w:rsidP="00632419">
            <w:pPr>
              <w:jc w:val="center"/>
              <w:rPr>
                <w:rFonts w:ascii="Arial" w:hAnsi="Arial" w:cs="Arial"/>
                <w:sz w:val="20"/>
                <w:szCs w:val="20"/>
              </w:rPr>
            </w:pPr>
            <w:r>
              <w:rPr>
                <w:rFonts w:ascii="Arial" w:hAnsi="Arial" w:cs="Arial"/>
                <w:sz w:val="20"/>
                <w:szCs w:val="20"/>
              </w:rPr>
              <w:t>0</w:t>
            </w:r>
          </w:p>
        </w:tc>
        <w:tc>
          <w:tcPr>
            <w:tcW w:w="767" w:type="dxa"/>
          </w:tcPr>
          <w:p w:rsidR="00FD1525" w:rsidRDefault="00FD1525" w:rsidP="00FD1525">
            <w:pPr>
              <w:jc w:val="center"/>
            </w:pPr>
            <w:r w:rsidRPr="003507D0">
              <w:rPr>
                <w:rFonts w:ascii="Arial" w:hAnsi="Arial" w:cs="Arial"/>
                <w:sz w:val="20"/>
                <w:szCs w:val="20"/>
              </w:rPr>
              <w:t>0</w:t>
            </w:r>
          </w:p>
        </w:tc>
        <w:tc>
          <w:tcPr>
            <w:tcW w:w="971" w:type="dxa"/>
            <w:gridSpan w:val="2"/>
            <w:vAlign w:val="center"/>
          </w:tcPr>
          <w:p w:rsidR="00FD1525" w:rsidRDefault="00FD1525" w:rsidP="00632419">
            <w:pPr>
              <w:jc w:val="center"/>
              <w:rPr>
                <w:rFonts w:ascii="Arial" w:hAnsi="Arial" w:cs="Arial"/>
                <w:sz w:val="20"/>
                <w:szCs w:val="20"/>
              </w:rPr>
            </w:pPr>
            <w:r>
              <w:rPr>
                <w:rFonts w:ascii="Arial" w:hAnsi="Arial" w:cs="Arial"/>
                <w:sz w:val="20"/>
                <w:szCs w:val="20"/>
              </w:rPr>
              <w:t>0</w:t>
            </w:r>
          </w:p>
        </w:tc>
        <w:tc>
          <w:tcPr>
            <w:tcW w:w="705" w:type="dxa"/>
          </w:tcPr>
          <w:p w:rsidR="00FD1525" w:rsidRDefault="00FD1525" w:rsidP="00FD1525">
            <w:pPr>
              <w:jc w:val="center"/>
            </w:pPr>
            <w:r w:rsidRPr="001175F4">
              <w:rPr>
                <w:rFonts w:ascii="Arial" w:hAnsi="Arial" w:cs="Arial"/>
                <w:sz w:val="20"/>
                <w:szCs w:val="20"/>
              </w:rPr>
              <w:t>0</w:t>
            </w:r>
          </w:p>
        </w:tc>
        <w:tc>
          <w:tcPr>
            <w:tcW w:w="1014" w:type="dxa"/>
            <w:vAlign w:val="center"/>
          </w:tcPr>
          <w:p w:rsidR="00FD1525" w:rsidRDefault="00FD1525" w:rsidP="00632419">
            <w:pPr>
              <w:jc w:val="center"/>
              <w:rPr>
                <w:rFonts w:ascii="Arial" w:hAnsi="Arial" w:cs="Arial"/>
                <w:sz w:val="20"/>
                <w:szCs w:val="20"/>
              </w:rPr>
            </w:pPr>
            <w:r>
              <w:rPr>
                <w:rFonts w:ascii="Arial" w:hAnsi="Arial" w:cs="Arial"/>
                <w:sz w:val="20"/>
                <w:szCs w:val="20"/>
              </w:rPr>
              <w:t>0,2152</w:t>
            </w:r>
          </w:p>
        </w:tc>
        <w:tc>
          <w:tcPr>
            <w:tcW w:w="732" w:type="dxa"/>
          </w:tcPr>
          <w:p w:rsidR="00FD1525" w:rsidRDefault="00FD1525" w:rsidP="00632419">
            <w:pPr>
              <w:jc w:val="center"/>
              <w:rPr>
                <w:rFonts w:ascii="Arial" w:hAnsi="Arial" w:cs="Arial"/>
                <w:sz w:val="20"/>
                <w:szCs w:val="20"/>
              </w:rPr>
            </w:pPr>
            <w:r>
              <w:rPr>
                <w:rFonts w:ascii="Arial" w:hAnsi="Arial" w:cs="Arial"/>
                <w:sz w:val="20"/>
                <w:szCs w:val="20"/>
              </w:rPr>
              <w:t>7,3</w:t>
            </w:r>
          </w:p>
        </w:tc>
      </w:tr>
      <w:tr w:rsidR="00FD1525">
        <w:tc>
          <w:tcPr>
            <w:tcW w:w="1503" w:type="dxa"/>
            <w:vMerge/>
          </w:tcPr>
          <w:p w:rsidR="00FD1525" w:rsidRDefault="00FD1525" w:rsidP="00632419">
            <w:pPr>
              <w:rPr>
                <w:rFonts w:ascii="Arial" w:hAnsi="Arial" w:cs="Arial"/>
                <w:sz w:val="20"/>
                <w:szCs w:val="20"/>
              </w:rPr>
            </w:pPr>
          </w:p>
        </w:tc>
        <w:tc>
          <w:tcPr>
            <w:tcW w:w="1504" w:type="dxa"/>
            <w:vAlign w:val="bottom"/>
          </w:tcPr>
          <w:p w:rsidR="00FD1525" w:rsidRDefault="00FD1525" w:rsidP="00213657">
            <w:pPr>
              <w:rPr>
                <w:rFonts w:ascii="Arial" w:hAnsi="Arial" w:cs="Arial"/>
                <w:sz w:val="20"/>
                <w:szCs w:val="20"/>
              </w:rPr>
            </w:pPr>
            <w:r w:rsidRPr="0003329F">
              <w:rPr>
                <w:rFonts w:ascii="Arial" w:hAnsi="Arial" w:cs="Arial"/>
                <w:sz w:val="20"/>
                <w:szCs w:val="20"/>
              </w:rPr>
              <w:t>Nemčevec</w:t>
            </w:r>
          </w:p>
        </w:tc>
        <w:tc>
          <w:tcPr>
            <w:tcW w:w="1406" w:type="dxa"/>
          </w:tcPr>
          <w:p w:rsidR="00FD1525" w:rsidRDefault="00FD1525" w:rsidP="00052FA2">
            <w:pPr>
              <w:jc w:val="center"/>
              <w:rPr>
                <w:rFonts w:ascii="Arial" w:hAnsi="Arial" w:cs="Arial"/>
                <w:sz w:val="20"/>
                <w:szCs w:val="20"/>
              </w:rPr>
            </w:pPr>
            <w:r>
              <w:rPr>
                <w:rFonts w:ascii="Arial" w:hAnsi="Arial" w:cs="Arial"/>
                <w:sz w:val="20"/>
                <w:szCs w:val="20"/>
              </w:rPr>
              <w:t>9,1463</w:t>
            </w:r>
          </w:p>
        </w:tc>
        <w:tc>
          <w:tcPr>
            <w:tcW w:w="1316" w:type="dxa"/>
            <w:gridSpan w:val="2"/>
          </w:tcPr>
          <w:p w:rsidR="00FD1525" w:rsidRDefault="00FD1525" w:rsidP="006C239A">
            <w:pPr>
              <w:jc w:val="center"/>
              <w:rPr>
                <w:rFonts w:ascii="Arial" w:hAnsi="Arial" w:cs="Arial"/>
                <w:sz w:val="20"/>
                <w:szCs w:val="20"/>
              </w:rPr>
            </w:pPr>
            <w:r>
              <w:rPr>
                <w:rFonts w:ascii="Arial" w:hAnsi="Arial" w:cs="Arial"/>
                <w:sz w:val="20"/>
                <w:szCs w:val="20"/>
              </w:rPr>
              <w:t>8,2598</w:t>
            </w:r>
          </w:p>
        </w:tc>
        <w:tc>
          <w:tcPr>
            <w:tcW w:w="720" w:type="dxa"/>
          </w:tcPr>
          <w:p w:rsidR="00FD1525" w:rsidRDefault="00FD1525" w:rsidP="00052FA2">
            <w:pPr>
              <w:jc w:val="center"/>
              <w:rPr>
                <w:rFonts w:ascii="Arial" w:hAnsi="Arial" w:cs="Arial"/>
                <w:sz w:val="20"/>
                <w:szCs w:val="20"/>
              </w:rPr>
            </w:pPr>
            <w:r>
              <w:rPr>
                <w:rFonts w:ascii="Arial" w:hAnsi="Arial" w:cs="Arial"/>
                <w:sz w:val="20"/>
                <w:szCs w:val="20"/>
              </w:rPr>
              <w:t>90,3</w:t>
            </w:r>
          </w:p>
        </w:tc>
        <w:tc>
          <w:tcPr>
            <w:tcW w:w="939" w:type="dxa"/>
          </w:tcPr>
          <w:p w:rsidR="00FD1525" w:rsidRDefault="00FD1525" w:rsidP="00FD1525">
            <w:pPr>
              <w:jc w:val="center"/>
            </w:pPr>
            <w:r w:rsidRPr="003A5EEA">
              <w:rPr>
                <w:rFonts w:ascii="Arial" w:hAnsi="Arial" w:cs="Arial"/>
                <w:sz w:val="20"/>
                <w:szCs w:val="20"/>
              </w:rPr>
              <w:t>0</w:t>
            </w:r>
          </w:p>
        </w:tc>
        <w:tc>
          <w:tcPr>
            <w:tcW w:w="668" w:type="dxa"/>
          </w:tcPr>
          <w:p w:rsidR="00FD1525" w:rsidRDefault="00FD1525" w:rsidP="00FD1525">
            <w:pPr>
              <w:jc w:val="center"/>
            </w:pPr>
            <w:r w:rsidRPr="001B6CC9">
              <w:rPr>
                <w:rFonts w:ascii="Arial" w:hAnsi="Arial" w:cs="Arial"/>
                <w:sz w:val="20"/>
                <w:szCs w:val="20"/>
              </w:rPr>
              <w:t>0</w:t>
            </w:r>
          </w:p>
        </w:tc>
        <w:tc>
          <w:tcPr>
            <w:tcW w:w="1186" w:type="dxa"/>
            <w:gridSpan w:val="2"/>
            <w:vAlign w:val="center"/>
          </w:tcPr>
          <w:p w:rsidR="00FD1525" w:rsidRDefault="00FD1525" w:rsidP="00052FA2">
            <w:pPr>
              <w:jc w:val="center"/>
              <w:rPr>
                <w:rFonts w:ascii="Arial" w:hAnsi="Arial" w:cs="Arial"/>
                <w:sz w:val="20"/>
                <w:szCs w:val="20"/>
              </w:rPr>
            </w:pPr>
            <w:r>
              <w:rPr>
                <w:rFonts w:ascii="Arial" w:hAnsi="Arial" w:cs="Arial"/>
                <w:sz w:val="20"/>
                <w:szCs w:val="20"/>
              </w:rPr>
              <w:t>0</w:t>
            </w:r>
          </w:p>
        </w:tc>
        <w:tc>
          <w:tcPr>
            <w:tcW w:w="510" w:type="dxa"/>
          </w:tcPr>
          <w:p w:rsidR="00FD1525" w:rsidRDefault="00FD1525" w:rsidP="00FD1525">
            <w:pPr>
              <w:jc w:val="center"/>
            </w:pPr>
            <w:r w:rsidRPr="004A23F6">
              <w:rPr>
                <w:rFonts w:ascii="Arial" w:hAnsi="Arial" w:cs="Arial"/>
                <w:sz w:val="20"/>
                <w:szCs w:val="20"/>
              </w:rPr>
              <w:t>0</w:t>
            </w:r>
          </w:p>
        </w:tc>
        <w:tc>
          <w:tcPr>
            <w:tcW w:w="939" w:type="dxa"/>
            <w:vAlign w:val="center"/>
          </w:tcPr>
          <w:p w:rsidR="00FD1525" w:rsidRDefault="00FD1525" w:rsidP="00052FA2">
            <w:pPr>
              <w:jc w:val="center"/>
              <w:rPr>
                <w:rFonts w:ascii="Arial" w:hAnsi="Arial" w:cs="Arial"/>
                <w:sz w:val="20"/>
                <w:szCs w:val="20"/>
              </w:rPr>
            </w:pPr>
            <w:r>
              <w:rPr>
                <w:rFonts w:ascii="Arial" w:hAnsi="Arial" w:cs="Arial"/>
                <w:sz w:val="20"/>
                <w:szCs w:val="20"/>
              </w:rPr>
              <w:t>0</w:t>
            </w:r>
          </w:p>
        </w:tc>
        <w:tc>
          <w:tcPr>
            <w:tcW w:w="767" w:type="dxa"/>
          </w:tcPr>
          <w:p w:rsidR="00FD1525" w:rsidRDefault="00FD1525" w:rsidP="00FD1525">
            <w:pPr>
              <w:jc w:val="center"/>
            </w:pPr>
            <w:r w:rsidRPr="003507D0">
              <w:rPr>
                <w:rFonts w:ascii="Arial" w:hAnsi="Arial" w:cs="Arial"/>
                <w:sz w:val="20"/>
                <w:szCs w:val="20"/>
              </w:rPr>
              <w:t>0</w:t>
            </w:r>
          </w:p>
        </w:tc>
        <w:tc>
          <w:tcPr>
            <w:tcW w:w="971" w:type="dxa"/>
            <w:gridSpan w:val="2"/>
            <w:vAlign w:val="center"/>
          </w:tcPr>
          <w:p w:rsidR="00FD1525" w:rsidRDefault="00FD1525" w:rsidP="00052FA2">
            <w:pPr>
              <w:jc w:val="center"/>
              <w:rPr>
                <w:rFonts w:ascii="Arial" w:hAnsi="Arial" w:cs="Arial"/>
                <w:sz w:val="20"/>
                <w:szCs w:val="20"/>
              </w:rPr>
            </w:pPr>
            <w:r>
              <w:rPr>
                <w:rFonts w:ascii="Arial" w:hAnsi="Arial" w:cs="Arial"/>
                <w:sz w:val="20"/>
                <w:szCs w:val="20"/>
              </w:rPr>
              <w:t>0</w:t>
            </w:r>
          </w:p>
        </w:tc>
        <w:tc>
          <w:tcPr>
            <w:tcW w:w="705" w:type="dxa"/>
          </w:tcPr>
          <w:p w:rsidR="00FD1525" w:rsidRDefault="00FD1525" w:rsidP="00FD1525">
            <w:pPr>
              <w:jc w:val="center"/>
            </w:pPr>
            <w:r w:rsidRPr="001175F4">
              <w:rPr>
                <w:rFonts w:ascii="Arial" w:hAnsi="Arial" w:cs="Arial"/>
                <w:sz w:val="20"/>
                <w:szCs w:val="20"/>
              </w:rPr>
              <w:t>0</w:t>
            </w:r>
          </w:p>
        </w:tc>
        <w:tc>
          <w:tcPr>
            <w:tcW w:w="1014" w:type="dxa"/>
            <w:vAlign w:val="center"/>
          </w:tcPr>
          <w:p w:rsidR="00FD1525" w:rsidRDefault="00FD1525" w:rsidP="00052FA2">
            <w:pPr>
              <w:jc w:val="center"/>
              <w:rPr>
                <w:rFonts w:ascii="Arial" w:hAnsi="Arial" w:cs="Arial"/>
                <w:sz w:val="20"/>
                <w:szCs w:val="20"/>
              </w:rPr>
            </w:pPr>
            <w:r>
              <w:rPr>
                <w:rFonts w:ascii="Arial" w:hAnsi="Arial" w:cs="Arial"/>
                <w:sz w:val="20"/>
                <w:szCs w:val="20"/>
              </w:rPr>
              <w:t>0,8865</w:t>
            </w:r>
          </w:p>
        </w:tc>
        <w:tc>
          <w:tcPr>
            <w:tcW w:w="732" w:type="dxa"/>
          </w:tcPr>
          <w:p w:rsidR="00FD1525" w:rsidRDefault="00FD1525" w:rsidP="00052FA2">
            <w:pPr>
              <w:jc w:val="center"/>
              <w:rPr>
                <w:rFonts w:ascii="Arial" w:hAnsi="Arial" w:cs="Arial"/>
                <w:sz w:val="20"/>
                <w:szCs w:val="20"/>
              </w:rPr>
            </w:pPr>
            <w:r>
              <w:rPr>
                <w:rFonts w:ascii="Arial" w:hAnsi="Arial" w:cs="Arial"/>
                <w:sz w:val="20"/>
                <w:szCs w:val="20"/>
              </w:rPr>
              <w:t>9,7</w:t>
            </w:r>
          </w:p>
        </w:tc>
      </w:tr>
      <w:tr w:rsidR="00FD1525">
        <w:tc>
          <w:tcPr>
            <w:tcW w:w="1503" w:type="dxa"/>
            <w:vMerge/>
          </w:tcPr>
          <w:p w:rsidR="00FD1525" w:rsidRDefault="00FD1525" w:rsidP="00632419">
            <w:pPr>
              <w:rPr>
                <w:rFonts w:ascii="Arial" w:hAnsi="Arial" w:cs="Arial"/>
                <w:sz w:val="20"/>
                <w:szCs w:val="20"/>
              </w:rPr>
            </w:pPr>
          </w:p>
        </w:tc>
        <w:tc>
          <w:tcPr>
            <w:tcW w:w="1504" w:type="dxa"/>
            <w:vAlign w:val="bottom"/>
          </w:tcPr>
          <w:p w:rsidR="00FD1525" w:rsidRPr="0003329F" w:rsidRDefault="00FD1525" w:rsidP="00213657">
            <w:pPr>
              <w:rPr>
                <w:rFonts w:ascii="Arial" w:hAnsi="Arial" w:cs="Arial"/>
                <w:sz w:val="20"/>
                <w:szCs w:val="20"/>
              </w:rPr>
            </w:pPr>
            <w:r w:rsidRPr="0003329F">
              <w:rPr>
                <w:rFonts w:ascii="Arial" w:hAnsi="Arial" w:cs="Arial"/>
                <w:sz w:val="20"/>
                <w:szCs w:val="20"/>
              </w:rPr>
              <w:t>Pofuki</w:t>
            </w:r>
          </w:p>
        </w:tc>
        <w:tc>
          <w:tcPr>
            <w:tcW w:w="1406" w:type="dxa"/>
          </w:tcPr>
          <w:p w:rsidR="00FD1525" w:rsidRDefault="00FD1525" w:rsidP="00247D23">
            <w:pPr>
              <w:jc w:val="center"/>
              <w:rPr>
                <w:rFonts w:ascii="Arial" w:hAnsi="Arial" w:cs="Arial"/>
                <w:sz w:val="20"/>
                <w:szCs w:val="20"/>
              </w:rPr>
            </w:pPr>
            <w:r>
              <w:rPr>
                <w:rFonts w:ascii="Arial" w:hAnsi="Arial" w:cs="Arial"/>
                <w:sz w:val="20"/>
                <w:szCs w:val="20"/>
              </w:rPr>
              <w:t>24,7348</w:t>
            </w:r>
          </w:p>
        </w:tc>
        <w:tc>
          <w:tcPr>
            <w:tcW w:w="1316" w:type="dxa"/>
            <w:gridSpan w:val="2"/>
          </w:tcPr>
          <w:p w:rsidR="00FD1525" w:rsidRDefault="00FD1525" w:rsidP="006C239A">
            <w:pPr>
              <w:jc w:val="center"/>
              <w:rPr>
                <w:rFonts w:ascii="Arial" w:hAnsi="Arial" w:cs="Arial"/>
                <w:sz w:val="20"/>
                <w:szCs w:val="20"/>
              </w:rPr>
            </w:pPr>
            <w:r>
              <w:rPr>
                <w:rFonts w:ascii="Arial" w:hAnsi="Arial" w:cs="Arial"/>
                <w:sz w:val="20"/>
                <w:szCs w:val="20"/>
              </w:rPr>
              <w:t>21,3253</w:t>
            </w:r>
          </w:p>
        </w:tc>
        <w:tc>
          <w:tcPr>
            <w:tcW w:w="720" w:type="dxa"/>
          </w:tcPr>
          <w:p w:rsidR="00FD1525" w:rsidRDefault="00FD1525" w:rsidP="00632419">
            <w:pPr>
              <w:rPr>
                <w:rFonts w:ascii="Arial" w:hAnsi="Arial" w:cs="Arial"/>
                <w:sz w:val="20"/>
                <w:szCs w:val="20"/>
              </w:rPr>
            </w:pPr>
            <w:r>
              <w:rPr>
                <w:rFonts w:ascii="Arial" w:hAnsi="Arial" w:cs="Arial"/>
                <w:sz w:val="20"/>
                <w:szCs w:val="20"/>
              </w:rPr>
              <w:t>86,2</w:t>
            </w:r>
          </w:p>
        </w:tc>
        <w:tc>
          <w:tcPr>
            <w:tcW w:w="939" w:type="dxa"/>
          </w:tcPr>
          <w:p w:rsidR="00FD1525" w:rsidRDefault="00FD1525" w:rsidP="00FD1525">
            <w:pPr>
              <w:jc w:val="center"/>
            </w:pPr>
            <w:r w:rsidRPr="003A5EEA">
              <w:rPr>
                <w:rFonts w:ascii="Arial" w:hAnsi="Arial" w:cs="Arial"/>
                <w:sz w:val="20"/>
                <w:szCs w:val="20"/>
              </w:rPr>
              <w:t>0</w:t>
            </w:r>
          </w:p>
        </w:tc>
        <w:tc>
          <w:tcPr>
            <w:tcW w:w="668" w:type="dxa"/>
          </w:tcPr>
          <w:p w:rsidR="00FD1525" w:rsidRDefault="00FD1525" w:rsidP="00FD1525">
            <w:pPr>
              <w:jc w:val="center"/>
            </w:pPr>
            <w:r w:rsidRPr="001B6CC9">
              <w:rPr>
                <w:rFonts w:ascii="Arial" w:hAnsi="Arial" w:cs="Arial"/>
                <w:sz w:val="20"/>
                <w:szCs w:val="20"/>
              </w:rPr>
              <w:t>0</w:t>
            </w:r>
          </w:p>
        </w:tc>
        <w:tc>
          <w:tcPr>
            <w:tcW w:w="1186" w:type="dxa"/>
            <w:gridSpan w:val="2"/>
            <w:vAlign w:val="center"/>
          </w:tcPr>
          <w:p w:rsidR="00FD1525" w:rsidRDefault="00FD1525" w:rsidP="00632419">
            <w:pPr>
              <w:jc w:val="center"/>
              <w:rPr>
                <w:rFonts w:ascii="Arial" w:hAnsi="Arial" w:cs="Arial"/>
                <w:sz w:val="20"/>
                <w:szCs w:val="20"/>
              </w:rPr>
            </w:pPr>
            <w:r>
              <w:rPr>
                <w:rFonts w:ascii="Arial" w:hAnsi="Arial" w:cs="Arial"/>
                <w:sz w:val="20"/>
                <w:szCs w:val="20"/>
              </w:rPr>
              <w:t>0,4276</w:t>
            </w:r>
          </w:p>
        </w:tc>
        <w:tc>
          <w:tcPr>
            <w:tcW w:w="510" w:type="dxa"/>
          </w:tcPr>
          <w:p w:rsidR="00FD1525" w:rsidRDefault="00FD1525" w:rsidP="00632419">
            <w:pPr>
              <w:jc w:val="center"/>
              <w:rPr>
                <w:rFonts w:ascii="Arial" w:hAnsi="Arial" w:cs="Arial"/>
                <w:sz w:val="20"/>
                <w:szCs w:val="20"/>
              </w:rPr>
            </w:pPr>
            <w:r>
              <w:rPr>
                <w:rFonts w:ascii="Arial" w:hAnsi="Arial" w:cs="Arial"/>
                <w:sz w:val="20"/>
                <w:szCs w:val="20"/>
              </w:rPr>
              <w:t>1,7</w:t>
            </w:r>
          </w:p>
        </w:tc>
        <w:tc>
          <w:tcPr>
            <w:tcW w:w="939" w:type="dxa"/>
            <w:vAlign w:val="center"/>
          </w:tcPr>
          <w:p w:rsidR="00FD1525" w:rsidRDefault="00FD1525" w:rsidP="00632419">
            <w:pPr>
              <w:jc w:val="center"/>
              <w:rPr>
                <w:rFonts w:ascii="Arial" w:hAnsi="Arial" w:cs="Arial"/>
                <w:sz w:val="20"/>
                <w:szCs w:val="20"/>
              </w:rPr>
            </w:pPr>
            <w:r>
              <w:rPr>
                <w:rFonts w:ascii="Arial" w:hAnsi="Arial" w:cs="Arial"/>
                <w:sz w:val="20"/>
                <w:szCs w:val="20"/>
              </w:rPr>
              <w:t>0</w:t>
            </w:r>
          </w:p>
        </w:tc>
        <w:tc>
          <w:tcPr>
            <w:tcW w:w="767" w:type="dxa"/>
          </w:tcPr>
          <w:p w:rsidR="00FD1525" w:rsidRDefault="00FD1525" w:rsidP="00FD1525">
            <w:pPr>
              <w:jc w:val="center"/>
            </w:pPr>
            <w:r w:rsidRPr="003507D0">
              <w:rPr>
                <w:rFonts w:ascii="Arial" w:hAnsi="Arial" w:cs="Arial"/>
                <w:sz w:val="20"/>
                <w:szCs w:val="20"/>
              </w:rPr>
              <w:t>0</w:t>
            </w:r>
          </w:p>
        </w:tc>
        <w:tc>
          <w:tcPr>
            <w:tcW w:w="971" w:type="dxa"/>
            <w:gridSpan w:val="2"/>
            <w:vAlign w:val="center"/>
          </w:tcPr>
          <w:p w:rsidR="00FD1525" w:rsidRDefault="00FD1525" w:rsidP="00632419">
            <w:pPr>
              <w:jc w:val="center"/>
              <w:rPr>
                <w:rFonts w:ascii="Arial" w:hAnsi="Arial" w:cs="Arial"/>
                <w:sz w:val="20"/>
                <w:szCs w:val="20"/>
              </w:rPr>
            </w:pPr>
            <w:r>
              <w:rPr>
                <w:rFonts w:ascii="Arial" w:hAnsi="Arial" w:cs="Arial"/>
                <w:sz w:val="20"/>
                <w:szCs w:val="20"/>
              </w:rPr>
              <w:t>0,4100</w:t>
            </w:r>
          </w:p>
        </w:tc>
        <w:tc>
          <w:tcPr>
            <w:tcW w:w="705" w:type="dxa"/>
          </w:tcPr>
          <w:p w:rsidR="00FD1525" w:rsidRDefault="00FD1525" w:rsidP="00632419">
            <w:pPr>
              <w:jc w:val="center"/>
              <w:rPr>
                <w:rFonts w:ascii="Arial" w:hAnsi="Arial" w:cs="Arial"/>
                <w:sz w:val="20"/>
                <w:szCs w:val="20"/>
              </w:rPr>
            </w:pPr>
            <w:r>
              <w:rPr>
                <w:rFonts w:ascii="Arial" w:hAnsi="Arial" w:cs="Arial"/>
                <w:sz w:val="20"/>
                <w:szCs w:val="20"/>
              </w:rPr>
              <w:t>1,6</w:t>
            </w:r>
          </w:p>
        </w:tc>
        <w:tc>
          <w:tcPr>
            <w:tcW w:w="1014" w:type="dxa"/>
            <w:vAlign w:val="center"/>
          </w:tcPr>
          <w:p w:rsidR="00FD1525" w:rsidRDefault="00FD1525" w:rsidP="00632419">
            <w:pPr>
              <w:jc w:val="center"/>
              <w:rPr>
                <w:rFonts w:ascii="Arial" w:hAnsi="Arial" w:cs="Arial"/>
                <w:sz w:val="20"/>
                <w:szCs w:val="20"/>
              </w:rPr>
            </w:pPr>
            <w:r>
              <w:rPr>
                <w:rFonts w:ascii="Arial" w:hAnsi="Arial" w:cs="Arial"/>
                <w:sz w:val="20"/>
                <w:szCs w:val="20"/>
              </w:rPr>
              <w:t>2,5719</w:t>
            </w:r>
          </w:p>
        </w:tc>
        <w:tc>
          <w:tcPr>
            <w:tcW w:w="732" w:type="dxa"/>
          </w:tcPr>
          <w:p w:rsidR="00FD1525" w:rsidRDefault="00FD1525" w:rsidP="00632419">
            <w:pPr>
              <w:jc w:val="center"/>
              <w:rPr>
                <w:rFonts w:ascii="Arial" w:hAnsi="Arial" w:cs="Arial"/>
                <w:sz w:val="20"/>
                <w:szCs w:val="20"/>
              </w:rPr>
            </w:pPr>
            <w:r>
              <w:rPr>
                <w:rFonts w:ascii="Arial" w:hAnsi="Arial" w:cs="Arial"/>
                <w:sz w:val="20"/>
                <w:szCs w:val="20"/>
              </w:rPr>
              <w:t>10,3</w:t>
            </w:r>
          </w:p>
        </w:tc>
      </w:tr>
      <w:tr w:rsidR="00FD1525">
        <w:tc>
          <w:tcPr>
            <w:tcW w:w="1503" w:type="dxa"/>
            <w:vMerge/>
          </w:tcPr>
          <w:p w:rsidR="00FD1525" w:rsidRDefault="00FD1525" w:rsidP="00632419">
            <w:pPr>
              <w:rPr>
                <w:rFonts w:ascii="Arial" w:hAnsi="Arial" w:cs="Arial"/>
                <w:sz w:val="20"/>
                <w:szCs w:val="20"/>
              </w:rPr>
            </w:pPr>
          </w:p>
        </w:tc>
        <w:tc>
          <w:tcPr>
            <w:tcW w:w="1504" w:type="dxa"/>
          </w:tcPr>
          <w:p w:rsidR="00FD1525" w:rsidRPr="008641E2" w:rsidRDefault="00FD1525" w:rsidP="00632419">
            <w:pPr>
              <w:rPr>
                <w:rFonts w:ascii="Arial" w:hAnsi="Arial" w:cs="Arial"/>
                <w:sz w:val="20"/>
                <w:szCs w:val="20"/>
              </w:rPr>
            </w:pPr>
            <w:r w:rsidRPr="008641E2">
              <w:rPr>
                <w:rFonts w:ascii="Arial" w:hAnsi="Arial" w:cs="Arial"/>
                <w:sz w:val="20"/>
                <w:szCs w:val="20"/>
              </w:rPr>
              <w:t>Štrigovec</w:t>
            </w:r>
          </w:p>
        </w:tc>
        <w:tc>
          <w:tcPr>
            <w:tcW w:w="1406" w:type="dxa"/>
          </w:tcPr>
          <w:p w:rsidR="00FD1525" w:rsidRDefault="00FD1525" w:rsidP="00E10A8B">
            <w:pPr>
              <w:jc w:val="center"/>
              <w:rPr>
                <w:rFonts w:ascii="Arial" w:hAnsi="Arial" w:cs="Arial"/>
                <w:sz w:val="20"/>
                <w:szCs w:val="20"/>
              </w:rPr>
            </w:pPr>
            <w:r>
              <w:rPr>
                <w:rFonts w:ascii="Arial" w:hAnsi="Arial" w:cs="Arial"/>
                <w:sz w:val="20"/>
                <w:szCs w:val="20"/>
              </w:rPr>
              <w:t>6,0435</w:t>
            </w:r>
          </w:p>
        </w:tc>
        <w:tc>
          <w:tcPr>
            <w:tcW w:w="1316" w:type="dxa"/>
            <w:gridSpan w:val="2"/>
          </w:tcPr>
          <w:p w:rsidR="00FD1525" w:rsidRDefault="00FD1525" w:rsidP="006C239A">
            <w:pPr>
              <w:jc w:val="center"/>
              <w:rPr>
                <w:rFonts w:ascii="Arial" w:hAnsi="Arial" w:cs="Arial"/>
                <w:sz w:val="20"/>
                <w:szCs w:val="20"/>
              </w:rPr>
            </w:pPr>
            <w:r>
              <w:rPr>
                <w:rFonts w:ascii="Arial" w:hAnsi="Arial" w:cs="Arial"/>
                <w:sz w:val="20"/>
                <w:szCs w:val="20"/>
              </w:rPr>
              <w:t>5,3708</w:t>
            </w:r>
          </w:p>
        </w:tc>
        <w:tc>
          <w:tcPr>
            <w:tcW w:w="720" w:type="dxa"/>
          </w:tcPr>
          <w:p w:rsidR="00FD1525" w:rsidRDefault="00FD1525" w:rsidP="00632419">
            <w:pPr>
              <w:rPr>
                <w:rFonts w:ascii="Arial" w:hAnsi="Arial" w:cs="Arial"/>
                <w:sz w:val="20"/>
                <w:szCs w:val="20"/>
              </w:rPr>
            </w:pPr>
            <w:r>
              <w:rPr>
                <w:rFonts w:ascii="Arial" w:hAnsi="Arial" w:cs="Arial"/>
                <w:sz w:val="20"/>
                <w:szCs w:val="20"/>
              </w:rPr>
              <w:t>88,8</w:t>
            </w:r>
          </w:p>
        </w:tc>
        <w:tc>
          <w:tcPr>
            <w:tcW w:w="939" w:type="dxa"/>
          </w:tcPr>
          <w:p w:rsidR="00FD1525" w:rsidRDefault="00FD1525" w:rsidP="00FD1525">
            <w:pPr>
              <w:jc w:val="center"/>
            </w:pPr>
            <w:r w:rsidRPr="003A5EEA">
              <w:rPr>
                <w:rFonts w:ascii="Arial" w:hAnsi="Arial" w:cs="Arial"/>
                <w:sz w:val="20"/>
                <w:szCs w:val="20"/>
              </w:rPr>
              <w:t>0</w:t>
            </w:r>
          </w:p>
        </w:tc>
        <w:tc>
          <w:tcPr>
            <w:tcW w:w="668" w:type="dxa"/>
          </w:tcPr>
          <w:p w:rsidR="00FD1525" w:rsidRDefault="00FD1525" w:rsidP="00FD1525">
            <w:pPr>
              <w:jc w:val="center"/>
            </w:pPr>
            <w:r w:rsidRPr="001B6CC9">
              <w:rPr>
                <w:rFonts w:ascii="Arial" w:hAnsi="Arial" w:cs="Arial"/>
                <w:sz w:val="20"/>
                <w:szCs w:val="20"/>
              </w:rPr>
              <w:t>0</w:t>
            </w:r>
          </w:p>
        </w:tc>
        <w:tc>
          <w:tcPr>
            <w:tcW w:w="1186" w:type="dxa"/>
            <w:gridSpan w:val="2"/>
            <w:vAlign w:val="center"/>
          </w:tcPr>
          <w:p w:rsidR="00FD1525" w:rsidRDefault="00FD1525" w:rsidP="00632419">
            <w:pPr>
              <w:jc w:val="center"/>
              <w:rPr>
                <w:rFonts w:ascii="Arial" w:hAnsi="Arial" w:cs="Arial"/>
                <w:sz w:val="20"/>
                <w:szCs w:val="20"/>
              </w:rPr>
            </w:pPr>
            <w:r>
              <w:rPr>
                <w:rFonts w:ascii="Arial" w:hAnsi="Arial" w:cs="Arial"/>
                <w:sz w:val="20"/>
                <w:szCs w:val="20"/>
              </w:rPr>
              <w:t>0</w:t>
            </w:r>
          </w:p>
        </w:tc>
        <w:tc>
          <w:tcPr>
            <w:tcW w:w="510" w:type="dxa"/>
          </w:tcPr>
          <w:p w:rsidR="00FD1525" w:rsidRDefault="00FD1525" w:rsidP="00FD1525">
            <w:pPr>
              <w:jc w:val="center"/>
              <w:rPr>
                <w:rFonts w:ascii="AmerType Md BT" w:hAnsi="AmerType Md BT" w:cs="Arial"/>
                <w:sz w:val="20"/>
                <w:szCs w:val="20"/>
              </w:rPr>
            </w:pPr>
            <w:r>
              <w:rPr>
                <w:rFonts w:ascii="Arial" w:hAnsi="Arial" w:cs="Arial"/>
                <w:sz w:val="20"/>
                <w:szCs w:val="20"/>
              </w:rPr>
              <w:t>0</w:t>
            </w:r>
          </w:p>
        </w:tc>
        <w:tc>
          <w:tcPr>
            <w:tcW w:w="939" w:type="dxa"/>
            <w:vAlign w:val="center"/>
          </w:tcPr>
          <w:p w:rsidR="00FD1525" w:rsidRDefault="00FD1525" w:rsidP="00632419">
            <w:pPr>
              <w:jc w:val="center"/>
              <w:rPr>
                <w:rFonts w:ascii="Arial" w:hAnsi="Arial" w:cs="Arial"/>
                <w:sz w:val="20"/>
                <w:szCs w:val="20"/>
              </w:rPr>
            </w:pPr>
            <w:r>
              <w:rPr>
                <w:rFonts w:ascii="Arial" w:hAnsi="Arial" w:cs="Arial"/>
                <w:sz w:val="20"/>
                <w:szCs w:val="20"/>
              </w:rPr>
              <w:t>0</w:t>
            </w:r>
          </w:p>
        </w:tc>
        <w:tc>
          <w:tcPr>
            <w:tcW w:w="767" w:type="dxa"/>
          </w:tcPr>
          <w:p w:rsidR="00FD1525" w:rsidRDefault="00FD1525" w:rsidP="00FD1525">
            <w:pPr>
              <w:jc w:val="center"/>
            </w:pPr>
            <w:r w:rsidRPr="003507D0">
              <w:rPr>
                <w:rFonts w:ascii="Arial" w:hAnsi="Arial" w:cs="Arial"/>
                <w:sz w:val="20"/>
                <w:szCs w:val="20"/>
              </w:rPr>
              <w:t>0</w:t>
            </w:r>
          </w:p>
        </w:tc>
        <w:tc>
          <w:tcPr>
            <w:tcW w:w="971" w:type="dxa"/>
            <w:gridSpan w:val="2"/>
            <w:vAlign w:val="center"/>
          </w:tcPr>
          <w:p w:rsidR="00FD1525" w:rsidRDefault="00FD1525" w:rsidP="00632419">
            <w:pPr>
              <w:jc w:val="center"/>
              <w:rPr>
                <w:rFonts w:ascii="Arial" w:hAnsi="Arial" w:cs="Arial"/>
                <w:sz w:val="20"/>
                <w:szCs w:val="20"/>
              </w:rPr>
            </w:pPr>
            <w:r>
              <w:rPr>
                <w:rFonts w:ascii="Arial" w:hAnsi="Arial" w:cs="Arial"/>
                <w:sz w:val="20"/>
                <w:szCs w:val="20"/>
              </w:rPr>
              <w:t>0</w:t>
            </w:r>
          </w:p>
        </w:tc>
        <w:tc>
          <w:tcPr>
            <w:tcW w:w="705" w:type="dxa"/>
          </w:tcPr>
          <w:p w:rsidR="00FD1525" w:rsidRDefault="00FD1525" w:rsidP="00FD1525">
            <w:pPr>
              <w:jc w:val="center"/>
            </w:pPr>
            <w:r w:rsidRPr="00B753DA">
              <w:rPr>
                <w:rFonts w:ascii="Arial" w:hAnsi="Arial" w:cs="Arial"/>
                <w:sz w:val="20"/>
                <w:szCs w:val="20"/>
              </w:rPr>
              <w:t>0</w:t>
            </w:r>
          </w:p>
        </w:tc>
        <w:tc>
          <w:tcPr>
            <w:tcW w:w="1014" w:type="dxa"/>
            <w:vAlign w:val="center"/>
          </w:tcPr>
          <w:p w:rsidR="00FD1525" w:rsidRDefault="00FD1525" w:rsidP="00632419">
            <w:pPr>
              <w:jc w:val="center"/>
              <w:rPr>
                <w:rFonts w:ascii="Arial" w:hAnsi="Arial" w:cs="Arial"/>
                <w:sz w:val="20"/>
                <w:szCs w:val="20"/>
              </w:rPr>
            </w:pPr>
            <w:r>
              <w:rPr>
                <w:rFonts w:ascii="Arial" w:hAnsi="Arial" w:cs="Arial"/>
                <w:sz w:val="20"/>
                <w:szCs w:val="20"/>
              </w:rPr>
              <w:t>0,6727</w:t>
            </w:r>
          </w:p>
        </w:tc>
        <w:tc>
          <w:tcPr>
            <w:tcW w:w="732" w:type="dxa"/>
          </w:tcPr>
          <w:p w:rsidR="00FD1525" w:rsidRDefault="00FD1525" w:rsidP="00632419">
            <w:pPr>
              <w:jc w:val="center"/>
              <w:rPr>
                <w:rFonts w:ascii="Arial" w:hAnsi="Arial" w:cs="Arial"/>
                <w:sz w:val="20"/>
                <w:szCs w:val="20"/>
              </w:rPr>
            </w:pPr>
            <w:r>
              <w:rPr>
                <w:rFonts w:ascii="Arial" w:hAnsi="Arial" w:cs="Arial"/>
                <w:sz w:val="20"/>
                <w:szCs w:val="20"/>
              </w:rPr>
              <w:t>12,2</w:t>
            </w:r>
          </w:p>
        </w:tc>
      </w:tr>
      <w:tr w:rsidR="00FD1525">
        <w:tc>
          <w:tcPr>
            <w:tcW w:w="1503" w:type="dxa"/>
            <w:vMerge/>
          </w:tcPr>
          <w:p w:rsidR="00FD1525" w:rsidRDefault="00FD1525" w:rsidP="00632419">
            <w:pPr>
              <w:rPr>
                <w:rFonts w:ascii="Arial" w:hAnsi="Arial" w:cs="Arial"/>
                <w:sz w:val="20"/>
                <w:szCs w:val="20"/>
              </w:rPr>
            </w:pPr>
          </w:p>
        </w:tc>
        <w:tc>
          <w:tcPr>
            <w:tcW w:w="1504" w:type="dxa"/>
            <w:vAlign w:val="bottom"/>
          </w:tcPr>
          <w:p w:rsidR="00FD1525" w:rsidRPr="008641E2" w:rsidRDefault="00FD1525" w:rsidP="00213657">
            <w:pPr>
              <w:rPr>
                <w:rFonts w:ascii="Arial" w:hAnsi="Arial" w:cs="Arial"/>
                <w:b/>
                <w:bCs/>
                <w:sz w:val="20"/>
                <w:szCs w:val="20"/>
              </w:rPr>
            </w:pPr>
            <w:r w:rsidRPr="008641E2">
              <w:rPr>
                <w:rFonts w:ascii="Arial" w:hAnsi="Arial" w:cs="Arial"/>
                <w:sz w:val="20"/>
              </w:rPr>
              <w:t>Vukšinec R.</w:t>
            </w:r>
          </w:p>
        </w:tc>
        <w:tc>
          <w:tcPr>
            <w:tcW w:w="1406" w:type="dxa"/>
          </w:tcPr>
          <w:p w:rsidR="00FD1525" w:rsidRDefault="00FD1525" w:rsidP="00632419">
            <w:pPr>
              <w:jc w:val="center"/>
              <w:rPr>
                <w:rFonts w:ascii="Arial" w:hAnsi="Arial" w:cs="Arial"/>
                <w:sz w:val="20"/>
                <w:szCs w:val="20"/>
              </w:rPr>
            </w:pPr>
            <w:r>
              <w:rPr>
                <w:rFonts w:ascii="Arial" w:hAnsi="Arial" w:cs="Arial"/>
                <w:sz w:val="20"/>
                <w:szCs w:val="20"/>
              </w:rPr>
              <w:t>3,7440</w:t>
            </w:r>
          </w:p>
        </w:tc>
        <w:tc>
          <w:tcPr>
            <w:tcW w:w="1316" w:type="dxa"/>
            <w:gridSpan w:val="2"/>
          </w:tcPr>
          <w:p w:rsidR="00FD1525" w:rsidRDefault="00FD1525" w:rsidP="006C239A">
            <w:pPr>
              <w:jc w:val="center"/>
              <w:rPr>
                <w:rFonts w:ascii="Arial" w:hAnsi="Arial" w:cs="Arial"/>
                <w:sz w:val="20"/>
                <w:szCs w:val="20"/>
              </w:rPr>
            </w:pPr>
            <w:r>
              <w:rPr>
                <w:rFonts w:ascii="Arial" w:hAnsi="Arial" w:cs="Arial"/>
                <w:sz w:val="20"/>
                <w:szCs w:val="20"/>
              </w:rPr>
              <w:t>3,524</w:t>
            </w:r>
          </w:p>
        </w:tc>
        <w:tc>
          <w:tcPr>
            <w:tcW w:w="720" w:type="dxa"/>
          </w:tcPr>
          <w:p w:rsidR="00FD1525" w:rsidRDefault="00FD1525" w:rsidP="00632419">
            <w:pPr>
              <w:rPr>
                <w:rFonts w:ascii="Arial" w:hAnsi="Arial" w:cs="Arial"/>
                <w:sz w:val="20"/>
                <w:szCs w:val="20"/>
              </w:rPr>
            </w:pPr>
            <w:r>
              <w:rPr>
                <w:rFonts w:ascii="Arial" w:hAnsi="Arial" w:cs="Arial"/>
                <w:sz w:val="20"/>
                <w:szCs w:val="20"/>
              </w:rPr>
              <w:t>94,1</w:t>
            </w:r>
          </w:p>
        </w:tc>
        <w:tc>
          <w:tcPr>
            <w:tcW w:w="939" w:type="dxa"/>
          </w:tcPr>
          <w:p w:rsidR="00FD1525" w:rsidRDefault="00FD1525" w:rsidP="00FD1525">
            <w:pPr>
              <w:jc w:val="center"/>
            </w:pPr>
            <w:r w:rsidRPr="003A5EEA">
              <w:rPr>
                <w:rFonts w:ascii="Arial" w:hAnsi="Arial" w:cs="Arial"/>
                <w:sz w:val="20"/>
                <w:szCs w:val="20"/>
              </w:rPr>
              <w:t>0</w:t>
            </w:r>
          </w:p>
        </w:tc>
        <w:tc>
          <w:tcPr>
            <w:tcW w:w="668" w:type="dxa"/>
          </w:tcPr>
          <w:p w:rsidR="00FD1525" w:rsidRDefault="00FD1525" w:rsidP="00FD1525">
            <w:pPr>
              <w:jc w:val="center"/>
            </w:pPr>
            <w:r w:rsidRPr="001B6CC9">
              <w:rPr>
                <w:rFonts w:ascii="Arial" w:hAnsi="Arial" w:cs="Arial"/>
                <w:sz w:val="20"/>
                <w:szCs w:val="20"/>
              </w:rPr>
              <w:t>0</w:t>
            </w:r>
          </w:p>
        </w:tc>
        <w:tc>
          <w:tcPr>
            <w:tcW w:w="1186" w:type="dxa"/>
            <w:gridSpan w:val="2"/>
            <w:vAlign w:val="center"/>
          </w:tcPr>
          <w:p w:rsidR="00FD1525" w:rsidRDefault="00FD1525" w:rsidP="00632419">
            <w:pPr>
              <w:jc w:val="center"/>
              <w:rPr>
                <w:rFonts w:ascii="Arial" w:hAnsi="Arial" w:cs="Arial"/>
                <w:sz w:val="20"/>
                <w:szCs w:val="20"/>
              </w:rPr>
            </w:pPr>
            <w:r>
              <w:rPr>
                <w:rFonts w:ascii="Arial" w:hAnsi="Arial" w:cs="Arial"/>
                <w:sz w:val="20"/>
                <w:szCs w:val="20"/>
              </w:rPr>
              <w:t>0,0287</w:t>
            </w:r>
          </w:p>
        </w:tc>
        <w:tc>
          <w:tcPr>
            <w:tcW w:w="510" w:type="dxa"/>
          </w:tcPr>
          <w:p w:rsidR="00FD1525" w:rsidRDefault="00FD1525" w:rsidP="00632419">
            <w:pPr>
              <w:jc w:val="center"/>
              <w:rPr>
                <w:rFonts w:ascii="Arial" w:hAnsi="Arial" w:cs="Arial"/>
                <w:sz w:val="20"/>
                <w:szCs w:val="20"/>
              </w:rPr>
            </w:pPr>
            <w:r>
              <w:rPr>
                <w:rFonts w:ascii="Arial" w:hAnsi="Arial" w:cs="Arial"/>
                <w:sz w:val="20"/>
                <w:szCs w:val="20"/>
              </w:rPr>
              <w:t>0,7</w:t>
            </w:r>
          </w:p>
        </w:tc>
        <w:tc>
          <w:tcPr>
            <w:tcW w:w="939" w:type="dxa"/>
          </w:tcPr>
          <w:p w:rsidR="00FD1525" w:rsidRDefault="00FD1525" w:rsidP="00632419">
            <w:pPr>
              <w:jc w:val="center"/>
              <w:rPr>
                <w:rFonts w:ascii="Arial" w:hAnsi="Arial" w:cs="Arial"/>
                <w:sz w:val="20"/>
                <w:szCs w:val="20"/>
              </w:rPr>
            </w:pPr>
            <w:r>
              <w:rPr>
                <w:rFonts w:ascii="Arial" w:hAnsi="Arial" w:cs="Arial"/>
                <w:sz w:val="20"/>
                <w:szCs w:val="20"/>
              </w:rPr>
              <w:t>0</w:t>
            </w:r>
          </w:p>
        </w:tc>
        <w:tc>
          <w:tcPr>
            <w:tcW w:w="767" w:type="dxa"/>
          </w:tcPr>
          <w:p w:rsidR="00FD1525" w:rsidRDefault="00FD1525" w:rsidP="00FD1525">
            <w:pPr>
              <w:jc w:val="center"/>
            </w:pPr>
            <w:r w:rsidRPr="003507D0">
              <w:rPr>
                <w:rFonts w:ascii="Arial" w:hAnsi="Arial" w:cs="Arial"/>
                <w:sz w:val="20"/>
                <w:szCs w:val="20"/>
              </w:rPr>
              <w:t>0</w:t>
            </w:r>
          </w:p>
        </w:tc>
        <w:tc>
          <w:tcPr>
            <w:tcW w:w="971" w:type="dxa"/>
            <w:gridSpan w:val="2"/>
            <w:vAlign w:val="center"/>
          </w:tcPr>
          <w:p w:rsidR="00FD1525" w:rsidRDefault="00FD1525" w:rsidP="00632419">
            <w:pPr>
              <w:jc w:val="center"/>
              <w:rPr>
                <w:rFonts w:ascii="Arial" w:hAnsi="Arial" w:cs="Arial"/>
                <w:sz w:val="20"/>
                <w:szCs w:val="20"/>
              </w:rPr>
            </w:pPr>
            <w:r>
              <w:rPr>
                <w:rFonts w:ascii="Arial" w:hAnsi="Arial" w:cs="Arial"/>
                <w:sz w:val="20"/>
                <w:szCs w:val="20"/>
              </w:rPr>
              <w:t>0</w:t>
            </w:r>
          </w:p>
        </w:tc>
        <w:tc>
          <w:tcPr>
            <w:tcW w:w="705" w:type="dxa"/>
          </w:tcPr>
          <w:p w:rsidR="00FD1525" w:rsidRDefault="00FD1525" w:rsidP="00FD1525">
            <w:pPr>
              <w:jc w:val="center"/>
            </w:pPr>
            <w:r w:rsidRPr="00B753DA">
              <w:rPr>
                <w:rFonts w:ascii="Arial" w:hAnsi="Arial" w:cs="Arial"/>
                <w:sz w:val="20"/>
                <w:szCs w:val="20"/>
              </w:rPr>
              <w:t>0</w:t>
            </w:r>
          </w:p>
        </w:tc>
        <w:tc>
          <w:tcPr>
            <w:tcW w:w="1014" w:type="dxa"/>
            <w:vAlign w:val="center"/>
          </w:tcPr>
          <w:p w:rsidR="00FD1525" w:rsidRDefault="00FD1525" w:rsidP="00632419">
            <w:pPr>
              <w:jc w:val="center"/>
              <w:rPr>
                <w:rFonts w:ascii="Arial" w:hAnsi="Arial" w:cs="Arial"/>
                <w:sz w:val="20"/>
                <w:szCs w:val="20"/>
              </w:rPr>
            </w:pPr>
            <w:r>
              <w:rPr>
                <w:rFonts w:ascii="Arial" w:hAnsi="Arial" w:cs="Arial"/>
                <w:sz w:val="20"/>
                <w:szCs w:val="20"/>
              </w:rPr>
              <w:t>0,1913</w:t>
            </w:r>
          </w:p>
        </w:tc>
        <w:tc>
          <w:tcPr>
            <w:tcW w:w="732" w:type="dxa"/>
          </w:tcPr>
          <w:p w:rsidR="00FD1525" w:rsidRDefault="00FD1525" w:rsidP="00632419">
            <w:pPr>
              <w:jc w:val="center"/>
              <w:rPr>
                <w:rFonts w:ascii="Arial" w:hAnsi="Arial" w:cs="Arial"/>
                <w:sz w:val="20"/>
                <w:szCs w:val="20"/>
              </w:rPr>
            </w:pPr>
            <w:r>
              <w:rPr>
                <w:rFonts w:ascii="Arial" w:hAnsi="Arial" w:cs="Arial"/>
                <w:sz w:val="20"/>
                <w:szCs w:val="20"/>
              </w:rPr>
              <w:t>5,1</w:t>
            </w:r>
          </w:p>
        </w:tc>
      </w:tr>
      <w:tr w:rsidR="00FD1525" w:rsidRPr="00B23D6D">
        <w:tc>
          <w:tcPr>
            <w:tcW w:w="3007" w:type="dxa"/>
            <w:gridSpan w:val="2"/>
          </w:tcPr>
          <w:p w:rsidR="00FD1525" w:rsidRPr="00B23D6D" w:rsidRDefault="00FD1525" w:rsidP="00632419">
            <w:pPr>
              <w:jc w:val="center"/>
              <w:rPr>
                <w:rFonts w:ascii="AmerType Md BT" w:hAnsi="AmerType Md BT" w:cs="Arial"/>
                <w:b/>
                <w:sz w:val="20"/>
                <w:szCs w:val="20"/>
              </w:rPr>
            </w:pPr>
            <w:r w:rsidRPr="00B23D6D">
              <w:rPr>
                <w:rFonts w:ascii="AmerType Md BT" w:hAnsi="AmerType Md BT" w:cs="Arial"/>
                <w:b/>
                <w:sz w:val="20"/>
                <w:szCs w:val="20"/>
              </w:rPr>
              <w:t>ukupno</w:t>
            </w:r>
          </w:p>
        </w:tc>
        <w:tc>
          <w:tcPr>
            <w:tcW w:w="1406" w:type="dxa"/>
          </w:tcPr>
          <w:p w:rsidR="00FD1525" w:rsidRPr="00B23D6D" w:rsidRDefault="00FD1525" w:rsidP="00225369">
            <w:pPr>
              <w:jc w:val="center"/>
              <w:rPr>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=SUM(ABOVE) </w:instrText>
            </w:r>
            <w:r>
              <w:rPr>
                <w:rFonts w:ascii="Arial" w:hAnsi="Arial" w:cs="Arial"/>
                <w:b/>
                <w:sz w:val="20"/>
                <w:szCs w:val="20"/>
              </w:rPr>
              <w:fldChar w:fldCharType="separate"/>
            </w:r>
            <w:r>
              <w:rPr>
                <w:rFonts w:ascii="Arial" w:hAnsi="Arial" w:cs="Arial"/>
                <w:b/>
                <w:noProof/>
                <w:sz w:val="20"/>
                <w:szCs w:val="20"/>
              </w:rPr>
              <w:t>222,0703</w:t>
            </w:r>
            <w:r>
              <w:rPr>
                <w:rFonts w:ascii="Arial" w:hAnsi="Arial" w:cs="Arial"/>
                <w:b/>
                <w:sz w:val="20"/>
                <w:szCs w:val="20"/>
              </w:rPr>
              <w:fldChar w:fldCharType="end"/>
            </w:r>
          </w:p>
        </w:tc>
        <w:tc>
          <w:tcPr>
            <w:tcW w:w="1316" w:type="dxa"/>
            <w:gridSpan w:val="2"/>
          </w:tcPr>
          <w:p w:rsidR="00FD1525" w:rsidRPr="00B23D6D" w:rsidRDefault="00FD1525" w:rsidP="00632419">
            <w:pPr>
              <w:rPr>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=SUM(ABOVE) </w:instrText>
            </w:r>
            <w:r>
              <w:rPr>
                <w:rFonts w:ascii="Arial" w:hAnsi="Arial" w:cs="Arial"/>
                <w:b/>
                <w:sz w:val="20"/>
                <w:szCs w:val="20"/>
              </w:rPr>
              <w:fldChar w:fldCharType="separate"/>
            </w:r>
            <w:r>
              <w:rPr>
                <w:rFonts w:ascii="Arial" w:hAnsi="Arial" w:cs="Arial"/>
                <w:b/>
                <w:noProof/>
                <w:sz w:val="20"/>
                <w:szCs w:val="20"/>
              </w:rPr>
              <w:t>190,5589</w:t>
            </w:r>
            <w:r>
              <w:rPr>
                <w:rFonts w:ascii="Arial" w:hAnsi="Arial" w:cs="Arial"/>
                <w:b/>
                <w:sz w:val="20"/>
                <w:szCs w:val="20"/>
              </w:rPr>
              <w:fldChar w:fldCharType="end"/>
            </w:r>
          </w:p>
        </w:tc>
        <w:tc>
          <w:tcPr>
            <w:tcW w:w="720" w:type="dxa"/>
          </w:tcPr>
          <w:p w:rsidR="00FD1525" w:rsidRPr="00B23D6D" w:rsidRDefault="00FD1525" w:rsidP="00632419">
            <w:pPr>
              <w:rPr>
                <w:rFonts w:ascii="Arial" w:hAnsi="Arial" w:cs="Arial"/>
                <w:b/>
                <w:sz w:val="20"/>
                <w:szCs w:val="20"/>
              </w:rPr>
            </w:pPr>
            <w:r>
              <w:rPr>
                <w:rFonts w:ascii="Arial" w:hAnsi="Arial" w:cs="Arial"/>
                <w:b/>
                <w:sz w:val="20"/>
                <w:szCs w:val="20"/>
              </w:rPr>
              <w:t>85,8</w:t>
            </w:r>
          </w:p>
        </w:tc>
        <w:tc>
          <w:tcPr>
            <w:tcW w:w="939" w:type="dxa"/>
          </w:tcPr>
          <w:p w:rsidR="00FD1525" w:rsidRPr="00B23D6D" w:rsidRDefault="00FD1525" w:rsidP="00632419">
            <w:pPr>
              <w:rPr>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=SUM(ABOVE) </w:instrText>
            </w:r>
            <w:r>
              <w:rPr>
                <w:rFonts w:ascii="Arial" w:hAnsi="Arial" w:cs="Arial"/>
                <w:b/>
                <w:sz w:val="20"/>
                <w:szCs w:val="20"/>
              </w:rPr>
              <w:fldChar w:fldCharType="separate"/>
            </w:r>
            <w:r>
              <w:rPr>
                <w:rFonts w:ascii="Arial" w:hAnsi="Arial" w:cs="Arial"/>
                <w:b/>
                <w:noProof/>
                <w:sz w:val="20"/>
                <w:szCs w:val="20"/>
              </w:rPr>
              <w:t>0,1204</w:t>
            </w:r>
            <w:r>
              <w:rPr>
                <w:rFonts w:ascii="Arial" w:hAnsi="Arial" w:cs="Arial"/>
                <w:b/>
                <w:sz w:val="20"/>
                <w:szCs w:val="20"/>
              </w:rPr>
              <w:fldChar w:fldCharType="end"/>
            </w:r>
          </w:p>
        </w:tc>
        <w:tc>
          <w:tcPr>
            <w:tcW w:w="668" w:type="dxa"/>
          </w:tcPr>
          <w:p w:rsidR="00FD1525" w:rsidRPr="00B23D6D" w:rsidRDefault="00FD1525" w:rsidP="00632419">
            <w:pPr>
              <w:rPr>
                <w:rFonts w:ascii="Arial" w:hAnsi="Arial" w:cs="Arial"/>
                <w:b/>
                <w:sz w:val="20"/>
                <w:szCs w:val="20"/>
              </w:rPr>
            </w:pPr>
            <w:r>
              <w:rPr>
                <w:rFonts w:ascii="Arial" w:hAnsi="Arial" w:cs="Arial"/>
                <w:b/>
                <w:sz w:val="20"/>
                <w:szCs w:val="20"/>
              </w:rPr>
              <w:t>0,05</w:t>
            </w:r>
          </w:p>
        </w:tc>
        <w:tc>
          <w:tcPr>
            <w:tcW w:w="1186" w:type="dxa"/>
            <w:gridSpan w:val="2"/>
          </w:tcPr>
          <w:p w:rsidR="00FD1525" w:rsidRPr="00B23D6D" w:rsidRDefault="00FD1525" w:rsidP="00632419">
            <w:pPr>
              <w:jc w:val="center"/>
              <w:rPr>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=SUM(ABOVE) </w:instrText>
            </w:r>
            <w:r>
              <w:rPr>
                <w:rFonts w:ascii="Arial" w:hAnsi="Arial" w:cs="Arial"/>
                <w:b/>
                <w:sz w:val="20"/>
                <w:szCs w:val="20"/>
              </w:rPr>
              <w:fldChar w:fldCharType="separate"/>
            </w:r>
            <w:r>
              <w:rPr>
                <w:rFonts w:ascii="Arial" w:hAnsi="Arial" w:cs="Arial"/>
                <w:b/>
                <w:noProof/>
                <w:sz w:val="20"/>
                <w:szCs w:val="20"/>
              </w:rPr>
              <w:t>3,7268</w:t>
            </w:r>
            <w:r>
              <w:rPr>
                <w:rFonts w:ascii="Arial" w:hAnsi="Arial" w:cs="Arial"/>
                <w:b/>
                <w:sz w:val="20"/>
                <w:szCs w:val="20"/>
              </w:rPr>
              <w:fldChar w:fldCharType="end"/>
            </w:r>
          </w:p>
        </w:tc>
        <w:tc>
          <w:tcPr>
            <w:tcW w:w="510" w:type="dxa"/>
          </w:tcPr>
          <w:p w:rsidR="00FD1525" w:rsidRPr="00B23D6D" w:rsidRDefault="00FD1525" w:rsidP="00632419">
            <w:pPr>
              <w:jc w:val="center"/>
              <w:rPr>
                <w:rFonts w:ascii="Arial" w:hAnsi="Arial" w:cs="Arial"/>
                <w:b/>
                <w:sz w:val="20"/>
                <w:szCs w:val="20"/>
              </w:rPr>
            </w:pPr>
            <w:r>
              <w:rPr>
                <w:rFonts w:ascii="Arial" w:hAnsi="Arial" w:cs="Arial"/>
                <w:b/>
                <w:sz w:val="20"/>
                <w:szCs w:val="20"/>
              </w:rPr>
              <w:t>1,6</w:t>
            </w:r>
          </w:p>
        </w:tc>
        <w:tc>
          <w:tcPr>
            <w:tcW w:w="939" w:type="dxa"/>
          </w:tcPr>
          <w:p w:rsidR="00FD1525" w:rsidRPr="00B23D6D" w:rsidRDefault="00FD1525" w:rsidP="00632419">
            <w:pPr>
              <w:jc w:val="center"/>
              <w:rPr>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=SUM(ABOVE) </w:instrText>
            </w:r>
            <w:r>
              <w:rPr>
                <w:rFonts w:ascii="Arial" w:hAnsi="Arial" w:cs="Arial"/>
                <w:b/>
                <w:sz w:val="20"/>
                <w:szCs w:val="20"/>
              </w:rPr>
              <w:fldChar w:fldCharType="separate"/>
            </w:r>
            <w:r>
              <w:rPr>
                <w:rFonts w:ascii="Arial" w:hAnsi="Arial" w:cs="Arial"/>
                <w:b/>
                <w:noProof/>
                <w:sz w:val="20"/>
                <w:szCs w:val="20"/>
              </w:rPr>
              <w:t>7,7127</w:t>
            </w:r>
            <w:r>
              <w:rPr>
                <w:rFonts w:ascii="Arial" w:hAnsi="Arial" w:cs="Arial"/>
                <w:b/>
                <w:sz w:val="20"/>
                <w:szCs w:val="20"/>
              </w:rPr>
              <w:fldChar w:fldCharType="end"/>
            </w:r>
          </w:p>
        </w:tc>
        <w:tc>
          <w:tcPr>
            <w:tcW w:w="767" w:type="dxa"/>
          </w:tcPr>
          <w:p w:rsidR="00FD1525" w:rsidRPr="00B23D6D" w:rsidRDefault="00FD1525" w:rsidP="00632419">
            <w:pPr>
              <w:jc w:val="center"/>
              <w:rPr>
                <w:rFonts w:ascii="Arial" w:hAnsi="Arial" w:cs="Arial"/>
                <w:b/>
                <w:sz w:val="20"/>
                <w:szCs w:val="20"/>
              </w:rPr>
            </w:pPr>
            <w:r>
              <w:rPr>
                <w:rFonts w:ascii="Arial" w:hAnsi="Arial" w:cs="Arial"/>
                <w:b/>
                <w:sz w:val="20"/>
                <w:szCs w:val="20"/>
              </w:rPr>
              <w:t>3,4</w:t>
            </w:r>
          </w:p>
        </w:tc>
        <w:tc>
          <w:tcPr>
            <w:tcW w:w="971" w:type="dxa"/>
            <w:gridSpan w:val="2"/>
          </w:tcPr>
          <w:p w:rsidR="00FD1525" w:rsidRPr="00B23D6D" w:rsidRDefault="00FD1525" w:rsidP="00632419">
            <w:pPr>
              <w:jc w:val="center"/>
              <w:rPr>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=SUM(ABOVE) </w:instrText>
            </w:r>
            <w:r>
              <w:rPr>
                <w:rFonts w:ascii="Arial" w:hAnsi="Arial" w:cs="Arial"/>
                <w:b/>
                <w:sz w:val="20"/>
                <w:szCs w:val="20"/>
              </w:rPr>
              <w:fldChar w:fldCharType="separate"/>
            </w:r>
            <w:r>
              <w:rPr>
                <w:rFonts w:ascii="Arial" w:hAnsi="Arial" w:cs="Arial"/>
                <w:b/>
                <w:noProof/>
                <w:sz w:val="20"/>
                <w:szCs w:val="20"/>
              </w:rPr>
              <w:t>2,6306</w:t>
            </w:r>
            <w:r>
              <w:rPr>
                <w:rFonts w:ascii="Arial" w:hAnsi="Arial" w:cs="Arial"/>
                <w:b/>
                <w:sz w:val="20"/>
                <w:szCs w:val="20"/>
              </w:rPr>
              <w:fldChar w:fldCharType="end"/>
            </w:r>
          </w:p>
        </w:tc>
        <w:tc>
          <w:tcPr>
            <w:tcW w:w="705" w:type="dxa"/>
          </w:tcPr>
          <w:p w:rsidR="00FD1525" w:rsidRPr="00B23D6D" w:rsidRDefault="00FD1525" w:rsidP="00632419">
            <w:pPr>
              <w:jc w:val="center"/>
              <w:rPr>
                <w:rFonts w:ascii="Arial" w:hAnsi="Arial" w:cs="Arial"/>
                <w:b/>
                <w:sz w:val="20"/>
                <w:szCs w:val="20"/>
              </w:rPr>
            </w:pPr>
            <w:r>
              <w:rPr>
                <w:rFonts w:ascii="Arial" w:hAnsi="Arial" w:cs="Arial"/>
                <w:b/>
                <w:sz w:val="20"/>
                <w:szCs w:val="20"/>
              </w:rPr>
              <w:t>1,1</w:t>
            </w:r>
          </w:p>
        </w:tc>
        <w:tc>
          <w:tcPr>
            <w:tcW w:w="1014" w:type="dxa"/>
          </w:tcPr>
          <w:p w:rsidR="00FD1525" w:rsidRPr="00B23D6D" w:rsidRDefault="00FD1525" w:rsidP="00632419">
            <w:pPr>
              <w:jc w:val="center"/>
              <w:rPr>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=SUM(ABOVE) </w:instrText>
            </w:r>
            <w:r>
              <w:rPr>
                <w:rFonts w:ascii="Arial" w:hAnsi="Arial" w:cs="Arial"/>
                <w:b/>
                <w:sz w:val="20"/>
                <w:szCs w:val="20"/>
              </w:rPr>
              <w:fldChar w:fldCharType="separate"/>
            </w:r>
            <w:r>
              <w:rPr>
                <w:rFonts w:ascii="Arial" w:hAnsi="Arial" w:cs="Arial"/>
                <w:b/>
                <w:noProof/>
                <w:sz w:val="20"/>
                <w:szCs w:val="20"/>
              </w:rPr>
              <w:t>17,5648</w:t>
            </w:r>
            <w:r>
              <w:rPr>
                <w:rFonts w:ascii="Arial" w:hAnsi="Arial" w:cs="Arial"/>
                <w:b/>
                <w:sz w:val="20"/>
                <w:szCs w:val="20"/>
              </w:rPr>
              <w:fldChar w:fldCharType="end"/>
            </w:r>
          </w:p>
        </w:tc>
        <w:tc>
          <w:tcPr>
            <w:tcW w:w="732" w:type="dxa"/>
          </w:tcPr>
          <w:p w:rsidR="00FD1525" w:rsidRPr="00B23D6D" w:rsidRDefault="00FD1525" w:rsidP="00632419">
            <w:pPr>
              <w:jc w:val="center"/>
              <w:rPr>
                <w:rFonts w:ascii="Arial" w:hAnsi="Arial" w:cs="Arial"/>
                <w:b/>
                <w:sz w:val="20"/>
                <w:szCs w:val="20"/>
              </w:rPr>
            </w:pPr>
            <w:r>
              <w:rPr>
                <w:rFonts w:ascii="Arial" w:hAnsi="Arial" w:cs="Arial"/>
                <w:b/>
                <w:sz w:val="20"/>
                <w:szCs w:val="20"/>
              </w:rPr>
              <w:t>7,9</w:t>
            </w:r>
          </w:p>
        </w:tc>
      </w:tr>
      <w:tr w:rsidR="00FD1525">
        <w:tc>
          <w:tcPr>
            <w:tcW w:w="1503" w:type="dxa"/>
            <w:vMerge w:val="restart"/>
          </w:tcPr>
          <w:p w:rsidR="00FD1525" w:rsidRDefault="00FD1525" w:rsidP="0012288D">
            <w:pPr>
              <w:rPr>
                <w:rFonts w:ascii="AmerType Md BT" w:hAnsi="AmerType Md BT" w:cs="Arial"/>
                <w:sz w:val="20"/>
                <w:szCs w:val="20"/>
              </w:rPr>
            </w:pPr>
            <w:r>
              <w:rPr>
                <w:rFonts w:ascii="AmerType Md BT" w:hAnsi="AmerType Md BT" w:cs="Arial"/>
                <w:sz w:val="20"/>
                <w:szCs w:val="20"/>
              </w:rPr>
              <w:t>Površine za razvoj</w:t>
            </w:r>
          </w:p>
        </w:tc>
        <w:tc>
          <w:tcPr>
            <w:tcW w:w="1504" w:type="dxa"/>
            <w:vAlign w:val="bottom"/>
          </w:tcPr>
          <w:p w:rsidR="00FD1525" w:rsidRDefault="00FD1525" w:rsidP="00213657">
            <w:pPr>
              <w:rPr>
                <w:rFonts w:ascii="Arial" w:hAnsi="Arial" w:cs="Arial"/>
                <w:sz w:val="20"/>
                <w:szCs w:val="20"/>
              </w:rPr>
            </w:pPr>
            <w:r w:rsidRPr="0003329F">
              <w:rPr>
                <w:rFonts w:ascii="Arial" w:hAnsi="Arial" w:cs="Arial"/>
                <w:sz w:val="20"/>
                <w:szCs w:val="20"/>
              </w:rPr>
              <w:t>Barlabaševec</w:t>
            </w:r>
          </w:p>
        </w:tc>
        <w:tc>
          <w:tcPr>
            <w:tcW w:w="1406" w:type="dxa"/>
          </w:tcPr>
          <w:p w:rsidR="00FD1525" w:rsidRDefault="00FD1525" w:rsidP="00FD1525">
            <w:pPr>
              <w:jc w:val="center"/>
            </w:pPr>
            <w:r w:rsidRPr="00D63486">
              <w:rPr>
                <w:rFonts w:ascii="Arial" w:hAnsi="Arial" w:cs="Arial"/>
                <w:sz w:val="20"/>
                <w:szCs w:val="20"/>
              </w:rPr>
              <w:t>0</w:t>
            </w:r>
          </w:p>
        </w:tc>
        <w:tc>
          <w:tcPr>
            <w:tcW w:w="1316" w:type="dxa"/>
            <w:gridSpan w:val="2"/>
          </w:tcPr>
          <w:p w:rsidR="00FD1525" w:rsidRDefault="00FD1525" w:rsidP="00FD1525">
            <w:pPr>
              <w:jc w:val="center"/>
            </w:pPr>
            <w:r w:rsidRPr="00D63486">
              <w:rPr>
                <w:rFonts w:ascii="Arial" w:hAnsi="Arial" w:cs="Arial"/>
                <w:sz w:val="20"/>
                <w:szCs w:val="20"/>
              </w:rPr>
              <w:t>0</w:t>
            </w:r>
          </w:p>
        </w:tc>
        <w:tc>
          <w:tcPr>
            <w:tcW w:w="720" w:type="dxa"/>
          </w:tcPr>
          <w:p w:rsidR="00FD1525" w:rsidRDefault="00FD1525" w:rsidP="00FD1525">
            <w:pPr>
              <w:jc w:val="center"/>
            </w:pPr>
            <w:r w:rsidRPr="00D63486">
              <w:rPr>
                <w:rFonts w:ascii="Arial" w:hAnsi="Arial" w:cs="Arial"/>
                <w:sz w:val="20"/>
                <w:szCs w:val="20"/>
              </w:rPr>
              <w:t>0</w:t>
            </w:r>
          </w:p>
        </w:tc>
        <w:tc>
          <w:tcPr>
            <w:tcW w:w="939" w:type="dxa"/>
          </w:tcPr>
          <w:p w:rsidR="00FD1525" w:rsidRDefault="00FD1525" w:rsidP="00FD1525">
            <w:pPr>
              <w:jc w:val="center"/>
            </w:pPr>
            <w:r w:rsidRPr="00DE11B8">
              <w:rPr>
                <w:rFonts w:ascii="Arial" w:hAnsi="Arial" w:cs="Arial"/>
                <w:sz w:val="20"/>
                <w:szCs w:val="20"/>
              </w:rPr>
              <w:t>0</w:t>
            </w:r>
          </w:p>
        </w:tc>
        <w:tc>
          <w:tcPr>
            <w:tcW w:w="668" w:type="dxa"/>
          </w:tcPr>
          <w:p w:rsidR="00FD1525" w:rsidRDefault="00FD1525" w:rsidP="00FD1525">
            <w:pPr>
              <w:jc w:val="center"/>
            </w:pPr>
            <w:r w:rsidRPr="00DE11B8">
              <w:rPr>
                <w:rFonts w:ascii="Arial" w:hAnsi="Arial" w:cs="Arial"/>
                <w:sz w:val="20"/>
                <w:szCs w:val="20"/>
              </w:rPr>
              <w:t>0</w:t>
            </w:r>
          </w:p>
        </w:tc>
        <w:tc>
          <w:tcPr>
            <w:tcW w:w="1186" w:type="dxa"/>
            <w:gridSpan w:val="2"/>
          </w:tcPr>
          <w:p w:rsidR="00FD1525" w:rsidRDefault="00FD1525" w:rsidP="00FD1525">
            <w:pPr>
              <w:jc w:val="center"/>
            </w:pPr>
            <w:r w:rsidRPr="00DE11B8">
              <w:rPr>
                <w:rFonts w:ascii="Arial" w:hAnsi="Arial" w:cs="Arial"/>
                <w:sz w:val="20"/>
                <w:szCs w:val="20"/>
              </w:rPr>
              <w:t>0</w:t>
            </w:r>
          </w:p>
        </w:tc>
        <w:tc>
          <w:tcPr>
            <w:tcW w:w="510" w:type="dxa"/>
          </w:tcPr>
          <w:p w:rsidR="00FD1525" w:rsidRDefault="00FD1525" w:rsidP="00FD1525">
            <w:pPr>
              <w:jc w:val="center"/>
            </w:pPr>
            <w:r w:rsidRPr="000A5513">
              <w:rPr>
                <w:rFonts w:ascii="Arial" w:hAnsi="Arial" w:cs="Arial"/>
                <w:sz w:val="20"/>
                <w:szCs w:val="20"/>
              </w:rPr>
              <w:t>0</w:t>
            </w:r>
          </w:p>
        </w:tc>
        <w:tc>
          <w:tcPr>
            <w:tcW w:w="939" w:type="dxa"/>
          </w:tcPr>
          <w:p w:rsidR="00FD1525" w:rsidRDefault="00FD1525" w:rsidP="00FD1525">
            <w:pPr>
              <w:jc w:val="center"/>
            </w:pPr>
            <w:r w:rsidRPr="000A5513">
              <w:rPr>
                <w:rFonts w:ascii="Arial" w:hAnsi="Arial" w:cs="Arial"/>
                <w:sz w:val="20"/>
                <w:szCs w:val="20"/>
              </w:rPr>
              <w:t>0</w:t>
            </w:r>
          </w:p>
        </w:tc>
        <w:tc>
          <w:tcPr>
            <w:tcW w:w="767" w:type="dxa"/>
          </w:tcPr>
          <w:p w:rsidR="00FD1525" w:rsidRDefault="00FD1525" w:rsidP="00FD1525">
            <w:pPr>
              <w:jc w:val="center"/>
            </w:pPr>
            <w:r w:rsidRPr="000A5513">
              <w:rPr>
                <w:rFonts w:ascii="Arial" w:hAnsi="Arial" w:cs="Arial"/>
                <w:sz w:val="20"/>
                <w:szCs w:val="20"/>
              </w:rPr>
              <w:t>0</w:t>
            </w:r>
          </w:p>
        </w:tc>
        <w:tc>
          <w:tcPr>
            <w:tcW w:w="971" w:type="dxa"/>
            <w:gridSpan w:val="2"/>
          </w:tcPr>
          <w:p w:rsidR="00FD1525" w:rsidRDefault="00FD1525" w:rsidP="00FD1525">
            <w:pPr>
              <w:jc w:val="center"/>
            </w:pPr>
            <w:r w:rsidRPr="000A5513">
              <w:rPr>
                <w:rFonts w:ascii="Arial" w:hAnsi="Arial" w:cs="Arial"/>
                <w:sz w:val="20"/>
                <w:szCs w:val="20"/>
              </w:rPr>
              <w:t>0</w:t>
            </w:r>
          </w:p>
        </w:tc>
        <w:tc>
          <w:tcPr>
            <w:tcW w:w="705" w:type="dxa"/>
          </w:tcPr>
          <w:p w:rsidR="00FD1525" w:rsidRDefault="00FD1525" w:rsidP="00FD1525">
            <w:pPr>
              <w:jc w:val="center"/>
            </w:pPr>
            <w:r w:rsidRPr="000A5513">
              <w:rPr>
                <w:rFonts w:ascii="Arial" w:hAnsi="Arial" w:cs="Arial"/>
                <w:sz w:val="20"/>
                <w:szCs w:val="20"/>
              </w:rPr>
              <w:t>0</w:t>
            </w:r>
          </w:p>
        </w:tc>
        <w:tc>
          <w:tcPr>
            <w:tcW w:w="1014" w:type="dxa"/>
          </w:tcPr>
          <w:p w:rsidR="00FD1525" w:rsidRDefault="00FD1525" w:rsidP="00FD1525">
            <w:pPr>
              <w:jc w:val="center"/>
            </w:pPr>
            <w:r w:rsidRPr="000A5513">
              <w:rPr>
                <w:rFonts w:ascii="Arial" w:hAnsi="Arial" w:cs="Arial"/>
                <w:sz w:val="20"/>
                <w:szCs w:val="20"/>
              </w:rPr>
              <w:t>0</w:t>
            </w:r>
          </w:p>
        </w:tc>
        <w:tc>
          <w:tcPr>
            <w:tcW w:w="732" w:type="dxa"/>
          </w:tcPr>
          <w:p w:rsidR="00FD1525" w:rsidRDefault="00FD1525" w:rsidP="00FD1525">
            <w:pPr>
              <w:jc w:val="center"/>
            </w:pPr>
            <w:r w:rsidRPr="000A5513">
              <w:rPr>
                <w:rFonts w:ascii="Arial" w:hAnsi="Arial" w:cs="Arial"/>
                <w:sz w:val="20"/>
                <w:szCs w:val="20"/>
              </w:rPr>
              <w:t>0</w:t>
            </w:r>
          </w:p>
        </w:tc>
      </w:tr>
      <w:tr w:rsidR="00FD1525">
        <w:tc>
          <w:tcPr>
            <w:tcW w:w="1503" w:type="dxa"/>
            <w:vMerge/>
          </w:tcPr>
          <w:p w:rsidR="00FD1525" w:rsidRDefault="00FD1525" w:rsidP="00632419">
            <w:pPr>
              <w:jc w:val="center"/>
              <w:rPr>
                <w:rFonts w:ascii="AmerType Md BT" w:hAnsi="AmerType Md BT" w:cs="Arial"/>
                <w:sz w:val="20"/>
                <w:szCs w:val="20"/>
              </w:rPr>
            </w:pPr>
          </w:p>
        </w:tc>
        <w:tc>
          <w:tcPr>
            <w:tcW w:w="1504" w:type="dxa"/>
            <w:vAlign w:val="bottom"/>
          </w:tcPr>
          <w:p w:rsidR="00FD1525" w:rsidRDefault="00FD1525" w:rsidP="00213657">
            <w:pPr>
              <w:rPr>
                <w:rFonts w:ascii="Arial" w:hAnsi="Arial" w:cs="Arial"/>
                <w:sz w:val="20"/>
                <w:szCs w:val="20"/>
              </w:rPr>
            </w:pPr>
            <w:r w:rsidRPr="0003329F">
              <w:rPr>
                <w:rFonts w:ascii="Arial" w:hAnsi="Arial" w:cs="Arial"/>
                <w:sz w:val="20"/>
                <w:szCs w:val="20"/>
              </w:rPr>
              <w:t>Deklešanec</w:t>
            </w:r>
          </w:p>
        </w:tc>
        <w:tc>
          <w:tcPr>
            <w:tcW w:w="1406" w:type="dxa"/>
          </w:tcPr>
          <w:p w:rsidR="00FD1525" w:rsidRDefault="00FD1525" w:rsidP="00FD1525">
            <w:pPr>
              <w:jc w:val="center"/>
            </w:pPr>
            <w:r w:rsidRPr="00D63486">
              <w:rPr>
                <w:rFonts w:ascii="Arial" w:hAnsi="Arial" w:cs="Arial"/>
                <w:sz w:val="20"/>
                <w:szCs w:val="20"/>
              </w:rPr>
              <w:t>0</w:t>
            </w:r>
          </w:p>
        </w:tc>
        <w:tc>
          <w:tcPr>
            <w:tcW w:w="1316" w:type="dxa"/>
            <w:gridSpan w:val="2"/>
          </w:tcPr>
          <w:p w:rsidR="00FD1525" w:rsidRDefault="00FD1525" w:rsidP="00FD1525">
            <w:pPr>
              <w:jc w:val="center"/>
            </w:pPr>
            <w:r w:rsidRPr="00D63486">
              <w:rPr>
                <w:rFonts w:ascii="Arial" w:hAnsi="Arial" w:cs="Arial"/>
                <w:sz w:val="20"/>
                <w:szCs w:val="20"/>
              </w:rPr>
              <w:t>0</w:t>
            </w:r>
          </w:p>
        </w:tc>
        <w:tc>
          <w:tcPr>
            <w:tcW w:w="720" w:type="dxa"/>
          </w:tcPr>
          <w:p w:rsidR="00FD1525" w:rsidRDefault="00FD1525" w:rsidP="00FD1525">
            <w:pPr>
              <w:jc w:val="center"/>
            </w:pPr>
            <w:r w:rsidRPr="00D63486">
              <w:rPr>
                <w:rFonts w:ascii="Arial" w:hAnsi="Arial" w:cs="Arial"/>
                <w:sz w:val="20"/>
                <w:szCs w:val="20"/>
              </w:rPr>
              <w:t>0</w:t>
            </w:r>
          </w:p>
        </w:tc>
        <w:tc>
          <w:tcPr>
            <w:tcW w:w="939" w:type="dxa"/>
          </w:tcPr>
          <w:p w:rsidR="00FD1525" w:rsidRDefault="00FD1525" w:rsidP="00FD1525">
            <w:pPr>
              <w:jc w:val="center"/>
            </w:pPr>
            <w:r w:rsidRPr="00DE11B8">
              <w:rPr>
                <w:rFonts w:ascii="Arial" w:hAnsi="Arial" w:cs="Arial"/>
                <w:sz w:val="20"/>
                <w:szCs w:val="20"/>
              </w:rPr>
              <w:t>0</w:t>
            </w:r>
          </w:p>
        </w:tc>
        <w:tc>
          <w:tcPr>
            <w:tcW w:w="668" w:type="dxa"/>
          </w:tcPr>
          <w:p w:rsidR="00FD1525" w:rsidRDefault="00FD1525" w:rsidP="00FD1525">
            <w:pPr>
              <w:jc w:val="center"/>
            </w:pPr>
            <w:r w:rsidRPr="00DE11B8">
              <w:rPr>
                <w:rFonts w:ascii="Arial" w:hAnsi="Arial" w:cs="Arial"/>
                <w:sz w:val="20"/>
                <w:szCs w:val="20"/>
              </w:rPr>
              <w:t>0</w:t>
            </w:r>
          </w:p>
        </w:tc>
        <w:tc>
          <w:tcPr>
            <w:tcW w:w="1186" w:type="dxa"/>
            <w:gridSpan w:val="2"/>
          </w:tcPr>
          <w:p w:rsidR="00FD1525" w:rsidRDefault="00FD1525" w:rsidP="00FD1525">
            <w:pPr>
              <w:jc w:val="center"/>
            </w:pPr>
            <w:r w:rsidRPr="00DE11B8">
              <w:rPr>
                <w:rFonts w:ascii="Arial" w:hAnsi="Arial" w:cs="Arial"/>
                <w:sz w:val="20"/>
                <w:szCs w:val="20"/>
              </w:rPr>
              <w:t>0</w:t>
            </w:r>
          </w:p>
        </w:tc>
        <w:tc>
          <w:tcPr>
            <w:tcW w:w="510" w:type="dxa"/>
          </w:tcPr>
          <w:p w:rsidR="00FD1525" w:rsidRDefault="00FD1525" w:rsidP="00FD1525">
            <w:pPr>
              <w:jc w:val="center"/>
            </w:pPr>
            <w:r w:rsidRPr="000A5513">
              <w:rPr>
                <w:rFonts w:ascii="Arial" w:hAnsi="Arial" w:cs="Arial"/>
                <w:sz w:val="20"/>
                <w:szCs w:val="20"/>
              </w:rPr>
              <w:t>0</w:t>
            </w:r>
          </w:p>
        </w:tc>
        <w:tc>
          <w:tcPr>
            <w:tcW w:w="939" w:type="dxa"/>
          </w:tcPr>
          <w:p w:rsidR="00FD1525" w:rsidRDefault="00FD1525" w:rsidP="00FD1525">
            <w:pPr>
              <w:jc w:val="center"/>
            </w:pPr>
            <w:r w:rsidRPr="000A5513">
              <w:rPr>
                <w:rFonts w:ascii="Arial" w:hAnsi="Arial" w:cs="Arial"/>
                <w:sz w:val="20"/>
                <w:szCs w:val="20"/>
              </w:rPr>
              <w:t>0</w:t>
            </w:r>
          </w:p>
        </w:tc>
        <w:tc>
          <w:tcPr>
            <w:tcW w:w="767" w:type="dxa"/>
          </w:tcPr>
          <w:p w:rsidR="00FD1525" w:rsidRDefault="00FD1525" w:rsidP="00FD1525">
            <w:pPr>
              <w:jc w:val="center"/>
            </w:pPr>
            <w:r w:rsidRPr="000A5513">
              <w:rPr>
                <w:rFonts w:ascii="Arial" w:hAnsi="Arial" w:cs="Arial"/>
                <w:sz w:val="20"/>
                <w:szCs w:val="20"/>
              </w:rPr>
              <w:t>0</w:t>
            </w:r>
          </w:p>
        </w:tc>
        <w:tc>
          <w:tcPr>
            <w:tcW w:w="971" w:type="dxa"/>
            <w:gridSpan w:val="2"/>
          </w:tcPr>
          <w:p w:rsidR="00FD1525" w:rsidRDefault="00FD1525" w:rsidP="00FD1525">
            <w:pPr>
              <w:jc w:val="center"/>
            </w:pPr>
            <w:r w:rsidRPr="000A5513">
              <w:rPr>
                <w:rFonts w:ascii="Arial" w:hAnsi="Arial" w:cs="Arial"/>
                <w:sz w:val="20"/>
                <w:szCs w:val="20"/>
              </w:rPr>
              <w:t>0</w:t>
            </w:r>
          </w:p>
        </w:tc>
        <w:tc>
          <w:tcPr>
            <w:tcW w:w="705" w:type="dxa"/>
          </w:tcPr>
          <w:p w:rsidR="00FD1525" w:rsidRDefault="00FD1525" w:rsidP="00FD1525">
            <w:pPr>
              <w:jc w:val="center"/>
            </w:pPr>
            <w:r w:rsidRPr="000A5513">
              <w:rPr>
                <w:rFonts w:ascii="Arial" w:hAnsi="Arial" w:cs="Arial"/>
                <w:sz w:val="20"/>
                <w:szCs w:val="20"/>
              </w:rPr>
              <w:t>0</w:t>
            </w:r>
          </w:p>
        </w:tc>
        <w:tc>
          <w:tcPr>
            <w:tcW w:w="1014" w:type="dxa"/>
          </w:tcPr>
          <w:p w:rsidR="00FD1525" w:rsidRDefault="00FD1525" w:rsidP="00FD1525">
            <w:pPr>
              <w:jc w:val="center"/>
            </w:pPr>
            <w:r w:rsidRPr="000A5513">
              <w:rPr>
                <w:rFonts w:ascii="Arial" w:hAnsi="Arial" w:cs="Arial"/>
                <w:sz w:val="20"/>
                <w:szCs w:val="20"/>
              </w:rPr>
              <w:t>0</w:t>
            </w:r>
          </w:p>
        </w:tc>
        <w:tc>
          <w:tcPr>
            <w:tcW w:w="732" w:type="dxa"/>
          </w:tcPr>
          <w:p w:rsidR="00FD1525" w:rsidRDefault="00FD1525" w:rsidP="00FD1525">
            <w:pPr>
              <w:jc w:val="center"/>
            </w:pPr>
            <w:r w:rsidRPr="000A5513">
              <w:rPr>
                <w:rFonts w:ascii="Arial" w:hAnsi="Arial" w:cs="Arial"/>
                <w:sz w:val="20"/>
                <w:szCs w:val="20"/>
              </w:rPr>
              <w:t>0</w:t>
            </w:r>
          </w:p>
        </w:tc>
      </w:tr>
      <w:tr w:rsidR="00FD1525">
        <w:tc>
          <w:tcPr>
            <w:tcW w:w="1503" w:type="dxa"/>
            <w:vMerge/>
          </w:tcPr>
          <w:p w:rsidR="00FD1525" w:rsidRDefault="00FD1525" w:rsidP="00632419">
            <w:pPr>
              <w:jc w:val="center"/>
              <w:rPr>
                <w:rFonts w:ascii="AmerType Md BT" w:hAnsi="AmerType Md BT" w:cs="Arial"/>
                <w:sz w:val="20"/>
                <w:szCs w:val="20"/>
              </w:rPr>
            </w:pPr>
          </w:p>
        </w:tc>
        <w:tc>
          <w:tcPr>
            <w:tcW w:w="1504" w:type="dxa"/>
            <w:vAlign w:val="bottom"/>
          </w:tcPr>
          <w:p w:rsidR="00FD1525" w:rsidRDefault="00FD1525" w:rsidP="00213657">
            <w:pPr>
              <w:rPr>
                <w:rFonts w:ascii="Arial" w:hAnsi="Arial" w:cs="Arial"/>
                <w:sz w:val="20"/>
                <w:szCs w:val="20"/>
              </w:rPr>
            </w:pPr>
            <w:r w:rsidRPr="0003329F">
              <w:rPr>
                <w:rFonts w:ascii="Arial" w:hAnsi="Arial" w:cs="Arial"/>
                <w:sz w:val="20"/>
                <w:szCs w:val="20"/>
              </w:rPr>
              <w:t>Donja Rijeka</w:t>
            </w:r>
          </w:p>
        </w:tc>
        <w:tc>
          <w:tcPr>
            <w:tcW w:w="1406" w:type="dxa"/>
          </w:tcPr>
          <w:p w:rsidR="00FD1525" w:rsidRDefault="00FD1525" w:rsidP="00632419">
            <w:pPr>
              <w:jc w:val="center"/>
              <w:rPr>
                <w:rFonts w:ascii="AmerType Md BT" w:hAnsi="AmerType Md BT" w:cs="Arial"/>
                <w:sz w:val="20"/>
                <w:szCs w:val="20"/>
              </w:rPr>
            </w:pPr>
            <w:r>
              <w:rPr>
                <w:rFonts w:ascii="AmerType Md BT" w:hAnsi="AmerType Md BT" w:cs="Arial"/>
                <w:sz w:val="20"/>
                <w:szCs w:val="20"/>
              </w:rPr>
              <w:t>2,9703</w:t>
            </w:r>
          </w:p>
        </w:tc>
        <w:tc>
          <w:tcPr>
            <w:tcW w:w="1316" w:type="dxa"/>
            <w:gridSpan w:val="2"/>
          </w:tcPr>
          <w:p w:rsidR="00FD1525" w:rsidRDefault="00FD1525" w:rsidP="00052FA2">
            <w:pPr>
              <w:jc w:val="center"/>
              <w:rPr>
                <w:rFonts w:ascii="AmerType Md BT" w:hAnsi="AmerType Md BT" w:cs="Arial"/>
                <w:sz w:val="20"/>
                <w:szCs w:val="20"/>
              </w:rPr>
            </w:pPr>
            <w:r>
              <w:rPr>
                <w:rFonts w:ascii="AmerType Md BT" w:hAnsi="AmerType Md BT" w:cs="Arial"/>
                <w:sz w:val="20"/>
                <w:szCs w:val="20"/>
              </w:rPr>
              <w:t>2,9703</w:t>
            </w:r>
          </w:p>
        </w:tc>
        <w:tc>
          <w:tcPr>
            <w:tcW w:w="720" w:type="dxa"/>
          </w:tcPr>
          <w:p w:rsidR="00FD1525" w:rsidRDefault="00FD1525" w:rsidP="00632419">
            <w:pPr>
              <w:jc w:val="center"/>
              <w:rPr>
                <w:rFonts w:ascii="AmerType Md BT" w:hAnsi="AmerType Md BT" w:cs="Arial"/>
                <w:sz w:val="20"/>
                <w:szCs w:val="20"/>
              </w:rPr>
            </w:pPr>
            <w:r>
              <w:rPr>
                <w:rFonts w:ascii="AmerType Md BT" w:hAnsi="AmerType Md BT" w:cs="Arial"/>
                <w:sz w:val="20"/>
                <w:szCs w:val="20"/>
              </w:rPr>
              <w:t>100</w:t>
            </w:r>
          </w:p>
        </w:tc>
        <w:tc>
          <w:tcPr>
            <w:tcW w:w="939" w:type="dxa"/>
          </w:tcPr>
          <w:p w:rsidR="00FD1525" w:rsidRDefault="00FD1525" w:rsidP="00FD1525">
            <w:pPr>
              <w:jc w:val="center"/>
            </w:pPr>
            <w:r w:rsidRPr="00DE11B8">
              <w:rPr>
                <w:rFonts w:ascii="Arial" w:hAnsi="Arial" w:cs="Arial"/>
                <w:sz w:val="20"/>
                <w:szCs w:val="20"/>
              </w:rPr>
              <w:t>0</w:t>
            </w:r>
          </w:p>
        </w:tc>
        <w:tc>
          <w:tcPr>
            <w:tcW w:w="668" w:type="dxa"/>
          </w:tcPr>
          <w:p w:rsidR="00FD1525" w:rsidRDefault="00FD1525" w:rsidP="00FD1525">
            <w:pPr>
              <w:jc w:val="center"/>
            </w:pPr>
            <w:r w:rsidRPr="00DE11B8">
              <w:rPr>
                <w:rFonts w:ascii="Arial" w:hAnsi="Arial" w:cs="Arial"/>
                <w:sz w:val="20"/>
                <w:szCs w:val="20"/>
              </w:rPr>
              <w:t>0</w:t>
            </w:r>
          </w:p>
        </w:tc>
        <w:tc>
          <w:tcPr>
            <w:tcW w:w="1186" w:type="dxa"/>
            <w:gridSpan w:val="2"/>
          </w:tcPr>
          <w:p w:rsidR="00FD1525" w:rsidRDefault="00FD1525" w:rsidP="00FD1525">
            <w:pPr>
              <w:jc w:val="center"/>
            </w:pPr>
            <w:r w:rsidRPr="00DE11B8">
              <w:rPr>
                <w:rFonts w:ascii="Arial" w:hAnsi="Arial" w:cs="Arial"/>
                <w:sz w:val="20"/>
                <w:szCs w:val="20"/>
              </w:rPr>
              <w:t>0</w:t>
            </w:r>
          </w:p>
        </w:tc>
        <w:tc>
          <w:tcPr>
            <w:tcW w:w="510" w:type="dxa"/>
          </w:tcPr>
          <w:p w:rsidR="00FD1525" w:rsidRDefault="00FD1525" w:rsidP="00FD1525">
            <w:pPr>
              <w:jc w:val="center"/>
            </w:pPr>
            <w:r w:rsidRPr="000A5513">
              <w:rPr>
                <w:rFonts w:ascii="Arial" w:hAnsi="Arial" w:cs="Arial"/>
                <w:sz w:val="20"/>
                <w:szCs w:val="20"/>
              </w:rPr>
              <w:t>0</w:t>
            </w:r>
          </w:p>
        </w:tc>
        <w:tc>
          <w:tcPr>
            <w:tcW w:w="939" w:type="dxa"/>
          </w:tcPr>
          <w:p w:rsidR="00FD1525" w:rsidRDefault="00FD1525" w:rsidP="00FD1525">
            <w:pPr>
              <w:jc w:val="center"/>
            </w:pPr>
            <w:r w:rsidRPr="000A5513">
              <w:rPr>
                <w:rFonts w:ascii="Arial" w:hAnsi="Arial" w:cs="Arial"/>
                <w:sz w:val="20"/>
                <w:szCs w:val="20"/>
              </w:rPr>
              <w:t>0</w:t>
            </w:r>
          </w:p>
        </w:tc>
        <w:tc>
          <w:tcPr>
            <w:tcW w:w="767" w:type="dxa"/>
          </w:tcPr>
          <w:p w:rsidR="00FD1525" w:rsidRDefault="00FD1525" w:rsidP="00FD1525">
            <w:pPr>
              <w:jc w:val="center"/>
            </w:pPr>
            <w:r w:rsidRPr="000A5513">
              <w:rPr>
                <w:rFonts w:ascii="Arial" w:hAnsi="Arial" w:cs="Arial"/>
                <w:sz w:val="20"/>
                <w:szCs w:val="20"/>
              </w:rPr>
              <w:t>0</w:t>
            </w:r>
          </w:p>
        </w:tc>
        <w:tc>
          <w:tcPr>
            <w:tcW w:w="971" w:type="dxa"/>
            <w:gridSpan w:val="2"/>
          </w:tcPr>
          <w:p w:rsidR="00FD1525" w:rsidRDefault="00FD1525" w:rsidP="00FD1525">
            <w:pPr>
              <w:jc w:val="center"/>
            </w:pPr>
            <w:r w:rsidRPr="000A5513">
              <w:rPr>
                <w:rFonts w:ascii="Arial" w:hAnsi="Arial" w:cs="Arial"/>
                <w:sz w:val="20"/>
                <w:szCs w:val="20"/>
              </w:rPr>
              <w:t>0</w:t>
            </w:r>
          </w:p>
        </w:tc>
        <w:tc>
          <w:tcPr>
            <w:tcW w:w="705" w:type="dxa"/>
          </w:tcPr>
          <w:p w:rsidR="00FD1525" w:rsidRDefault="00FD1525" w:rsidP="00FD1525">
            <w:pPr>
              <w:jc w:val="center"/>
            </w:pPr>
            <w:r w:rsidRPr="000A5513">
              <w:rPr>
                <w:rFonts w:ascii="Arial" w:hAnsi="Arial" w:cs="Arial"/>
                <w:sz w:val="20"/>
                <w:szCs w:val="20"/>
              </w:rPr>
              <w:t>0</w:t>
            </w:r>
          </w:p>
        </w:tc>
        <w:tc>
          <w:tcPr>
            <w:tcW w:w="1014" w:type="dxa"/>
          </w:tcPr>
          <w:p w:rsidR="00FD1525" w:rsidRDefault="00FD1525" w:rsidP="00FD1525">
            <w:pPr>
              <w:jc w:val="center"/>
            </w:pPr>
            <w:r w:rsidRPr="000A5513">
              <w:rPr>
                <w:rFonts w:ascii="Arial" w:hAnsi="Arial" w:cs="Arial"/>
                <w:sz w:val="20"/>
                <w:szCs w:val="20"/>
              </w:rPr>
              <w:t>0</w:t>
            </w:r>
          </w:p>
        </w:tc>
        <w:tc>
          <w:tcPr>
            <w:tcW w:w="732" w:type="dxa"/>
          </w:tcPr>
          <w:p w:rsidR="00FD1525" w:rsidRDefault="00FD1525" w:rsidP="00FD1525">
            <w:pPr>
              <w:jc w:val="center"/>
            </w:pPr>
            <w:r w:rsidRPr="000A5513">
              <w:rPr>
                <w:rFonts w:ascii="Arial" w:hAnsi="Arial" w:cs="Arial"/>
                <w:sz w:val="20"/>
                <w:szCs w:val="20"/>
              </w:rPr>
              <w:t>0</w:t>
            </w:r>
          </w:p>
        </w:tc>
      </w:tr>
      <w:tr w:rsidR="00FD1525">
        <w:tc>
          <w:tcPr>
            <w:tcW w:w="1503" w:type="dxa"/>
            <w:vMerge/>
          </w:tcPr>
          <w:p w:rsidR="00FD1525" w:rsidRDefault="00FD1525" w:rsidP="00632419">
            <w:pPr>
              <w:jc w:val="center"/>
              <w:rPr>
                <w:rFonts w:ascii="AmerType Md BT" w:hAnsi="AmerType Md BT" w:cs="Arial"/>
                <w:sz w:val="20"/>
                <w:szCs w:val="20"/>
              </w:rPr>
            </w:pPr>
          </w:p>
        </w:tc>
        <w:tc>
          <w:tcPr>
            <w:tcW w:w="1504" w:type="dxa"/>
            <w:vAlign w:val="bottom"/>
          </w:tcPr>
          <w:p w:rsidR="00FD1525" w:rsidRDefault="00FD1525" w:rsidP="00213657">
            <w:pPr>
              <w:rPr>
                <w:rFonts w:ascii="Arial" w:hAnsi="Arial" w:cs="Arial"/>
                <w:sz w:val="20"/>
                <w:szCs w:val="20"/>
              </w:rPr>
            </w:pPr>
            <w:r w:rsidRPr="0003329F">
              <w:rPr>
                <w:rFonts w:ascii="Arial" w:hAnsi="Arial" w:cs="Arial"/>
                <w:sz w:val="20"/>
                <w:szCs w:val="20"/>
              </w:rPr>
              <w:t>Dropkovec</w:t>
            </w:r>
          </w:p>
        </w:tc>
        <w:tc>
          <w:tcPr>
            <w:tcW w:w="1406" w:type="dxa"/>
          </w:tcPr>
          <w:p w:rsidR="00FD1525" w:rsidRDefault="00FD1525" w:rsidP="00632419">
            <w:pPr>
              <w:jc w:val="center"/>
              <w:rPr>
                <w:rFonts w:ascii="AmerType Md BT" w:hAnsi="AmerType Md BT" w:cs="Arial"/>
                <w:sz w:val="20"/>
                <w:szCs w:val="20"/>
              </w:rPr>
            </w:pPr>
            <w:r>
              <w:rPr>
                <w:rFonts w:ascii="AmerType Md BT" w:hAnsi="AmerType Md BT" w:cs="Arial"/>
                <w:sz w:val="20"/>
                <w:szCs w:val="20"/>
              </w:rPr>
              <w:t>2,1606</w:t>
            </w:r>
          </w:p>
        </w:tc>
        <w:tc>
          <w:tcPr>
            <w:tcW w:w="1316" w:type="dxa"/>
            <w:gridSpan w:val="2"/>
          </w:tcPr>
          <w:p w:rsidR="00FD1525" w:rsidRDefault="00FD1525" w:rsidP="00FD1525">
            <w:pPr>
              <w:jc w:val="center"/>
            </w:pPr>
            <w:r w:rsidRPr="00DC19CF">
              <w:rPr>
                <w:rFonts w:ascii="Arial" w:hAnsi="Arial" w:cs="Arial"/>
                <w:sz w:val="20"/>
                <w:szCs w:val="20"/>
              </w:rPr>
              <w:t>0</w:t>
            </w:r>
          </w:p>
        </w:tc>
        <w:tc>
          <w:tcPr>
            <w:tcW w:w="720" w:type="dxa"/>
          </w:tcPr>
          <w:p w:rsidR="00FD1525" w:rsidRDefault="00FD1525" w:rsidP="00FD1525">
            <w:pPr>
              <w:jc w:val="center"/>
            </w:pPr>
            <w:r w:rsidRPr="00DC19CF">
              <w:rPr>
                <w:rFonts w:ascii="Arial" w:hAnsi="Arial" w:cs="Arial"/>
                <w:sz w:val="20"/>
                <w:szCs w:val="20"/>
              </w:rPr>
              <w:t>0</w:t>
            </w:r>
          </w:p>
        </w:tc>
        <w:tc>
          <w:tcPr>
            <w:tcW w:w="939" w:type="dxa"/>
          </w:tcPr>
          <w:p w:rsidR="00FD1525" w:rsidRDefault="00FD1525" w:rsidP="00FD1525">
            <w:pPr>
              <w:jc w:val="center"/>
            </w:pPr>
            <w:r w:rsidRPr="00DE11B8">
              <w:rPr>
                <w:rFonts w:ascii="Arial" w:hAnsi="Arial" w:cs="Arial"/>
                <w:sz w:val="20"/>
                <w:szCs w:val="20"/>
              </w:rPr>
              <w:t>0</w:t>
            </w:r>
          </w:p>
        </w:tc>
        <w:tc>
          <w:tcPr>
            <w:tcW w:w="668" w:type="dxa"/>
          </w:tcPr>
          <w:p w:rsidR="00FD1525" w:rsidRDefault="00FD1525" w:rsidP="00FD1525">
            <w:pPr>
              <w:jc w:val="center"/>
            </w:pPr>
            <w:r w:rsidRPr="00DE11B8">
              <w:rPr>
                <w:rFonts w:ascii="Arial" w:hAnsi="Arial" w:cs="Arial"/>
                <w:sz w:val="20"/>
                <w:szCs w:val="20"/>
              </w:rPr>
              <w:t>0</w:t>
            </w:r>
          </w:p>
        </w:tc>
        <w:tc>
          <w:tcPr>
            <w:tcW w:w="1186" w:type="dxa"/>
            <w:gridSpan w:val="2"/>
          </w:tcPr>
          <w:p w:rsidR="00FD1525" w:rsidRDefault="00FD1525" w:rsidP="00FD1525">
            <w:pPr>
              <w:jc w:val="center"/>
            </w:pPr>
            <w:r w:rsidRPr="00DE11B8">
              <w:rPr>
                <w:rFonts w:ascii="Arial" w:hAnsi="Arial" w:cs="Arial"/>
                <w:sz w:val="20"/>
                <w:szCs w:val="20"/>
              </w:rPr>
              <w:t>0</w:t>
            </w:r>
          </w:p>
        </w:tc>
        <w:tc>
          <w:tcPr>
            <w:tcW w:w="510" w:type="dxa"/>
          </w:tcPr>
          <w:p w:rsidR="00FD1525" w:rsidRDefault="00FD1525" w:rsidP="00FD1525">
            <w:pPr>
              <w:jc w:val="center"/>
            </w:pPr>
            <w:r w:rsidRPr="00E21BE2">
              <w:rPr>
                <w:rFonts w:ascii="Arial" w:hAnsi="Arial" w:cs="Arial"/>
                <w:sz w:val="20"/>
                <w:szCs w:val="20"/>
              </w:rPr>
              <w:t>0</w:t>
            </w:r>
          </w:p>
        </w:tc>
        <w:tc>
          <w:tcPr>
            <w:tcW w:w="939" w:type="dxa"/>
          </w:tcPr>
          <w:p w:rsidR="00FD1525" w:rsidRDefault="00FD1525" w:rsidP="00632419">
            <w:pPr>
              <w:jc w:val="center"/>
              <w:rPr>
                <w:rFonts w:ascii="Arial" w:hAnsi="Arial" w:cs="Arial"/>
                <w:sz w:val="20"/>
                <w:szCs w:val="20"/>
              </w:rPr>
            </w:pPr>
            <w:r>
              <w:rPr>
                <w:rFonts w:ascii="Arial" w:hAnsi="Arial" w:cs="Arial"/>
                <w:sz w:val="20"/>
                <w:szCs w:val="20"/>
              </w:rPr>
              <w:t>1,3267</w:t>
            </w:r>
          </w:p>
        </w:tc>
        <w:tc>
          <w:tcPr>
            <w:tcW w:w="767" w:type="dxa"/>
          </w:tcPr>
          <w:p w:rsidR="00FD1525" w:rsidRDefault="00FD1525" w:rsidP="00632419">
            <w:pPr>
              <w:jc w:val="center"/>
              <w:rPr>
                <w:rFonts w:ascii="Arial" w:hAnsi="Arial" w:cs="Arial"/>
                <w:sz w:val="20"/>
                <w:szCs w:val="20"/>
              </w:rPr>
            </w:pPr>
            <w:r>
              <w:rPr>
                <w:rFonts w:ascii="Arial" w:hAnsi="Arial" w:cs="Arial"/>
                <w:sz w:val="20"/>
                <w:szCs w:val="20"/>
              </w:rPr>
              <w:t>61,4</w:t>
            </w:r>
          </w:p>
        </w:tc>
        <w:tc>
          <w:tcPr>
            <w:tcW w:w="971" w:type="dxa"/>
            <w:gridSpan w:val="2"/>
          </w:tcPr>
          <w:p w:rsidR="00FD1525" w:rsidRDefault="00FD1525" w:rsidP="00632419">
            <w:pPr>
              <w:jc w:val="center"/>
              <w:rPr>
                <w:rFonts w:ascii="Arial" w:hAnsi="Arial" w:cs="Arial"/>
                <w:sz w:val="20"/>
                <w:szCs w:val="20"/>
              </w:rPr>
            </w:pPr>
            <w:r>
              <w:rPr>
                <w:rFonts w:ascii="Arial" w:hAnsi="Arial" w:cs="Arial"/>
                <w:sz w:val="20"/>
                <w:szCs w:val="20"/>
              </w:rPr>
              <w:t>0,8339</w:t>
            </w:r>
          </w:p>
        </w:tc>
        <w:tc>
          <w:tcPr>
            <w:tcW w:w="705" w:type="dxa"/>
          </w:tcPr>
          <w:p w:rsidR="00FD1525" w:rsidRDefault="00FD1525" w:rsidP="00632419">
            <w:pPr>
              <w:jc w:val="center"/>
              <w:rPr>
                <w:rFonts w:ascii="Arial" w:hAnsi="Arial" w:cs="Arial"/>
                <w:sz w:val="20"/>
                <w:szCs w:val="20"/>
              </w:rPr>
            </w:pPr>
            <w:r>
              <w:rPr>
                <w:rFonts w:ascii="Arial" w:hAnsi="Arial" w:cs="Arial"/>
                <w:sz w:val="20"/>
                <w:szCs w:val="20"/>
              </w:rPr>
              <w:t>38,6</w:t>
            </w:r>
          </w:p>
        </w:tc>
        <w:tc>
          <w:tcPr>
            <w:tcW w:w="1014" w:type="dxa"/>
          </w:tcPr>
          <w:p w:rsidR="00FD1525" w:rsidRDefault="00FD1525" w:rsidP="00FD1525">
            <w:pPr>
              <w:jc w:val="center"/>
            </w:pPr>
            <w:r w:rsidRPr="00D02BC4">
              <w:rPr>
                <w:rFonts w:ascii="Arial" w:hAnsi="Arial" w:cs="Arial"/>
                <w:sz w:val="20"/>
                <w:szCs w:val="20"/>
              </w:rPr>
              <w:t>0</w:t>
            </w:r>
          </w:p>
        </w:tc>
        <w:tc>
          <w:tcPr>
            <w:tcW w:w="732" w:type="dxa"/>
          </w:tcPr>
          <w:p w:rsidR="00FD1525" w:rsidRDefault="00FD1525" w:rsidP="00FD1525">
            <w:pPr>
              <w:jc w:val="center"/>
            </w:pPr>
            <w:r w:rsidRPr="00D02BC4">
              <w:rPr>
                <w:rFonts w:ascii="Arial" w:hAnsi="Arial" w:cs="Arial"/>
                <w:sz w:val="20"/>
                <w:szCs w:val="20"/>
              </w:rPr>
              <w:t>0</w:t>
            </w:r>
          </w:p>
        </w:tc>
      </w:tr>
      <w:tr w:rsidR="00FD1525">
        <w:tc>
          <w:tcPr>
            <w:tcW w:w="1503" w:type="dxa"/>
            <w:vMerge/>
          </w:tcPr>
          <w:p w:rsidR="00FD1525" w:rsidRDefault="00FD1525" w:rsidP="00632419">
            <w:pPr>
              <w:jc w:val="center"/>
              <w:rPr>
                <w:rFonts w:ascii="AmerType Md BT" w:hAnsi="AmerType Md BT" w:cs="Arial"/>
                <w:sz w:val="20"/>
                <w:szCs w:val="20"/>
              </w:rPr>
            </w:pPr>
          </w:p>
        </w:tc>
        <w:tc>
          <w:tcPr>
            <w:tcW w:w="1504" w:type="dxa"/>
            <w:vAlign w:val="bottom"/>
          </w:tcPr>
          <w:p w:rsidR="00FD1525" w:rsidRDefault="00FD1525" w:rsidP="00213657">
            <w:pPr>
              <w:rPr>
                <w:rFonts w:ascii="Arial" w:hAnsi="Arial" w:cs="Arial"/>
                <w:sz w:val="20"/>
                <w:szCs w:val="20"/>
              </w:rPr>
            </w:pPr>
            <w:r w:rsidRPr="0003329F">
              <w:rPr>
                <w:rFonts w:ascii="Arial" w:hAnsi="Arial" w:cs="Arial"/>
                <w:sz w:val="20"/>
                <w:szCs w:val="20"/>
              </w:rPr>
              <w:t>Fajerovec</w:t>
            </w:r>
          </w:p>
        </w:tc>
        <w:tc>
          <w:tcPr>
            <w:tcW w:w="1406" w:type="dxa"/>
          </w:tcPr>
          <w:p w:rsidR="00FD1525" w:rsidRDefault="00FD1525" w:rsidP="00FD1525">
            <w:pPr>
              <w:jc w:val="center"/>
            </w:pPr>
            <w:r w:rsidRPr="00EE18F6">
              <w:rPr>
                <w:rFonts w:ascii="Arial" w:hAnsi="Arial" w:cs="Arial"/>
                <w:sz w:val="20"/>
                <w:szCs w:val="20"/>
              </w:rPr>
              <w:t>0</w:t>
            </w:r>
          </w:p>
        </w:tc>
        <w:tc>
          <w:tcPr>
            <w:tcW w:w="1316" w:type="dxa"/>
            <w:gridSpan w:val="2"/>
          </w:tcPr>
          <w:p w:rsidR="00FD1525" w:rsidRDefault="00FD1525" w:rsidP="00FD1525">
            <w:pPr>
              <w:jc w:val="center"/>
            </w:pPr>
            <w:r w:rsidRPr="00EE18F6">
              <w:rPr>
                <w:rFonts w:ascii="Arial" w:hAnsi="Arial" w:cs="Arial"/>
                <w:sz w:val="20"/>
                <w:szCs w:val="20"/>
              </w:rPr>
              <w:t>0</w:t>
            </w:r>
          </w:p>
        </w:tc>
        <w:tc>
          <w:tcPr>
            <w:tcW w:w="720" w:type="dxa"/>
          </w:tcPr>
          <w:p w:rsidR="00FD1525" w:rsidRDefault="00FD1525" w:rsidP="00FD1525">
            <w:pPr>
              <w:jc w:val="center"/>
            </w:pPr>
            <w:r w:rsidRPr="00EE18F6">
              <w:rPr>
                <w:rFonts w:ascii="Arial" w:hAnsi="Arial" w:cs="Arial"/>
                <w:sz w:val="20"/>
                <w:szCs w:val="20"/>
              </w:rPr>
              <w:t>0</w:t>
            </w:r>
          </w:p>
        </w:tc>
        <w:tc>
          <w:tcPr>
            <w:tcW w:w="939" w:type="dxa"/>
          </w:tcPr>
          <w:p w:rsidR="00FD1525" w:rsidRDefault="00FD1525" w:rsidP="00FD1525">
            <w:pPr>
              <w:jc w:val="center"/>
            </w:pPr>
            <w:r w:rsidRPr="00DE11B8">
              <w:rPr>
                <w:rFonts w:ascii="Arial" w:hAnsi="Arial" w:cs="Arial"/>
                <w:sz w:val="20"/>
                <w:szCs w:val="20"/>
              </w:rPr>
              <w:t>0</w:t>
            </w:r>
          </w:p>
        </w:tc>
        <w:tc>
          <w:tcPr>
            <w:tcW w:w="668" w:type="dxa"/>
          </w:tcPr>
          <w:p w:rsidR="00FD1525" w:rsidRDefault="00FD1525" w:rsidP="00FD1525">
            <w:pPr>
              <w:jc w:val="center"/>
            </w:pPr>
            <w:r w:rsidRPr="00DE11B8">
              <w:rPr>
                <w:rFonts w:ascii="Arial" w:hAnsi="Arial" w:cs="Arial"/>
                <w:sz w:val="20"/>
                <w:szCs w:val="20"/>
              </w:rPr>
              <w:t>0</w:t>
            </w:r>
          </w:p>
        </w:tc>
        <w:tc>
          <w:tcPr>
            <w:tcW w:w="1186" w:type="dxa"/>
            <w:gridSpan w:val="2"/>
          </w:tcPr>
          <w:p w:rsidR="00FD1525" w:rsidRDefault="00FD1525" w:rsidP="00FD1525">
            <w:pPr>
              <w:jc w:val="center"/>
            </w:pPr>
            <w:r w:rsidRPr="00DE11B8">
              <w:rPr>
                <w:rFonts w:ascii="Arial" w:hAnsi="Arial" w:cs="Arial"/>
                <w:sz w:val="20"/>
                <w:szCs w:val="20"/>
              </w:rPr>
              <w:t>0</w:t>
            </w:r>
          </w:p>
        </w:tc>
        <w:tc>
          <w:tcPr>
            <w:tcW w:w="510" w:type="dxa"/>
          </w:tcPr>
          <w:p w:rsidR="00FD1525" w:rsidRDefault="00FD1525" w:rsidP="00FD1525">
            <w:pPr>
              <w:jc w:val="center"/>
            </w:pPr>
            <w:r w:rsidRPr="00E21BE2">
              <w:rPr>
                <w:rFonts w:ascii="Arial" w:hAnsi="Arial" w:cs="Arial"/>
                <w:sz w:val="20"/>
                <w:szCs w:val="20"/>
              </w:rPr>
              <w:t>0</w:t>
            </w:r>
          </w:p>
        </w:tc>
        <w:tc>
          <w:tcPr>
            <w:tcW w:w="939" w:type="dxa"/>
          </w:tcPr>
          <w:p w:rsidR="00FD1525" w:rsidRDefault="00FD1525" w:rsidP="00FD1525">
            <w:pPr>
              <w:jc w:val="center"/>
            </w:pPr>
            <w:r w:rsidRPr="00F63419">
              <w:rPr>
                <w:rFonts w:ascii="Arial" w:hAnsi="Arial" w:cs="Arial"/>
                <w:sz w:val="20"/>
                <w:szCs w:val="20"/>
              </w:rPr>
              <w:t>0</w:t>
            </w:r>
          </w:p>
        </w:tc>
        <w:tc>
          <w:tcPr>
            <w:tcW w:w="767" w:type="dxa"/>
          </w:tcPr>
          <w:p w:rsidR="00FD1525" w:rsidRDefault="00FD1525" w:rsidP="00FD1525">
            <w:pPr>
              <w:jc w:val="center"/>
            </w:pPr>
            <w:r w:rsidRPr="00F63419">
              <w:rPr>
                <w:rFonts w:ascii="Arial" w:hAnsi="Arial" w:cs="Arial"/>
                <w:sz w:val="20"/>
                <w:szCs w:val="20"/>
              </w:rPr>
              <w:t>0</w:t>
            </w:r>
          </w:p>
        </w:tc>
        <w:tc>
          <w:tcPr>
            <w:tcW w:w="971" w:type="dxa"/>
            <w:gridSpan w:val="2"/>
          </w:tcPr>
          <w:p w:rsidR="00FD1525" w:rsidRDefault="00FD1525" w:rsidP="00FD1525">
            <w:pPr>
              <w:jc w:val="center"/>
            </w:pPr>
            <w:r w:rsidRPr="00F63419">
              <w:rPr>
                <w:rFonts w:ascii="Arial" w:hAnsi="Arial" w:cs="Arial"/>
                <w:sz w:val="20"/>
                <w:szCs w:val="20"/>
              </w:rPr>
              <w:t>0</w:t>
            </w:r>
          </w:p>
        </w:tc>
        <w:tc>
          <w:tcPr>
            <w:tcW w:w="705" w:type="dxa"/>
          </w:tcPr>
          <w:p w:rsidR="00FD1525" w:rsidRDefault="00FD1525" w:rsidP="00FD1525">
            <w:pPr>
              <w:jc w:val="center"/>
            </w:pPr>
            <w:r w:rsidRPr="00F63419">
              <w:rPr>
                <w:rFonts w:ascii="Arial" w:hAnsi="Arial" w:cs="Arial"/>
                <w:sz w:val="20"/>
                <w:szCs w:val="20"/>
              </w:rPr>
              <w:t>0</w:t>
            </w:r>
          </w:p>
        </w:tc>
        <w:tc>
          <w:tcPr>
            <w:tcW w:w="1014" w:type="dxa"/>
          </w:tcPr>
          <w:p w:rsidR="00FD1525" w:rsidRDefault="00FD1525" w:rsidP="00FD1525">
            <w:pPr>
              <w:jc w:val="center"/>
            </w:pPr>
            <w:r w:rsidRPr="00D02BC4">
              <w:rPr>
                <w:rFonts w:ascii="Arial" w:hAnsi="Arial" w:cs="Arial"/>
                <w:sz w:val="20"/>
                <w:szCs w:val="20"/>
              </w:rPr>
              <w:t>0</w:t>
            </w:r>
          </w:p>
        </w:tc>
        <w:tc>
          <w:tcPr>
            <w:tcW w:w="732" w:type="dxa"/>
          </w:tcPr>
          <w:p w:rsidR="00FD1525" w:rsidRDefault="00FD1525" w:rsidP="00FD1525">
            <w:pPr>
              <w:jc w:val="center"/>
            </w:pPr>
            <w:r w:rsidRPr="00D02BC4">
              <w:rPr>
                <w:rFonts w:ascii="Arial" w:hAnsi="Arial" w:cs="Arial"/>
                <w:sz w:val="20"/>
                <w:szCs w:val="20"/>
              </w:rPr>
              <w:t>0</w:t>
            </w:r>
          </w:p>
        </w:tc>
      </w:tr>
      <w:tr w:rsidR="00FD1525">
        <w:tc>
          <w:tcPr>
            <w:tcW w:w="1503" w:type="dxa"/>
            <w:vMerge/>
          </w:tcPr>
          <w:p w:rsidR="00FD1525" w:rsidRDefault="00FD1525" w:rsidP="00632419">
            <w:pPr>
              <w:jc w:val="center"/>
              <w:rPr>
                <w:rFonts w:ascii="AmerType Md BT" w:hAnsi="AmerType Md BT" w:cs="Arial"/>
                <w:sz w:val="20"/>
                <w:szCs w:val="20"/>
              </w:rPr>
            </w:pPr>
          </w:p>
        </w:tc>
        <w:tc>
          <w:tcPr>
            <w:tcW w:w="1504" w:type="dxa"/>
            <w:vAlign w:val="bottom"/>
          </w:tcPr>
          <w:p w:rsidR="00FD1525" w:rsidRDefault="00FD1525" w:rsidP="00213657">
            <w:pPr>
              <w:rPr>
                <w:rFonts w:ascii="Arial" w:hAnsi="Arial" w:cs="Arial"/>
                <w:sz w:val="20"/>
                <w:szCs w:val="20"/>
              </w:rPr>
            </w:pPr>
            <w:r w:rsidRPr="0003329F">
              <w:rPr>
                <w:rFonts w:ascii="Arial" w:hAnsi="Arial" w:cs="Arial"/>
                <w:sz w:val="20"/>
                <w:szCs w:val="20"/>
              </w:rPr>
              <w:t>Fodrovec R</w:t>
            </w:r>
            <w:r>
              <w:rPr>
                <w:rFonts w:ascii="Arial" w:hAnsi="Arial" w:cs="Arial"/>
                <w:sz w:val="20"/>
                <w:szCs w:val="20"/>
              </w:rPr>
              <w:t>.</w:t>
            </w:r>
          </w:p>
        </w:tc>
        <w:tc>
          <w:tcPr>
            <w:tcW w:w="1406" w:type="dxa"/>
          </w:tcPr>
          <w:p w:rsidR="00FD1525" w:rsidRDefault="00FD1525" w:rsidP="00FD1525">
            <w:pPr>
              <w:jc w:val="center"/>
            </w:pPr>
            <w:r w:rsidRPr="00EE18F6">
              <w:rPr>
                <w:rFonts w:ascii="Arial" w:hAnsi="Arial" w:cs="Arial"/>
                <w:sz w:val="20"/>
                <w:szCs w:val="20"/>
              </w:rPr>
              <w:t>0</w:t>
            </w:r>
          </w:p>
        </w:tc>
        <w:tc>
          <w:tcPr>
            <w:tcW w:w="1316" w:type="dxa"/>
            <w:gridSpan w:val="2"/>
          </w:tcPr>
          <w:p w:rsidR="00FD1525" w:rsidRDefault="00FD1525" w:rsidP="00FD1525">
            <w:pPr>
              <w:jc w:val="center"/>
            </w:pPr>
            <w:r w:rsidRPr="00EE18F6">
              <w:rPr>
                <w:rFonts w:ascii="Arial" w:hAnsi="Arial" w:cs="Arial"/>
                <w:sz w:val="20"/>
                <w:szCs w:val="20"/>
              </w:rPr>
              <w:t>0</w:t>
            </w:r>
          </w:p>
        </w:tc>
        <w:tc>
          <w:tcPr>
            <w:tcW w:w="720" w:type="dxa"/>
          </w:tcPr>
          <w:p w:rsidR="00FD1525" w:rsidRDefault="00FD1525" w:rsidP="00FD1525">
            <w:pPr>
              <w:jc w:val="center"/>
            </w:pPr>
            <w:r w:rsidRPr="00EE18F6">
              <w:rPr>
                <w:rFonts w:ascii="Arial" w:hAnsi="Arial" w:cs="Arial"/>
                <w:sz w:val="20"/>
                <w:szCs w:val="20"/>
              </w:rPr>
              <w:t>0</w:t>
            </w:r>
          </w:p>
        </w:tc>
        <w:tc>
          <w:tcPr>
            <w:tcW w:w="939" w:type="dxa"/>
          </w:tcPr>
          <w:p w:rsidR="00FD1525" w:rsidRDefault="00FD1525" w:rsidP="00FD1525">
            <w:pPr>
              <w:jc w:val="center"/>
            </w:pPr>
            <w:r w:rsidRPr="00DE11B8">
              <w:rPr>
                <w:rFonts w:ascii="Arial" w:hAnsi="Arial" w:cs="Arial"/>
                <w:sz w:val="20"/>
                <w:szCs w:val="20"/>
              </w:rPr>
              <w:t>0</w:t>
            </w:r>
          </w:p>
        </w:tc>
        <w:tc>
          <w:tcPr>
            <w:tcW w:w="668" w:type="dxa"/>
          </w:tcPr>
          <w:p w:rsidR="00FD1525" w:rsidRDefault="00FD1525" w:rsidP="00FD1525">
            <w:pPr>
              <w:jc w:val="center"/>
            </w:pPr>
            <w:r w:rsidRPr="00DE11B8">
              <w:rPr>
                <w:rFonts w:ascii="Arial" w:hAnsi="Arial" w:cs="Arial"/>
                <w:sz w:val="20"/>
                <w:szCs w:val="20"/>
              </w:rPr>
              <w:t>0</w:t>
            </w:r>
          </w:p>
        </w:tc>
        <w:tc>
          <w:tcPr>
            <w:tcW w:w="1186" w:type="dxa"/>
            <w:gridSpan w:val="2"/>
          </w:tcPr>
          <w:p w:rsidR="00FD1525" w:rsidRDefault="00FD1525" w:rsidP="00FD1525">
            <w:pPr>
              <w:jc w:val="center"/>
            </w:pPr>
            <w:r w:rsidRPr="00DE11B8">
              <w:rPr>
                <w:rFonts w:ascii="Arial" w:hAnsi="Arial" w:cs="Arial"/>
                <w:sz w:val="20"/>
                <w:szCs w:val="20"/>
              </w:rPr>
              <w:t>0</w:t>
            </w:r>
          </w:p>
        </w:tc>
        <w:tc>
          <w:tcPr>
            <w:tcW w:w="510" w:type="dxa"/>
          </w:tcPr>
          <w:p w:rsidR="00FD1525" w:rsidRDefault="00FD1525" w:rsidP="00FD1525">
            <w:pPr>
              <w:jc w:val="center"/>
            </w:pPr>
            <w:r w:rsidRPr="00E21BE2">
              <w:rPr>
                <w:rFonts w:ascii="Arial" w:hAnsi="Arial" w:cs="Arial"/>
                <w:sz w:val="20"/>
                <w:szCs w:val="20"/>
              </w:rPr>
              <w:t>0</w:t>
            </w:r>
          </w:p>
        </w:tc>
        <w:tc>
          <w:tcPr>
            <w:tcW w:w="939" w:type="dxa"/>
          </w:tcPr>
          <w:p w:rsidR="00FD1525" w:rsidRDefault="00FD1525" w:rsidP="00FD1525">
            <w:pPr>
              <w:jc w:val="center"/>
            </w:pPr>
            <w:r w:rsidRPr="00F63419">
              <w:rPr>
                <w:rFonts w:ascii="Arial" w:hAnsi="Arial" w:cs="Arial"/>
                <w:sz w:val="20"/>
                <w:szCs w:val="20"/>
              </w:rPr>
              <w:t>0</w:t>
            </w:r>
          </w:p>
        </w:tc>
        <w:tc>
          <w:tcPr>
            <w:tcW w:w="767" w:type="dxa"/>
          </w:tcPr>
          <w:p w:rsidR="00FD1525" w:rsidRDefault="00FD1525" w:rsidP="00FD1525">
            <w:pPr>
              <w:jc w:val="center"/>
            </w:pPr>
            <w:r w:rsidRPr="00F63419">
              <w:rPr>
                <w:rFonts w:ascii="Arial" w:hAnsi="Arial" w:cs="Arial"/>
                <w:sz w:val="20"/>
                <w:szCs w:val="20"/>
              </w:rPr>
              <w:t>0</w:t>
            </w:r>
          </w:p>
        </w:tc>
        <w:tc>
          <w:tcPr>
            <w:tcW w:w="971" w:type="dxa"/>
            <w:gridSpan w:val="2"/>
          </w:tcPr>
          <w:p w:rsidR="00FD1525" w:rsidRDefault="00FD1525" w:rsidP="00FD1525">
            <w:pPr>
              <w:jc w:val="center"/>
            </w:pPr>
            <w:r w:rsidRPr="00F63419">
              <w:rPr>
                <w:rFonts w:ascii="Arial" w:hAnsi="Arial" w:cs="Arial"/>
                <w:sz w:val="20"/>
                <w:szCs w:val="20"/>
              </w:rPr>
              <w:t>0</w:t>
            </w:r>
          </w:p>
        </w:tc>
        <w:tc>
          <w:tcPr>
            <w:tcW w:w="705" w:type="dxa"/>
          </w:tcPr>
          <w:p w:rsidR="00FD1525" w:rsidRDefault="00FD1525" w:rsidP="00FD1525">
            <w:pPr>
              <w:jc w:val="center"/>
            </w:pPr>
            <w:r w:rsidRPr="00F63419">
              <w:rPr>
                <w:rFonts w:ascii="Arial" w:hAnsi="Arial" w:cs="Arial"/>
                <w:sz w:val="20"/>
                <w:szCs w:val="20"/>
              </w:rPr>
              <w:t>0</w:t>
            </w:r>
          </w:p>
        </w:tc>
        <w:tc>
          <w:tcPr>
            <w:tcW w:w="1014" w:type="dxa"/>
          </w:tcPr>
          <w:p w:rsidR="00FD1525" w:rsidRDefault="00FD1525" w:rsidP="00FD1525">
            <w:pPr>
              <w:jc w:val="center"/>
            </w:pPr>
            <w:r w:rsidRPr="00D02BC4">
              <w:rPr>
                <w:rFonts w:ascii="Arial" w:hAnsi="Arial" w:cs="Arial"/>
                <w:sz w:val="20"/>
                <w:szCs w:val="20"/>
              </w:rPr>
              <w:t>0</w:t>
            </w:r>
          </w:p>
        </w:tc>
        <w:tc>
          <w:tcPr>
            <w:tcW w:w="732" w:type="dxa"/>
          </w:tcPr>
          <w:p w:rsidR="00FD1525" w:rsidRDefault="00FD1525" w:rsidP="00FD1525">
            <w:pPr>
              <w:jc w:val="center"/>
            </w:pPr>
            <w:r w:rsidRPr="00D02BC4">
              <w:rPr>
                <w:rFonts w:ascii="Arial" w:hAnsi="Arial" w:cs="Arial"/>
                <w:sz w:val="20"/>
                <w:szCs w:val="20"/>
              </w:rPr>
              <w:t>0</w:t>
            </w:r>
          </w:p>
        </w:tc>
      </w:tr>
      <w:tr w:rsidR="00FD1525">
        <w:tc>
          <w:tcPr>
            <w:tcW w:w="1503" w:type="dxa"/>
            <w:vMerge/>
          </w:tcPr>
          <w:p w:rsidR="00FD1525" w:rsidRDefault="00FD1525" w:rsidP="00632419">
            <w:pPr>
              <w:jc w:val="center"/>
              <w:rPr>
                <w:rFonts w:ascii="AmerType Md BT" w:hAnsi="AmerType Md BT" w:cs="Arial"/>
                <w:sz w:val="20"/>
                <w:szCs w:val="20"/>
              </w:rPr>
            </w:pPr>
          </w:p>
        </w:tc>
        <w:tc>
          <w:tcPr>
            <w:tcW w:w="1504" w:type="dxa"/>
            <w:vAlign w:val="bottom"/>
          </w:tcPr>
          <w:p w:rsidR="00FD1525" w:rsidRDefault="00FD1525" w:rsidP="00213657">
            <w:pPr>
              <w:rPr>
                <w:rFonts w:ascii="Arial" w:hAnsi="Arial" w:cs="Arial"/>
                <w:sz w:val="20"/>
                <w:szCs w:val="20"/>
              </w:rPr>
            </w:pPr>
            <w:r w:rsidRPr="0003329F">
              <w:rPr>
                <w:rFonts w:ascii="Arial" w:hAnsi="Arial" w:cs="Arial"/>
                <w:sz w:val="20"/>
                <w:szCs w:val="20"/>
              </w:rPr>
              <w:t>Gornja Rijeka</w:t>
            </w:r>
          </w:p>
        </w:tc>
        <w:tc>
          <w:tcPr>
            <w:tcW w:w="1406" w:type="dxa"/>
            <w:vAlign w:val="center"/>
          </w:tcPr>
          <w:p w:rsidR="00FD1525" w:rsidRPr="00AE72A2" w:rsidRDefault="00FD1525" w:rsidP="00213657">
            <w:pPr>
              <w:jc w:val="center"/>
              <w:rPr>
                <w:rFonts w:ascii="AmerType Md BT" w:hAnsi="AmerType Md BT" w:cs="Arial"/>
                <w:sz w:val="20"/>
                <w:szCs w:val="20"/>
              </w:rPr>
            </w:pPr>
            <w:r w:rsidRPr="00AE72A2">
              <w:rPr>
                <w:rFonts w:ascii="AmerType Md BT" w:hAnsi="AmerType Md BT" w:cs="Arial"/>
                <w:sz w:val="20"/>
                <w:szCs w:val="20"/>
              </w:rPr>
              <w:t>9,4941</w:t>
            </w:r>
          </w:p>
        </w:tc>
        <w:tc>
          <w:tcPr>
            <w:tcW w:w="1316" w:type="dxa"/>
            <w:gridSpan w:val="2"/>
          </w:tcPr>
          <w:p w:rsidR="00FD1525" w:rsidRDefault="00FD1525" w:rsidP="00632419">
            <w:pPr>
              <w:jc w:val="center"/>
              <w:rPr>
                <w:rFonts w:ascii="AmerType Md BT" w:hAnsi="AmerType Md BT" w:cs="Arial"/>
                <w:sz w:val="20"/>
                <w:szCs w:val="20"/>
              </w:rPr>
            </w:pPr>
            <w:r>
              <w:rPr>
                <w:rFonts w:ascii="AmerType Md BT" w:hAnsi="AmerType Md BT" w:cs="Arial"/>
                <w:sz w:val="20"/>
                <w:szCs w:val="20"/>
              </w:rPr>
              <w:t>8,2454</w:t>
            </w:r>
          </w:p>
        </w:tc>
        <w:tc>
          <w:tcPr>
            <w:tcW w:w="720" w:type="dxa"/>
          </w:tcPr>
          <w:p w:rsidR="00FD1525" w:rsidRDefault="00FD1525" w:rsidP="00632419">
            <w:pPr>
              <w:jc w:val="center"/>
              <w:rPr>
                <w:rFonts w:ascii="AmerType Md BT" w:hAnsi="AmerType Md BT" w:cs="Arial"/>
                <w:sz w:val="20"/>
                <w:szCs w:val="20"/>
              </w:rPr>
            </w:pPr>
            <w:r>
              <w:rPr>
                <w:rFonts w:ascii="AmerType Md BT" w:hAnsi="AmerType Md BT" w:cs="Arial"/>
                <w:sz w:val="20"/>
                <w:szCs w:val="20"/>
              </w:rPr>
              <w:t>86,8</w:t>
            </w:r>
          </w:p>
        </w:tc>
        <w:tc>
          <w:tcPr>
            <w:tcW w:w="939" w:type="dxa"/>
          </w:tcPr>
          <w:p w:rsidR="00FD1525" w:rsidRDefault="00FD1525" w:rsidP="00FD1525">
            <w:pPr>
              <w:jc w:val="center"/>
            </w:pPr>
            <w:r w:rsidRPr="00DE11B8">
              <w:rPr>
                <w:rFonts w:ascii="Arial" w:hAnsi="Arial" w:cs="Arial"/>
                <w:sz w:val="20"/>
                <w:szCs w:val="20"/>
              </w:rPr>
              <w:t>0</w:t>
            </w:r>
          </w:p>
        </w:tc>
        <w:tc>
          <w:tcPr>
            <w:tcW w:w="668" w:type="dxa"/>
          </w:tcPr>
          <w:p w:rsidR="00FD1525" w:rsidRDefault="00FD1525" w:rsidP="00FD1525">
            <w:pPr>
              <w:jc w:val="center"/>
            </w:pPr>
            <w:r w:rsidRPr="00DE11B8">
              <w:rPr>
                <w:rFonts w:ascii="Arial" w:hAnsi="Arial" w:cs="Arial"/>
                <w:sz w:val="20"/>
                <w:szCs w:val="20"/>
              </w:rPr>
              <w:t>0</w:t>
            </w:r>
          </w:p>
        </w:tc>
        <w:tc>
          <w:tcPr>
            <w:tcW w:w="1186" w:type="dxa"/>
            <w:gridSpan w:val="2"/>
          </w:tcPr>
          <w:p w:rsidR="00FD1525" w:rsidRDefault="00FD1525" w:rsidP="00FD1525">
            <w:pPr>
              <w:jc w:val="center"/>
            </w:pPr>
            <w:r w:rsidRPr="00DE11B8">
              <w:rPr>
                <w:rFonts w:ascii="Arial" w:hAnsi="Arial" w:cs="Arial"/>
                <w:sz w:val="20"/>
                <w:szCs w:val="20"/>
              </w:rPr>
              <w:t>0</w:t>
            </w:r>
          </w:p>
        </w:tc>
        <w:tc>
          <w:tcPr>
            <w:tcW w:w="510" w:type="dxa"/>
          </w:tcPr>
          <w:p w:rsidR="00FD1525" w:rsidRDefault="00FD1525" w:rsidP="00FD1525">
            <w:pPr>
              <w:jc w:val="center"/>
            </w:pPr>
            <w:r w:rsidRPr="00E21BE2">
              <w:rPr>
                <w:rFonts w:ascii="Arial" w:hAnsi="Arial" w:cs="Arial"/>
                <w:sz w:val="20"/>
                <w:szCs w:val="20"/>
              </w:rPr>
              <w:t>0</w:t>
            </w:r>
          </w:p>
        </w:tc>
        <w:tc>
          <w:tcPr>
            <w:tcW w:w="939" w:type="dxa"/>
          </w:tcPr>
          <w:p w:rsidR="00FD1525" w:rsidRDefault="00FD1525" w:rsidP="00632419">
            <w:pPr>
              <w:jc w:val="center"/>
              <w:rPr>
                <w:rFonts w:ascii="Arial" w:hAnsi="Arial" w:cs="Arial"/>
                <w:sz w:val="20"/>
                <w:szCs w:val="20"/>
              </w:rPr>
            </w:pPr>
            <w:r>
              <w:rPr>
                <w:rFonts w:ascii="Arial" w:hAnsi="Arial" w:cs="Arial"/>
                <w:sz w:val="20"/>
                <w:szCs w:val="20"/>
              </w:rPr>
              <w:t>1,2487</w:t>
            </w:r>
          </w:p>
        </w:tc>
        <w:tc>
          <w:tcPr>
            <w:tcW w:w="767" w:type="dxa"/>
          </w:tcPr>
          <w:p w:rsidR="00FD1525" w:rsidRDefault="00FD1525" w:rsidP="00632419">
            <w:pPr>
              <w:jc w:val="center"/>
              <w:rPr>
                <w:rFonts w:ascii="Arial" w:hAnsi="Arial" w:cs="Arial"/>
                <w:sz w:val="20"/>
                <w:szCs w:val="20"/>
              </w:rPr>
            </w:pPr>
            <w:r>
              <w:rPr>
                <w:rFonts w:ascii="Arial" w:hAnsi="Arial" w:cs="Arial"/>
                <w:sz w:val="20"/>
                <w:szCs w:val="20"/>
              </w:rPr>
              <w:t>13,1</w:t>
            </w:r>
          </w:p>
        </w:tc>
        <w:tc>
          <w:tcPr>
            <w:tcW w:w="971" w:type="dxa"/>
            <w:gridSpan w:val="2"/>
          </w:tcPr>
          <w:p w:rsidR="00FD1525" w:rsidRDefault="00FD1525" w:rsidP="00FD1525">
            <w:pPr>
              <w:jc w:val="center"/>
            </w:pPr>
            <w:r w:rsidRPr="00C44ABE">
              <w:rPr>
                <w:rFonts w:ascii="Arial" w:hAnsi="Arial" w:cs="Arial"/>
                <w:sz w:val="20"/>
                <w:szCs w:val="20"/>
              </w:rPr>
              <w:t>0</w:t>
            </w:r>
          </w:p>
        </w:tc>
        <w:tc>
          <w:tcPr>
            <w:tcW w:w="705" w:type="dxa"/>
          </w:tcPr>
          <w:p w:rsidR="00FD1525" w:rsidRDefault="00FD1525" w:rsidP="00FD1525">
            <w:pPr>
              <w:jc w:val="center"/>
            </w:pPr>
            <w:r w:rsidRPr="00C44ABE">
              <w:rPr>
                <w:rFonts w:ascii="Arial" w:hAnsi="Arial" w:cs="Arial"/>
                <w:sz w:val="20"/>
                <w:szCs w:val="20"/>
              </w:rPr>
              <w:t>0</w:t>
            </w:r>
          </w:p>
        </w:tc>
        <w:tc>
          <w:tcPr>
            <w:tcW w:w="1014" w:type="dxa"/>
          </w:tcPr>
          <w:p w:rsidR="00FD1525" w:rsidRDefault="00FD1525" w:rsidP="00FD1525">
            <w:pPr>
              <w:jc w:val="center"/>
            </w:pPr>
            <w:r w:rsidRPr="00D02BC4">
              <w:rPr>
                <w:rFonts w:ascii="Arial" w:hAnsi="Arial" w:cs="Arial"/>
                <w:sz w:val="20"/>
                <w:szCs w:val="20"/>
              </w:rPr>
              <w:t>0</w:t>
            </w:r>
          </w:p>
        </w:tc>
        <w:tc>
          <w:tcPr>
            <w:tcW w:w="732" w:type="dxa"/>
          </w:tcPr>
          <w:p w:rsidR="00FD1525" w:rsidRDefault="00FD1525" w:rsidP="00FD1525">
            <w:pPr>
              <w:jc w:val="center"/>
            </w:pPr>
            <w:r w:rsidRPr="00D02BC4">
              <w:rPr>
                <w:rFonts w:ascii="Arial" w:hAnsi="Arial" w:cs="Arial"/>
                <w:sz w:val="20"/>
                <w:szCs w:val="20"/>
              </w:rPr>
              <w:t>0</w:t>
            </w:r>
          </w:p>
        </w:tc>
      </w:tr>
      <w:tr w:rsidR="00FD1525">
        <w:tc>
          <w:tcPr>
            <w:tcW w:w="1503" w:type="dxa"/>
            <w:vMerge/>
          </w:tcPr>
          <w:p w:rsidR="00FD1525" w:rsidRDefault="00FD1525" w:rsidP="00632419">
            <w:pPr>
              <w:jc w:val="center"/>
              <w:rPr>
                <w:rFonts w:ascii="AmerType Md BT" w:hAnsi="AmerType Md BT" w:cs="Arial"/>
                <w:sz w:val="20"/>
                <w:szCs w:val="20"/>
              </w:rPr>
            </w:pPr>
          </w:p>
        </w:tc>
        <w:tc>
          <w:tcPr>
            <w:tcW w:w="1504" w:type="dxa"/>
            <w:vAlign w:val="bottom"/>
          </w:tcPr>
          <w:p w:rsidR="00FD1525" w:rsidRPr="0003329F" w:rsidRDefault="00FD1525" w:rsidP="00213657">
            <w:pPr>
              <w:rPr>
                <w:rFonts w:ascii="Arial" w:hAnsi="Arial" w:cs="Arial"/>
                <w:sz w:val="20"/>
                <w:szCs w:val="20"/>
              </w:rPr>
            </w:pPr>
            <w:r w:rsidRPr="0003329F">
              <w:rPr>
                <w:rFonts w:ascii="Arial" w:hAnsi="Arial" w:cs="Arial"/>
                <w:sz w:val="20"/>
                <w:szCs w:val="20"/>
              </w:rPr>
              <w:t>Kolarec</w:t>
            </w:r>
          </w:p>
        </w:tc>
        <w:tc>
          <w:tcPr>
            <w:tcW w:w="1406" w:type="dxa"/>
          </w:tcPr>
          <w:p w:rsidR="00FD1525" w:rsidRDefault="00FD1525" w:rsidP="00052FA2">
            <w:pPr>
              <w:jc w:val="center"/>
              <w:rPr>
                <w:rFonts w:ascii="AmerType Md BT" w:hAnsi="AmerType Md BT" w:cs="Arial"/>
                <w:sz w:val="20"/>
                <w:szCs w:val="20"/>
              </w:rPr>
            </w:pPr>
            <w:r>
              <w:rPr>
                <w:rFonts w:ascii="Arial" w:hAnsi="Arial" w:cs="Arial"/>
                <w:sz w:val="20"/>
                <w:szCs w:val="20"/>
              </w:rPr>
              <w:t>0</w:t>
            </w:r>
          </w:p>
        </w:tc>
        <w:tc>
          <w:tcPr>
            <w:tcW w:w="1316" w:type="dxa"/>
            <w:gridSpan w:val="2"/>
          </w:tcPr>
          <w:p w:rsidR="00FD1525" w:rsidRDefault="00FD1525" w:rsidP="00FD1525">
            <w:pPr>
              <w:jc w:val="center"/>
            </w:pPr>
            <w:r w:rsidRPr="00AD1DD4">
              <w:rPr>
                <w:rFonts w:ascii="Arial" w:hAnsi="Arial" w:cs="Arial"/>
                <w:sz w:val="20"/>
                <w:szCs w:val="20"/>
              </w:rPr>
              <w:t>0</w:t>
            </w:r>
          </w:p>
        </w:tc>
        <w:tc>
          <w:tcPr>
            <w:tcW w:w="720" w:type="dxa"/>
          </w:tcPr>
          <w:p w:rsidR="00FD1525" w:rsidRDefault="00FD1525" w:rsidP="00FD1525">
            <w:pPr>
              <w:jc w:val="center"/>
            </w:pPr>
            <w:r w:rsidRPr="00AD1DD4">
              <w:rPr>
                <w:rFonts w:ascii="Arial" w:hAnsi="Arial" w:cs="Arial"/>
                <w:sz w:val="20"/>
                <w:szCs w:val="20"/>
              </w:rPr>
              <w:t>0</w:t>
            </w:r>
          </w:p>
        </w:tc>
        <w:tc>
          <w:tcPr>
            <w:tcW w:w="939" w:type="dxa"/>
          </w:tcPr>
          <w:p w:rsidR="00FD1525" w:rsidRDefault="00FD1525" w:rsidP="00FD1525">
            <w:pPr>
              <w:jc w:val="center"/>
            </w:pPr>
            <w:r w:rsidRPr="00DE11B8">
              <w:rPr>
                <w:rFonts w:ascii="Arial" w:hAnsi="Arial" w:cs="Arial"/>
                <w:sz w:val="20"/>
                <w:szCs w:val="20"/>
              </w:rPr>
              <w:t>0</w:t>
            </w:r>
          </w:p>
        </w:tc>
        <w:tc>
          <w:tcPr>
            <w:tcW w:w="668" w:type="dxa"/>
          </w:tcPr>
          <w:p w:rsidR="00FD1525" w:rsidRDefault="00FD1525" w:rsidP="00FD1525">
            <w:pPr>
              <w:jc w:val="center"/>
            </w:pPr>
            <w:r w:rsidRPr="00DE11B8">
              <w:rPr>
                <w:rFonts w:ascii="Arial" w:hAnsi="Arial" w:cs="Arial"/>
                <w:sz w:val="20"/>
                <w:szCs w:val="20"/>
              </w:rPr>
              <w:t>0</w:t>
            </w:r>
          </w:p>
        </w:tc>
        <w:tc>
          <w:tcPr>
            <w:tcW w:w="1186" w:type="dxa"/>
            <w:gridSpan w:val="2"/>
          </w:tcPr>
          <w:p w:rsidR="00FD1525" w:rsidRDefault="00FD1525" w:rsidP="00FD1525">
            <w:pPr>
              <w:jc w:val="center"/>
            </w:pPr>
            <w:r w:rsidRPr="00DE11B8">
              <w:rPr>
                <w:rFonts w:ascii="Arial" w:hAnsi="Arial" w:cs="Arial"/>
                <w:sz w:val="20"/>
                <w:szCs w:val="20"/>
              </w:rPr>
              <w:t>0</w:t>
            </w:r>
          </w:p>
        </w:tc>
        <w:tc>
          <w:tcPr>
            <w:tcW w:w="510" w:type="dxa"/>
          </w:tcPr>
          <w:p w:rsidR="00FD1525" w:rsidRDefault="00FD1525" w:rsidP="00FD1525">
            <w:pPr>
              <w:jc w:val="center"/>
            </w:pPr>
            <w:r w:rsidRPr="00E21BE2">
              <w:rPr>
                <w:rFonts w:ascii="Arial" w:hAnsi="Arial" w:cs="Arial"/>
                <w:sz w:val="20"/>
                <w:szCs w:val="20"/>
              </w:rPr>
              <w:t>0</w:t>
            </w:r>
          </w:p>
        </w:tc>
        <w:tc>
          <w:tcPr>
            <w:tcW w:w="939" w:type="dxa"/>
          </w:tcPr>
          <w:p w:rsidR="00FD1525" w:rsidRDefault="00FD1525" w:rsidP="00FD1525">
            <w:pPr>
              <w:jc w:val="center"/>
            </w:pPr>
            <w:r w:rsidRPr="00AE1372">
              <w:rPr>
                <w:rFonts w:ascii="Arial" w:hAnsi="Arial" w:cs="Arial"/>
                <w:sz w:val="20"/>
                <w:szCs w:val="20"/>
              </w:rPr>
              <w:t>0</w:t>
            </w:r>
          </w:p>
        </w:tc>
        <w:tc>
          <w:tcPr>
            <w:tcW w:w="767" w:type="dxa"/>
          </w:tcPr>
          <w:p w:rsidR="00FD1525" w:rsidRDefault="00FD1525" w:rsidP="00FD1525">
            <w:pPr>
              <w:jc w:val="center"/>
            </w:pPr>
            <w:r w:rsidRPr="00AE1372">
              <w:rPr>
                <w:rFonts w:ascii="Arial" w:hAnsi="Arial" w:cs="Arial"/>
                <w:sz w:val="20"/>
                <w:szCs w:val="20"/>
              </w:rPr>
              <w:t>0</w:t>
            </w:r>
          </w:p>
        </w:tc>
        <w:tc>
          <w:tcPr>
            <w:tcW w:w="971" w:type="dxa"/>
            <w:gridSpan w:val="2"/>
          </w:tcPr>
          <w:p w:rsidR="00FD1525" w:rsidRDefault="00FD1525" w:rsidP="00FD1525">
            <w:pPr>
              <w:jc w:val="center"/>
            </w:pPr>
            <w:r w:rsidRPr="00AE1372">
              <w:rPr>
                <w:rFonts w:ascii="Arial" w:hAnsi="Arial" w:cs="Arial"/>
                <w:sz w:val="20"/>
                <w:szCs w:val="20"/>
              </w:rPr>
              <w:t>0</w:t>
            </w:r>
          </w:p>
        </w:tc>
        <w:tc>
          <w:tcPr>
            <w:tcW w:w="705" w:type="dxa"/>
          </w:tcPr>
          <w:p w:rsidR="00FD1525" w:rsidRDefault="00FD1525" w:rsidP="00FD1525">
            <w:pPr>
              <w:jc w:val="center"/>
            </w:pPr>
            <w:r w:rsidRPr="00AE1372">
              <w:rPr>
                <w:rFonts w:ascii="Arial" w:hAnsi="Arial" w:cs="Arial"/>
                <w:sz w:val="20"/>
                <w:szCs w:val="20"/>
              </w:rPr>
              <w:t>0</w:t>
            </w:r>
          </w:p>
        </w:tc>
        <w:tc>
          <w:tcPr>
            <w:tcW w:w="1014" w:type="dxa"/>
          </w:tcPr>
          <w:p w:rsidR="00FD1525" w:rsidRDefault="00FD1525" w:rsidP="00FD1525">
            <w:pPr>
              <w:jc w:val="center"/>
            </w:pPr>
            <w:r w:rsidRPr="00D02BC4">
              <w:rPr>
                <w:rFonts w:ascii="Arial" w:hAnsi="Arial" w:cs="Arial"/>
                <w:sz w:val="20"/>
                <w:szCs w:val="20"/>
              </w:rPr>
              <w:t>0</w:t>
            </w:r>
          </w:p>
        </w:tc>
        <w:tc>
          <w:tcPr>
            <w:tcW w:w="732" w:type="dxa"/>
          </w:tcPr>
          <w:p w:rsidR="00FD1525" w:rsidRDefault="00FD1525" w:rsidP="00FD1525">
            <w:pPr>
              <w:jc w:val="center"/>
            </w:pPr>
            <w:r w:rsidRPr="00D02BC4">
              <w:rPr>
                <w:rFonts w:ascii="Arial" w:hAnsi="Arial" w:cs="Arial"/>
                <w:sz w:val="20"/>
                <w:szCs w:val="20"/>
              </w:rPr>
              <w:t>0</w:t>
            </w:r>
          </w:p>
        </w:tc>
      </w:tr>
      <w:tr w:rsidR="00FD1525">
        <w:tc>
          <w:tcPr>
            <w:tcW w:w="1503" w:type="dxa"/>
            <w:vMerge/>
          </w:tcPr>
          <w:p w:rsidR="00FD1525" w:rsidRDefault="00FD1525" w:rsidP="00632419">
            <w:pPr>
              <w:jc w:val="center"/>
              <w:rPr>
                <w:rFonts w:ascii="AmerType Md BT" w:hAnsi="AmerType Md BT" w:cs="Arial"/>
                <w:sz w:val="20"/>
                <w:szCs w:val="20"/>
              </w:rPr>
            </w:pPr>
          </w:p>
        </w:tc>
        <w:tc>
          <w:tcPr>
            <w:tcW w:w="1504" w:type="dxa"/>
            <w:vAlign w:val="bottom"/>
          </w:tcPr>
          <w:p w:rsidR="00FD1525" w:rsidRDefault="00FD1525" w:rsidP="00213657">
            <w:pPr>
              <w:rPr>
                <w:rFonts w:ascii="Arial" w:hAnsi="Arial" w:cs="Arial"/>
                <w:sz w:val="20"/>
                <w:szCs w:val="20"/>
              </w:rPr>
            </w:pPr>
            <w:r w:rsidRPr="0003329F">
              <w:rPr>
                <w:rFonts w:ascii="Arial" w:hAnsi="Arial" w:cs="Arial"/>
                <w:sz w:val="20"/>
                <w:szCs w:val="20"/>
              </w:rPr>
              <w:t>Kostanjevec</w:t>
            </w:r>
            <w:r>
              <w:rPr>
                <w:rFonts w:ascii="Arial" w:hAnsi="Arial" w:cs="Arial"/>
                <w:sz w:val="20"/>
                <w:szCs w:val="20"/>
              </w:rPr>
              <w:t xml:space="preserve"> </w:t>
            </w:r>
          </w:p>
        </w:tc>
        <w:tc>
          <w:tcPr>
            <w:tcW w:w="1406" w:type="dxa"/>
          </w:tcPr>
          <w:p w:rsidR="00FD1525" w:rsidRDefault="00FD1525" w:rsidP="00632419">
            <w:pPr>
              <w:jc w:val="center"/>
              <w:rPr>
                <w:rFonts w:ascii="AmerType Md BT" w:hAnsi="AmerType Md BT" w:cs="Arial"/>
                <w:sz w:val="20"/>
                <w:szCs w:val="20"/>
              </w:rPr>
            </w:pPr>
            <w:r>
              <w:rPr>
                <w:rFonts w:ascii="AmerType Md BT" w:hAnsi="AmerType Md BT" w:cs="Arial"/>
                <w:sz w:val="20"/>
                <w:szCs w:val="20"/>
              </w:rPr>
              <w:t>0,1714</w:t>
            </w:r>
          </w:p>
        </w:tc>
        <w:tc>
          <w:tcPr>
            <w:tcW w:w="1316" w:type="dxa"/>
            <w:gridSpan w:val="2"/>
          </w:tcPr>
          <w:p w:rsidR="00FD1525" w:rsidRDefault="00FD1525" w:rsidP="00FD1525">
            <w:pPr>
              <w:jc w:val="center"/>
            </w:pPr>
            <w:r w:rsidRPr="00AD1DD4">
              <w:rPr>
                <w:rFonts w:ascii="Arial" w:hAnsi="Arial" w:cs="Arial"/>
                <w:sz w:val="20"/>
                <w:szCs w:val="20"/>
              </w:rPr>
              <w:t>0</w:t>
            </w:r>
          </w:p>
        </w:tc>
        <w:tc>
          <w:tcPr>
            <w:tcW w:w="720" w:type="dxa"/>
          </w:tcPr>
          <w:p w:rsidR="00FD1525" w:rsidRDefault="00FD1525" w:rsidP="00FD1525">
            <w:pPr>
              <w:jc w:val="center"/>
            </w:pPr>
            <w:r w:rsidRPr="00AD1DD4">
              <w:rPr>
                <w:rFonts w:ascii="Arial" w:hAnsi="Arial" w:cs="Arial"/>
                <w:sz w:val="20"/>
                <w:szCs w:val="20"/>
              </w:rPr>
              <w:t>0</w:t>
            </w:r>
          </w:p>
        </w:tc>
        <w:tc>
          <w:tcPr>
            <w:tcW w:w="939" w:type="dxa"/>
          </w:tcPr>
          <w:p w:rsidR="00FD1525" w:rsidRDefault="00FD1525" w:rsidP="00FD1525">
            <w:pPr>
              <w:jc w:val="center"/>
            </w:pPr>
            <w:r w:rsidRPr="00DE11B8">
              <w:rPr>
                <w:rFonts w:ascii="Arial" w:hAnsi="Arial" w:cs="Arial"/>
                <w:sz w:val="20"/>
                <w:szCs w:val="20"/>
              </w:rPr>
              <w:t>0</w:t>
            </w:r>
          </w:p>
        </w:tc>
        <w:tc>
          <w:tcPr>
            <w:tcW w:w="668" w:type="dxa"/>
          </w:tcPr>
          <w:p w:rsidR="00FD1525" w:rsidRDefault="00FD1525" w:rsidP="00FD1525">
            <w:pPr>
              <w:jc w:val="center"/>
            </w:pPr>
            <w:r w:rsidRPr="00DE11B8">
              <w:rPr>
                <w:rFonts w:ascii="Arial" w:hAnsi="Arial" w:cs="Arial"/>
                <w:sz w:val="20"/>
                <w:szCs w:val="20"/>
              </w:rPr>
              <w:t>0</w:t>
            </w:r>
          </w:p>
        </w:tc>
        <w:tc>
          <w:tcPr>
            <w:tcW w:w="1186" w:type="dxa"/>
            <w:gridSpan w:val="2"/>
          </w:tcPr>
          <w:p w:rsidR="00FD1525" w:rsidRDefault="00FD1525" w:rsidP="00FD1525">
            <w:pPr>
              <w:jc w:val="center"/>
            </w:pPr>
            <w:r w:rsidRPr="00DE11B8">
              <w:rPr>
                <w:rFonts w:ascii="Arial" w:hAnsi="Arial" w:cs="Arial"/>
                <w:sz w:val="20"/>
                <w:szCs w:val="20"/>
              </w:rPr>
              <w:t>0</w:t>
            </w:r>
          </w:p>
        </w:tc>
        <w:tc>
          <w:tcPr>
            <w:tcW w:w="510" w:type="dxa"/>
          </w:tcPr>
          <w:p w:rsidR="00FD1525" w:rsidRDefault="00FD1525" w:rsidP="00FD1525">
            <w:pPr>
              <w:jc w:val="center"/>
            </w:pPr>
            <w:r w:rsidRPr="00E21BE2">
              <w:rPr>
                <w:rFonts w:ascii="Arial" w:hAnsi="Arial" w:cs="Arial"/>
                <w:sz w:val="20"/>
                <w:szCs w:val="20"/>
              </w:rPr>
              <w:t>0</w:t>
            </w:r>
          </w:p>
        </w:tc>
        <w:tc>
          <w:tcPr>
            <w:tcW w:w="939" w:type="dxa"/>
          </w:tcPr>
          <w:p w:rsidR="00FD1525" w:rsidRDefault="00FD1525" w:rsidP="00FD1525">
            <w:pPr>
              <w:jc w:val="center"/>
            </w:pPr>
            <w:r w:rsidRPr="000E54E7">
              <w:rPr>
                <w:rFonts w:ascii="Arial" w:hAnsi="Arial" w:cs="Arial"/>
                <w:sz w:val="20"/>
                <w:szCs w:val="20"/>
              </w:rPr>
              <w:t>0</w:t>
            </w:r>
          </w:p>
        </w:tc>
        <w:tc>
          <w:tcPr>
            <w:tcW w:w="767" w:type="dxa"/>
          </w:tcPr>
          <w:p w:rsidR="00FD1525" w:rsidRDefault="00FD1525" w:rsidP="00FD1525">
            <w:pPr>
              <w:jc w:val="center"/>
            </w:pPr>
            <w:r w:rsidRPr="000E54E7">
              <w:rPr>
                <w:rFonts w:ascii="Arial" w:hAnsi="Arial" w:cs="Arial"/>
                <w:sz w:val="20"/>
                <w:szCs w:val="20"/>
              </w:rPr>
              <w:t>0</w:t>
            </w:r>
          </w:p>
        </w:tc>
        <w:tc>
          <w:tcPr>
            <w:tcW w:w="971" w:type="dxa"/>
            <w:gridSpan w:val="2"/>
          </w:tcPr>
          <w:p w:rsidR="00FD1525" w:rsidRDefault="00FD1525" w:rsidP="00213657">
            <w:pPr>
              <w:jc w:val="center"/>
              <w:rPr>
                <w:rFonts w:ascii="AmerType Md BT" w:hAnsi="AmerType Md BT" w:cs="Arial"/>
                <w:sz w:val="20"/>
                <w:szCs w:val="20"/>
              </w:rPr>
            </w:pPr>
            <w:r>
              <w:rPr>
                <w:rFonts w:ascii="AmerType Md BT" w:hAnsi="AmerType Md BT" w:cs="Arial"/>
                <w:sz w:val="20"/>
                <w:szCs w:val="20"/>
              </w:rPr>
              <w:t>0,1714</w:t>
            </w:r>
          </w:p>
        </w:tc>
        <w:tc>
          <w:tcPr>
            <w:tcW w:w="705" w:type="dxa"/>
          </w:tcPr>
          <w:p w:rsidR="00FD1525" w:rsidRDefault="00FD1525" w:rsidP="0003329F">
            <w:pPr>
              <w:jc w:val="center"/>
              <w:rPr>
                <w:rFonts w:ascii="Arial" w:hAnsi="Arial" w:cs="Arial"/>
                <w:sz w:val="20"/>
                <w:szCs w:val="20"/>
              </w:rPr>
            </w:pPr>
            <w:r>
              <w:rPr>
                <w:rFonts w:ascii="Arial" w:hAnsi="Arial" w:cs="Arial"/>
                <w:sz w:val="20"/>
                <w:szCs w:val="20"/>
              </w:rPr>
              <w:t>100</w:t>
            </w:r>
          </w:p>
        </w:tc>
        <w:tc>
          <w:tcPr>
            <w:tcW w:w="1014" w:type="dxa"/>
          </w:tcPr>
          <w:p w:rsidR="00FD1525" w:rsidRDefault="00FD1525" w:rsidP="00FD1525">
            <w:pPr>
              <w:jc w:val="center"/>
            </w:pPr>
            <w:r w:rsidRPr="00D02BC4">
              <w:rPr>
                <w:rFonts w:ascii="Arial" w:hAnsi="Arial" w:cs="Arial"/>
                <w:sz w:val="20"/>
                <w:szCs w:val="20"/>
              </w:rPr>
              <w:t>0</w:t>
            </w:r>
          </w:p>
        </w:tc>
        <w:tc>
          <w:tcPr>
            <w:tcW w:w="732" w:type="dxa"/>
          </w:tcPr>
          <w:p w:rsidR="00FD1525" w:rsidRDefault="00FD1525" w:rsidP="00FD1525">
            <w:pPr>
              <w:jc w:val="center"/>
            </w:pPr>
            <w:r w:rsidRPr="00D02BC4">
              <w:rPr>
                <w:rFonts w:ascii="Arial" w:hAnsi="Arial" w:cs="Arial"/>
                <w:sz w:val="20"/>
                <w:szCs w:val="20"/>
              </w:rPr>
              <w:t>0</w:t>
            </w:r>
          </w:p>
        </w:tc>
      </w:tr>
      <w:tr w:rsidR="00FD1525">
        <w:tc>
          <w:tcPr>
            <w:tcW w:w="1503" w:type="dxa"/>
            <w:vMerge/>
          </w:tcPr>
          <w:p w:rsidR="00FD1525" w:rsidRDefault="00FD1525" w:rsidP="00632419">
            <w:pPr>
              <w:jc w:val="center"/>
              <w:rPr>
                <w:rFonts w:ascii="AmerType Md BT" w:hAnsi="AmerType Md BT" w:cs="Arial"/>
                <w:sz w:val="20"/>
                <w:szCs w:val="20"/>
              </w:rPr>
            </w:pPr>
          </w:p>
        </w:tc>
        <w:tc>
          <w:tcPr>
            <w:tcW w:w="1504" w:type="dxa"/>
            <w:vAlign w:val="bottom"/>
          </w:tcPr>
          <w:p w:rsidR="00FD1525" w:rsidRDefault="00FD1525" w:rsidP="00213657">
            <w:pPr>
              <w:rPr>
                <w:rFonts w:ascii="Arial" w:hAnsi="Arial" w:cs="Arial"/>
                <w:sz w:val="20"/>
                <w:szCs w:val="20"/>
              </w:rPr>
            </w:pPr>
            <w:r w:rsidRPr="0003329F">
              <w:rPr>
                <w:rFonts w:ascii="Arial" w:hAnsi="Arial" w:cs="Arial"/>
                <w:sz w:val="20"/>
                <w:szCs w:val="20"/>
              </w:rPr>
              <w:t>Lukačevec</w:t>
            </w:r>
          </w:p>
        </w:tc>
        <w:tc>
          <w:tcPr>
            <w:tcW w:w="1406" w:type="dxa"/>
          </w:tcPr>
          <w:p w:rsidR="00FD1525" w:rsidRDefault="00FD1525" w:rsidP="00632419">
            <w:pPr>
              <w:jc w:val="center"/>
              <w:rPr>
                <w:rFonts w:ascii="AmerType Md BT" w:hAnsi="AmerType Md BT" w:cs="Arial"/>
                <w:sz w:val="20"/>
                <w:szCs w:val="20"/>
              </w:rPr>
            </w:pPr>
            <w:r>
              <w:rPr>
                <w:rFonts w:ascii="AmerType Md BT" w:hAnsi="AmerType Md BT" w:cs="Arial"/>
                <w:sz w:val="20"/>
                <w:szCs w:val="20"/>
              </w:rPr>
              <w:t>0,4748</w:t>
            </w:r>
          </w:p>
        </w:tc>
        <w:tc>
          <w:tcPr>
            <w:tcW w:w="1316" w:type="dxa"/>
            <w:gridSpan w:val="2"/>
          </w:tcPr>
          <w:p w:rsidR="00FD1525" w:rsidRDefault="00FD1525" w:rsidP="00052FA2">
            <w:pPr>
              <w:jc w:val="center"/>
              <w:rPr>
                <w:rFonts w:ascii="AmerType Md BT" w:hAnsi="AmerType Md BT" w:cs="Arial"/>
                <w:sz w:val="20"/>
                <w:szCs w:val="20"/>
              </w:rPr>
            </w:pPr>
            <w:r>
              <w:rPr>
                <w:rFonts w:ascii="AmerType Md BT" w:hAnsi="AmerType Md BT" w:cs="Arial"/>
                <w:sz w:val="20"/>
                <w:szCs w:val="20"/>
              </w:rPr>
              <w:t>0,4748</w:t>
            </w:r>
          </w:p>
        </w:tc>
        <w:tc>
          <w:tcPr>
            <w:tcW w:w="720" w:type="dxa"/>
          </w:tcPr>
          <w:p w:rsidR="00FD1525" w:rsidRDefault="00FD1525" w:rsidP="00632419">
            <w:pPr>
              <w:jc w:val="center"/>
              <w:rPr>
                <w:rFonts w:ascii="AmerType Md BT" w:hAnsi="AmerType Md BT" w:cs="Arial"/>
                <w:sz w:val="20"/>
                <w:szCs w:val="20"/>
              </w:rPr>
            </w:pPr>
            <w:r>
              <w:rPr>
                <w:rFonts w:ascii="AmerType Md BT" w:hAnsi="AmerType Md BT" w:cs="Arial"/>
                <w:sz w:val="20"/>
                <w:szCs w:val="20"/>
              </w:rPr>
              <w:t>100</w:t>
            </w:r>
          </w:p>
        </w:tc>
        <w:tc>
          <w:tcPr>
            <w:tcW w:w="939" w:type="dxa"/>
          </w:tcPr>
          <w:p w:rsidR="00FD1525" w:rsidRDefault="00FD1525" w:rsidP="00FD1525">
            <w:pPr>
              <w:jc w:val="center"/>
            </w:pPr>
            <w:r w:rsidRPr="00DE11B8">
              <w:rPr>
                <w:rFonts w:ascii="Arial" w:hAnsi="Arial" w:cs="Arial"/>
                <w:sz w:val="20"/>
                <w:szCs w:val="20"/>
              </w:rPr>
              <w:t>0</w:t>
            </w:r>
          </w:p>
        </w:tc>
        <w:tc>
          <w:tcPr>
            <w:tcW w:w="668" w:type="dxa"/>
          </w:tcPr>
          <w:p w:rsidR="00FD1525" w:rsidRDefault="00FD1525" w:rsidP="00FD1525">
            <w:pPr>
              <w:jc w:val="center"/>
            </w:pPr>
            <w:r w:rsidRPr="00DE11B8">
              <w:rPr>
                <w:rFonts w:ascii="Arial" w:hAnsi="Arial" w:cs="Arial"/>
                <w:sz w:val="20"/>
                <w:szCs w:val="20"/>
              </w:rPr>
              <w:t>0</w:t>
            </w:r>
          </w:p>
        </w:tc>
        <w:tc>
          <w:tcPr>
            <w:tcW w:w="1186" w:type="dxa"/>
            <w:gridSpan w:val="2"/>
          </w:tcPr>
          <w:p w:rsidR="00FD1525" w:rsidRDefault="00FD1525" w:rsidP="00FD1525">
            <w:pPr>
              <w:jc w:val="center"/>
            </w:pPr>
            <w:r w:rsidRPr="00DE11B8">
              <w:rPr>
                <w:rFonts w:ascii="Arial" w:hAnsi="Arial" w:cs="Arial"/>
                <w:sz w:val="20"/>
                <w:szCs w:val="20"/>
              </w:rPr>
              <w:t>0</w:t>
            </w:r>
          </w:p>
        </w:tc>
        <w:tc>
          <w:tcPr>
            <w:tcW w:w="510" w:type="dxa"/>
          </w:tcPr>
          <w:p w:rsidR="00FD1525" w:rsidRDefault="00FD1525" w:rsidP="00FD1525">
            <w:pPr>
              <w:jc w:val="center"/>
            </w:pPr>
            <w:r w:rsidRPr="00E21BE2">
              <w:rPr>
                <w:rFonts w:ascii="Arial" w:hAnsi="Arial" w:cs="Arial"/>
                <w:sz w:val="20"/>
                <w:szCs w:val="20"/>
              </w:rPr>
              <w:t>0</w:t>
            </w:r>
          </w:p>
        </w:tc>
        <w:tc>
          <w:tcPr>
            <w:tcW w:w="939" w:type="dxa"/>
          </w:tcPr>
          <w:p w:rsidR="00FD1525" w:rsidRDefault="00FD1525" w:rsidP="00FD1525">
            <w:pPr>
              <w:jc w:val="center"/>
            </w:pPr>
            <w:r w:rsidRPr="000E54E7">
              <w:rPr>
                <w:rFonts w:ascii="Arial" w:hAnsi="Arial" w:cs="Arial"/>
                <w:sz w:val="20"/>
                <w:szCs w:val="20"/>
              </w:rPr>
              <w:t>0</w:t>
            </w:r>
          </w:p>
        </w:tc>
        <w:tc>
          <w:tcPr>
            <w:tcW w:w="767" w:type="dxa"/>
          </w:tcPr>
          <w:p w:rsidR="00FD1525" w:rsidRDefault="00FD1525" w:rsidP="00FD1525">
            <w:pPr>
              <w:jc w:val="center"/>
            </w:pPr>
            <w:r w:rsidRPr="000E54E7">
              <w:rPr>
                <w:rFonts w:ascii="Arial" w:hAnsi="Arial" w:cs="Arial"/>
                <w:sz w:val="20"/>
                <w:szCs w:val="20"/>
              </w:rPr>
              <w:t>0</w:t>
            </w:r>
          </w:p>
        </w:tc>
        <w:tc>
          <w:tcPr>
            <w:tcW w:w="971" w:type="dxa"/>
            <w:gridSpan w:val="2"/>
          </w:tcPr>
          <w:p w:rsidR="00FD1525" w:rsidRDefault="00FD1525" w:rsidP="00FD1525">
            <w:pPr>
              <w:jc w:val="center"/>
            </w:pPr>
            <w:r w:rsidRPr="00A718C2">
              <w:rPr>
                <w:rFonts w:ascii="Arial" w:hAnsi="Arial" w:cs="Arial"/>
                <w:sz w:val="20"/>
                <w:szCs w:val="20"/>
              </w:rPr>
              <w:t>0</w:t>
            </w:r>
          </w:p>
        </w:tc>
        <w:tc>
          <w:tcPr>
            <w:tcW w:w="705" w:type="dxa"/>
          </w:tcPr>
          <w:p w:rsidR="00FD1525" w:rsidRDefault="00FD1525" w:rsidP="00FD1525">
            <w:pPr>
              <w:jc w:val="center"/>
            </w:pPr>
            <w:r w:rsidRPr="00A718C2">
              <w:rPr>
                <w:rFonts w:ascii="Arial" w:hAnsi="Arial" w:cs="Arial"/>
                <w:sz w:val="20"/>
                <w:szCs w:val="20"/>
              </w:rPr>
              <w:t>0</w:t>
            </w:r>
          </w:p>
        </w:tc>
        <w:tc>
          <w:tcPr>
            <w:tcW w:w="1014" w:type="dxa"/>
          </w:tcPr>
          <w:p w:rsidR="00FD1525" w:rsidRDefault="00FD1525" w:rsidP="00FD1525">
            <w:pPr>
              <w:jc w:val="center"/>
            </w:pPr>
            <w:r w:rsidRPr="00D02BC4">
              <w:rPr>
                <w:rFonts w:ascii="Arial" w:hAnsi="Arial" w:cs="Arial"/>
                <w:sz w:val="20"/>
                <w:szCs w:val="20"/>
              </w:rPr>
              <w:t>0</w:t>
            </w:r>
          </w:p>
        </w:tc>
        <w:tc>
          <w:tcPr>
            <w:tcW w:w="732" w:type="dxa"/>
          </w:tcPr>
          <w:p w:rsidR="00FD1525" w:rsidRDefault="00FD1525" w:rsidP="00FD1525">
            <w:pPr>
              <w:jc w:val="center"/>
            </w:pPr>
            <w:r w:rsidRPr="00D02BC4">
              <w:rPr>
                <w:rFonts w:ascii="Arial" w:hAnsi="Arial" w:cs="Arial"/>
                <w:sz w:val="20"/>
                <w:szCs w:val="20"/>
              </w:rPr>
              <w:t>0</w:t>
            </w:r>
          </w:p>
        </w:tc>
      </w:tr>
      <w:tr w:rsidR="006E53BD">
        <w:tc>
          <w:tcPr>
            <w:tcW w:w="1503" w:type="dxa"/>
            <w:vMerge/>
          </w:tcPr>
          <w:p w:rsidR="006E53BD" w:rsidRDefault="006E53BD" w:rsidP="00632419">
            <w:pPr>
              <w:jc w:val="center"/>
              <w:rPr>
                <w:rFonts w:ascii="AmerType Md BT" w:hAnsi="AmerType Md BT" w:cs="Arial"/>
                <w:sz w:val="20"/>
                <w:szCs w:val="20"/>
              </w:rPr>
            </w:pPr>
          </w:p>
        </w:tc>
        <w:tc>
          <w:tcPr>
            <w:tcW w:w="1504" w:type="dxa"/>
            <w:vAlign w:val="bottom"/>
          </w:tcPr>
          <w:p w:rsidR="006E53BD" w:rsidRDefault="006E53BD" w:rsidP="00213657">
            <w:pPr>
              <w:rPr>
                <w:rFonts w:ascii="Arial" w:hAnsi="Arial" w:cs="Arial"/>
                <w:sz w:val="20"/>
                <w:szCs w:val="20"/>
              </w:rPr>
            </w:pPr>
            <w:r w:rsidRPr="0003329F">
              <w:rPr>
                <w:rFonts w:ascii="Arial" w:hAnsi="Arial" w:cs="Arial"/>
                <w:sz w:val="20"/>
                <w:szCs w:val="20"/>
              </w:rPr>
              <w:t>Nemčevec</w:t>
            </w:r>
          </w:p>
        </w:tc>
        <w:tc>
          <w:tcPr>
            <w:tcW w:w="1406" w:type="dxa"/>
          </w:tcPr>
          <w:p w:rsidR="006E53BD" w:rsidRDefault="006E53BD" w:rsidP="006E53BD">
            <w:pPr>
              <w:jc w:val="center"/>
            </w:pPr>
            <w:r w:rsidRPr="00D622DF">
              <w:rPr>
                <w:rFonts w:ascii="Arial" w:hAnsi="Arial" w:cs="Arial"/>
                <w:sz w:val="20"/>
                <w:szCs w:val="20"/>
              </w:rPr>
              <w:t>0</w:t>
            </w:r>
          </w:p>
        </w:tc>
        <w:tc>
          <w:tcPr>
            <w:tcW w:w="1316" w:type="dxa"/>
            <w:gridSpan w:val="2"/>
          </w:tcPr>
          <w:p w:rsidR="006E53BD" w:rsidRDefault="006E53BD" w:rsidP="006E53BD">
            <w:pPr>
              <w:jc w:val="center"/>
            </w:pPr>
            <w:r w:rsidRPr="00D622DF">
              <w:rPr>
                <w:rFonts w:ascii="Arial" w:hAnsi="Arial" w:cs="Arial"/>
                <w:sz w:val="20"/>
                <w:szCs w:val="20"/>
              </w:rPr>
              <w:t>0</w:t>
            </w:r>
          </w:p>
        </w:tc>
        <w:tc>
          <w:tcPr>
            <w:tcW w:w="720" w:type="dxa"/>
          </w:tcPr>
          <w:p w:rsidR="006E53BD" w:rsidRDefault="006E53BD" w:rsidP="00FD1525">
            <w:pPr>
              <w:jc w:val="center"/>
            </w:pPr>
            <w:r w:rsidRPr="00B85675">
              <w:rPr>
                <w:rFonts w:ascii="Arial" w:hAnsi="Arial" w:cs="Arial"/>
                <w:sz w:val="20"/>
                <w:szCs w:val="20"/>
              </w:rPr>
              <w:t>0</w:t>
            </w:r>
          </w:p>
        </w:tc>
        <w:tc>
          <w:tcPr>
            <w:tcW w:w="939" w:type="dxa"/>
          </w:tcPr>
          <w:p w:rsidR="006E53BD" w:rsidRDefault="006E53BD" w:rsidP="00FD1525">
            <w:pPr>
              <w:jc w:val="center"/>
            </w:pPr>
            <w:r w:rsidRPr="00DE11B8">
              <w:rPr>
                <w:rFonts w:ascii="Arial" w:hAnsi="Arial" w:cs="Arial"/>
                <w:sz w:val="20"/>
                <w:szCs w:val="20"/>
              </w:rPr>
              <w:t>0</w:t>
            </w:r>
          </w:p>
        </w:tc>
        <w:tc>
          <w:tcPr>
            <w:tcW w:w="668" w:type="dxa"/>
          </w:tcPr>
          <w:p w:rsidR="006E53BD" w:rsidRDefault="006E53BD" w:rsidP="00FD1525">
            <w:pPr>
              <w:jc w:val="center"/>
            </w:pPr>
            <w:r w:rsidRPr="00DE11B8">
              <w:rPr>
                <w:rFonts w:ascii="Arial" w:hAnsi="Arial" w:cs="Arial"/>
                <w:sz w:val="20"/>
                <w:szCs w:val="20"/>
              </w:rPr>
              <w:t>0</w:t>
            </w:r>
          </w:p>
        </w:tc>
        <w:tc>
          <w:tcPr>
            <w:tcW w:w="1186" w:type="dxa"/>
            <w:gridSpan w:val="2"/>
          </w:tcPr>
          <w:p w:rsidR="006E53BD" w:rsidRDefault="006E53BD" w:rsidP="00FD1525">
            <w:pPr>
              <w:jc w:val="center"/>
            </w:pPr>
            <w:r w:rsidRPr="00DE11B8">
              <w:rPr>
                <w:rFonts w:ascii="Arial" w:hAnsi="Arial" w:cs="Arial"/>
                <w:sz w:val="20"/>
                <w:szCs w:val="20"/>
              </w:rPr>
              <w:t>0</w:t>
            </w:r>
          </w:p>
        </w:tc>
        <w:tc>
          <w:tcPr>
            <w:tcW w:w="510" w:type="dxa"/>
          </w:tcPr>
          <w:p w:rsidR="006E53BD" w:rsidRDefault="006E53BD" w:rsidP="00FD1525">
            <w:pPr>
              <w:jc w:val="center"/>
            </w:pPr>
            <w:r w:rsidRPr="00E21BE2">
              <w:rPr>
                <w:rFonts w:ascii="Arial" w:hAnsi="Arial" w:cs="Arial"/>
                <w:sz w:val="20"/>
                <w:szCs w:val="20"/>
              </w:rPr>
              <w:t>0</w:t>
            </w:r>
          </w:p>
        </w:tc>
        <w:tc>
          <w:tcPr>
            <w:tcW w:w="939" w:type="dxa"/>
          </w:tcPr>
          <w:p w:rsidR="006E53BD" w:rsidRDefault="006E53BD" w:rsidP="00FD1525">
            <w:pPr>
              <w:jc w:val="center"/>
            </w:pPr>
            <w:r w:rsidRPr="000E54E7">
              <w:rPr>
                <w:rFonts w:ascii="Arial" w:hAnsi="Arial" w:cs="Arial"/>
                <w:sz w:val="20"/>
                <w:szCs w:val="20"/>
              </w:rPr>
              <w:t>0</w:t>
            </w:r>
          </w:p>
        </w:tc>
        <w:tc>
          <w:tcPr>
            <w:tcW w:w="767" w:type="dxa"/>
          </w:tcPr>
          <w:p w:rsidR="006E53BD" w:rsidRDefault="006E53BD" w:rsidP="00FD1525">
            <w:pPr>
              <w:jc w:val="center"/>
            </w:pPr>
            <w:r w:rsidRPr="000E54E7">
              <w:rPr>
                <w:rFonts w:ascii="Arial" w:hAnsi="Arial" w:cs="Arial"/>
                <w:sz w:val="20"/>
                <w:szCs w:val="20"/>
              </w:rPr>
              <w:t>0</w:t>
            </w:r>
          </w:p>
        </w:tc>
        <w:tc>
          <w:tcPr>
            <w:tcW w:w="971" w:type="dxa"/>
            <w:gridSpan w:val="2"/>
          </w:tcPr>
          <w:p w:rsidR="006E53BD" w:rsidRDefault="006E53BD" w:rsidP="00FD1525">
            <w:pPr>
              <w:jc w:val="center"/>
            </w:pPr>
            <w:r w:rsidRPr="00A718C2">
              <w:rPr>
                <w:rFonts w:ascii="Arial" w:hAnsi="Arial" w:cs="Arial"/>
                <w:sz w:val="20"/>
                <w:szCs w:val="20"/>
              </w:rPr>
              <w:t>0</w:t>
            </w:r>
          </w:p>
        </w:tc>
        <w:tc>
          <w:tcPr>
            <w:tcW w:w="705" w:type="dxa"/>
          </w:tcPr>
          <w:p w:rsidR="006E53BD" w:rsidRDefault="006E53BD" w:rsidP="00FD1525">
            <w:pPr>
              <w:jc w:val="center"/>
            </w:pPr>
            <w:r w:rsidRPr="00A718C2">
              <w:rPr>
                <w:rFonts w:ascii="Arial" w:hAnsi="Arial" w:cs="Arial"/>
                <w:sz w:val="20"/>
                <w:szCs w:val="20"/>
              </w:rPr>
              <w:t>0</w:t>
            </w:r>
          </w:p>
        </w:tc>
        <w:tc>
          <w:tcPr>
            <w:tcW w:w="1014" w:type="dxa"/>
          </w:tcPr>
          <w:p w:rsidR="006E53BD" w:rsidRDefault="006E53BD" w:rsidP="00FD1525">
            <w:pPr>
              <w:jc w:val="center"/>
            </w:pPr>
            <w:r w:rsidRPr="00D02BC4">
              <w:rPr>
                <w:rFonts w:ascii="Arial" w:hAnsi="Arial" w:cs="Arial"/>
                <w:sz w:val="20"/>
                <w:szCs w:val="20"/>
              </w:rPr>
              <w:t>0</w:t>
            </w:r>
          </w:p>
        </w:tc>
        <w:tc>
          <w:tcPr>
            <w:tcW w:w="732" w:type="dxa"/>
          </w:tcPr>
          <w:p w:rsidR="006E53BD" w:rsidRDefault="006E53BD" w:rsidP="00FD1525">
            <w:pPr>
              <w:jc w:val="center"/>
            </w:pPr>
            <w:r w:rsidRPr="00D02BC4">
              <w:rPr>
                <w:rFonts w:ascii="Arial" w:hAnsi="Arial" w:cs="Arial"/>
                <w:sz w:val="20"/>
                <w:szCs w:val="20"/>
              </w:rPr>
              <w:t>0</w:t>
            </w:r>
          </w:p>
        </w:tc>
      </w:tr>
      <w:tr w:rsidR="00FD1525">
        <w:tc>
          <w:tcPr>
            <w:tcW w:w="1503" w:type="dxa"/>
            <w:vMerge/>
          </w:tcPr>
          <w:p w:rsidR="00FD1525" w:rsidRDefault="00FD1525" w:rsidP="00632419">
            <w:pPr>
              <w:jc w:val="center"/>
              <w:rPr>
                <w:rFonts w:ascii="AmerType Md BT" w:hAnsi="AmerType Md BT" w:cs="Arial"/>
                <w:sz w:val="20"/>
                <w:szCs w:val="20"/>
              </w:rPr>
            </w:pPr>
          </w:p>
        </w:tc>
        <w:tc>
          <w:tcPr>
            <w:tcW w:w="1504" w:type="dxa"/>
            <w:vAlign w:val="bottom"/>
          </w:tcPr>
          <w:p w:rsidR="00FD1525" w:rsidRPr="0003329F" w:rsidRDefault="00FD1525" w:rsidP="00213657">
            <w:pPr>
              <w:rPr>
                <w:rFonts w:ascii="Arial" w:hAnsi="Arial" w:cs="Arial"/>
                <w:sz w:val="20"/>
                <w:szCs w:val="20"/>
              </w:rPr>
            </w:pPr>
            <w:r w:rsidRPr="0003329F">
              <w:rPr>
                <w:rFonts w:ascii="Arial" w:hAnsi="Arial" w:cs="Arial"/>
                <w:sz w:val="20"/>
                <w:szCs w:val="20"/>
              </w:rPr>
              <w:t>Pofuki</w:t>
            </w:r>
          </w:p>
        </w:tc>
        <w:tc>
          <w:tcPr>
            <w:tcW w:w="1406" w:type="dxa"/>
          </w:tcPr>
          <w:p w:rsidR="00FD1525" w:rsidRDefault="00FD1525" w:rsidP="00632419">
            <w:pPr>
              <w:jc w:val="center"/>
              <w:rPr>
                <w:rFonts w:ascii="AmerType Md BT" w:hAnsi="AmerType Md BT" w:cs="Arial"/>
                <w:sz w:val="20"/>
                <w:szCs w:val="20"/>
              </w:rPr>
            </w:pPr>
            <w:r>
              <w:rPr>
                <w:rFonts w:ascii="AmerType Md BT" w:hAnsi="AmerType Md BT" w:cs="Arial"/>
                <w:sz w:val="20"/>
                <w:szCs w:val="20"/>
              </w:rPr>
              <w:t>5,3942</w:t>
            </w:r>
          </w:p>
        </w:tc>
        <w:tc>
          <w:tcPr>
            <w:tcW w:w="1316" w:type="dxa"/>
            <w:gridSpan w:val="2"/>
          </w:tcPr>
          <w:p w:rsidR="00FD1525" w:rsidRDefault="00FD1525" w:rsidP="00632419">
            <w:pPr>
              <w:jc w:val="center"/>
              <w:rPr>
                <w:rFonts w:ascii="AmerType Md BT" w:hAnsi="AmerType Md BT" w:cs="Arial"/>
                <w:sz w:val="20"/>
                <w:szCs w:val="20"/>
              </w:rPr>
            </w:pPr>
            <w:r>
              <w:rPr>
                <w:rFonts w:ascii="AmerType Md BT" w:hAnsi="AmerType Md BT" w:cs="Arial"/>
                <w:sz w:val="20"/>
                <w:szCs w:val="20"/>
              </w:rPr>
              <w:t>0,4759</w:t>
            </w:r>
          </w:p>
        </w:tc>
        <w:tc>
          <w:tcPr>
            <w:tcW w:w="720" w:type="dxa"/>
          </w:tcPr>
          <w:p w:rsidR="00FD1525" w:rsidRDefault="00FD1525" w:rsidP="00632419">
            <w:pPr>
              <w:jc w:val="center"/>
              <w:rPr>
                <w:rFonts w:ascii="AmerType Md BT" w:hAnsi="AmerType Md BT" w:cs="Arial"/>
                <w:sz w:val="20"/>
                <w:szCs w:val="20"/>
              </w:rPr>
            </w:pPr>
            <w:r>
              <w:rPr>
                <w:rFonts w:ascii="AmerType Md BT" w:hAnsi="AmerType Md BT" w:cs="Arial"/>
                <w:sz w:val="20"/>
                <w:szCs w:val="20"/>
              </w:rPr>
              <w:t>8,8</w:t>
            </w:r>
          </w:p>
        </w:tc>
        <w:tc>
          <w:tcPr>
            <w:tcW w:w="939" w:type="dxa"/>
          </w:tcPr>
          <w:p w:rsidR="00FD1525" w:rsidRDefault="00FD1525" w:rsidP="00FD1525">
            <w:pPr>
              <w:jc w:val="center"/>
            </w:pPr>
            <w:r w:rsidRPr="00DE11B8">
              <w:rPr>
                <w:rFonts w:ascii="Arial" w:hAnsi="Arial" w:cs="Arial"/>
                <w:sz w:val="20"/>
                <w:szCs w:val="20"/>
              </w:rPr>
              <w:t>0</w:t>
            </w:r>
          </w:p>
        </w:tc>
        <w:tc>
          <w:tcPr>
            <w:tcW w:w="668" w:type="dxa"/>
          </w:tcPr>
          <w:p w:rsidR="00FD1525" w:rsidRDefault="00FD1525" w:rsidP="00FD1525">
            <w:pPr>
              <w:jc w:val="center"/>
            </w:pPr>
            <w:r w:rsidRPr="00DE11B8">
              <w:rPr>
                <w:rFonts w:ascii="Arial" w:hAnsi="Arial" w:cs="Arial"/>
                <w:sz w:val="20"/>
                <w:szCs w:val="20"/>
              </w:rPr>
              <w:t>0</w:t>
            </w:r>
          </w:p>
        </w:tc>
        <w:tc>
          <w:tcPr>
            <w:tcW w:w="1186" w:type="dxa"/>
            <w:gridSpan w:val="2"/>
          </w:tcPr>
          <w:p w:rsidR="00FD1525" w:rsidRDefault="00FD1525" w:rsidP="00FD1525">
            <w:pPr>
              <w:jc w:val="center"/>
            </w:pPr>
            <w:r w:rsidRPr="00DE11B8">
              <w:rPr>
                <w:rFonts w:ascii="Arial" w:hAnsi="Arial" w:cs="Arial"/>
                <w:sz w:val="20"/>
                <w:szCs w:val="20"/>
              </w:rPr>
              <w:t>0</w:t>
            </w:r>
          </w:p>
        </w:tc>
        <w:tc>
          <w:tcPr>
            <w:tcW w:w="510" w:type="dxa"/>
          </w:tcPr>
          <w:p w:rsidR="00FD1525" w:rsidRDefault="00FD1525" w:rsidP="00FD1525">
            <w:pPr>
              <w:jc w:val="center"/>
            </w:pPr>
            <w:r w:rsidRPr="00E21BE2">
              <w:rPr>
                <w:rFonts w:ascii="Arial" w:hAnsi="Arial" w:cs="Arial"/>
                <w:sz w:val="20"/>
                <w:szCs w:val="20"/>
              </w:rPr>
              <w:t>0</w:t>
            </w:r>
          </w:p>
        </w:tc>
        <w:tc>
          <w:tcPr>
            <w:tcW w:w="939" w:type="dxa"/>
          </w:tcPr>
          <w:p w:rsidR="00FD1525" w:rsidRDefault="00FD1525" w:rsidP="00632419">
            <w:pPr>
              <w:jc w:val="center"/>
              <w:rPr>
                <w:rFonts w:ascii="Arial" w:hAnsi="Arial" w:cs="Arial"/>
                <w:sz w:val="20"/>
                <w:szCs w:val="20"/>
              </w:rPr>
            </w:pPr>
            <w:r>
              <w:rPr>
                <w:rFonts w:ascii="Arial" w:hAnsi="Arial" w:cs="Arial"/>
                <w:sz w:val="20"/>
                <w:szCs w:val="20"/>
              </w:rPr>
              <w:t>4,9183</w:t>
            </w:r>
          </w:p>
        </w:tc>
        <w:tc>
          <w:tcPr>
            <w:tcW w:w="767" w:type="dxa"/>
          </w:tcPr>
          <w:p w:rsidR="00FD1525" w:rsidRDefault="00FD1525" w:rsidP="00632419">
            <w:pPr>
              <w:jc w:val="center"/>
              <w:rPr>
                <w:rFonts w:ascii="Arial" w:hAnsi="Arial" w:cs="Arial"/>
                <w:sz w:val="20"/>
                <w:szCs w:val="20"/>
              </w:rPr>
            </w:pPr>
            <w:r>
              <w:rPr>
                <w:rFonts w:ascii="Arial" w:hAnsi="Arial" w:cs="Arial"/>
                <w:sz w:val="20"/>
                <w:szCs w:val="20"/>
              </w:rPr>
              <w:t>91,2</w:t>
            </w:r>
          </w:p>
        </w:tc>
        <w:tc>
          <w:tcPr>
            <w:tcW w:w="971" w:type="dxa"/>
            <w:gridSpan w:val="2"/>
          </w:tcPr>
          <w:p w:rsidR="00FD1525" w:rsidRDefault="00FD1525" w:rsidP="00FD1525">
            <w:pPr>
              <w:jc w:val="center"/>
            </w:pPr>
            <w:r w:rsidRPr="00A718C2">
              <w:rPr>
                <w:rFonts w:ascii="Arial" w:hAnsi="Arial" w:cs="Arial"/>
                <w:sz w:val="20"/>
                <w:szCs w:val="20"/>
              </w:rPr>
              <w:t>0</w:t>
            </w:r>
          </w:p>
        </w:tc>
        <w:tc>
          <w:tcPr>
            <w:tcW w:w="705" w:type="dxa"/>
          </w:tcPr>
          <w:p w:rsidR="00FD1525" w:rsidRDefault="00FD1525" w:rsidP="00FD1525">
            <w:pPr>
              <w:jc w:val="center"/>
            </w:pPr>
            <w:r w:rsidRPr="00A718C2">
              <w:rPr>
                <w:rFonts w:ascii="Arial" w:hAnsi="Arial" w:cs="Arial"/>
                <w:sz w:val="20"/>
                <w:szCs w:val="20"/>
              </w:rPr>
              <w:t>0</w:t>
            </w:r>
          </w:p>
        </w:tc>
        <w:tc>
          <w:tcPr>
            <w:tcW w:w="1014" w:type="dxa"/>
          </w:tcPr>
          <w:p w:rsidR="00FD1525" w:rsidRDefault="00FD1525" w:rsidP="00FD1525">
            <w:pPr>
              <w:jc w:val="center"/>
            </w:pPr>
            <w:r w:rsidRPr="00D02BC4">
              <w:rPr>
                <w:rFonts w:ascii="Arial" w:hAnsi="Arial" w:cs="Arial"/>
                <w:sz w:val="20"/>
                <w:szCs w:val="20"/>
              </w:rPr>
              <w:t>0</w:t>
            </w:r>
          </w:p>
        </w:tc>
        <w:tc>
          <w:tcPr>
            <w:tcW w:w="732" w:type="dxa"/>
          </w:tcPr>
          <w:p w:rsidR="00FD1525" w:rsidRDefault="00FD1525" w:rsidP="00FD1525">
            <w:pPr>
              <w:jc w:val="center"/>
            </w:pPr>
            <w:r w:rsidRPr="00D02BC4">
              <w:rPr>
                <w:rFonts w:ascii="Arial" w:hAnsi="Arial" w:cs="Arial"/>
                <w:sz w:val="20"/>
                <w:szCs w:val="20"/>
              </w:rPr>
              <w:t>0</w:t>
            </w:r>
          </w:p>
        </w:tc>
      </w:tr>
      <w:tr w:rsidR="00FD1525">
        <w:tc>
          <w:tcPr>
            <w:tcW w:w="1503" w:type="dxa"/>
            <w:vMerge/>
          </w:tcPr>
          <w:p w:rsidR="00FD1525" w:rsidRDefault="00FD1525" w:rsidP="00632419">
            <w:pPr>
              <w:jc w:val="center"/>
              <w:rPr>
                <w:rFonts w:ascii="AmerType Md BT" w:hAnsi="AmerType Md BT" w:cs="Arial"/>
                <w:sz w:val="20"/>
                <w:szCs w:val="20"/>
              </w:rPr>
            </w:pPr>
          </w:p>
        </w:tc>
        <w:tc>
          <w:tcPr>
            <w:tcW w:w="1504" w:type="dxa"/>
          </w:tcPr>
          <w:p w:rsidR="00FD1525" w:rsidRPr="008641E2" w:rsidRDefault="00FD1525" w:rsidP="008641E2">
            <w:pPr>
              <w:rPr>
                <w:rFonts w:ascii="Arial" w:hAnsi="Arial" w:cs="Arial"/>
                <w:sz w:val="20"/>
              </w:rPr>
            </w:pPr>
            <w:r w:rsidRPr="008641E2">
              <w:rPr>
                <w:rFonts w:ascii="Arial" w:hAnsi="Arial" w:cs="Arial"/>
                <w:sz w:val="20"/>
              </w:rPr>
              <w:t>Štrigovec</w:t>
            </w:r>
          </w:p>
        </w:tc>
        <w:tc>
          <w:tcPr>
            <w:tcW w:w="1406" w:type="dxa"/>
          </w:tcPr>
          <w:p w:rsidR="00FD1525" w:rsidRDefault="00FD1525" w:rsidP="00632419">
            <w:pPr>
              <w:jc w:val="center"/>
              <w:rPr>
                <w:rFonts w:ascii="AmerType Md BT" w:hAnsi="AmerType Md BT" w:cs="Arial"/>
                <w:sz w:val="20"/>
                <w:szCs w:val="20"/>
              </w:rPr>
            </w:pPr>
            <w:r>
              <w:rPr>
                <w:rFonts w:ascii="AmerType Md BT" w:hAnsi="AmerType Md BT" w:cs="Arial"/>
                <w:sz w:val="20"/>
                <w:szCs w:val="20"/>
              </w:rPr>
              <w:t>1,8754</w:t>
            </w:r>
          </w:p>
        </w:tc>
        <w:tc>
          <w:tcPr>
            <w:tcW w:w="1316" w:type="dxa"/>
            <w:gridSpan w:val="2"/>
          </w:tcPr>
          <w:p w:rsidR="00FD1525" w:rsidRDefault="00FD1525" w:rsidP="00632419">
            <w:pPr>
              <w:jc w:val="center"/>
              <w:rPr>
                <w:rFonts w:ascii="AmerType Md BT" w:hAnsi="AmerType Md BT" w:cs="Arial"/>
                <w:sz w:val="20"/>
                <w:szCs w:val="20"/>
              </w:rPr>
            </w:pPr>
            <w:r>
              <w:rPr>
                <w:rFonts w:ascii="AmerType Md BT" w:hAnsi="AmerType Md BT" w:cs="Arial"/>
                <w:sz w:val="20"/>
                <w:szCs w:val="20"/>
              </w:rPr>
              <w:t>1,3358</w:t>
            </w:r>
          </w:p>
        </w:tc>
        <w:tc>
          <w:tcPr>
            <w:tcW w:w="720" w:type="dxa"/>
          </w:tcPr>
          <w:p w:rsidR="00FD1525" w:rsidRDefault="00FD1525" w:rsidP="00632419">
            <w:pPr>
              <w:jc w:val="center"/>
              <w:rPr>
                <w:rFonts w:ascii="AmerType Md BT" w:hAnsi="AmerType Md BT" w:cs="Arial"/>
                <w:sz w:val="20"/>
                <w:szCs w:val="20"/>
              </w:rPr>
            </w:pPr>
            <w:r>
              <w:rPr>
                <w:rFonts w:ascii="AmerType Md BT" w:hAnsi="AmerType Md BT" w:cs="Arial"/>
                <w:sz w:val="20"/>
                <w:szCs w:val="20"/>
              </w:rPr>
              <w:t>71,2</w:t>
            </w:r>
          </w:p>
        </w:tc>
        <w:tc>
          <w:tcPr>
            <w:tcW w:w="939" w:type="dxa"/>
          </w:tcPr>
          <w:p w:rsidR="00FD1525" w:rsidRDefault="00FD1525" w:rsidP="00FD1525">
            <w:pPr>
              <w:jc w:val="center"/>
            </w:pPr>
            <w:r w:rsidRPr="00DE11B8">
              <w:rPr>
                <w:rFonts w:ascii="Arial" w:hAnsi="Arial" w:cs="Arial"/>
                <w:sz w:val="20"/>
                <w:szCs w:val="20"/>
              </w:rPr>
              <w:t>0</w:t>
            </w:r>
          </w:p>
        </w:tc>
        <w:tc>
          <w:tcPr>
            <w:tcW w:w="668" w:type="dxa"/>
          </w:tcPr>
          <w:p w:rsidR="00FD1525" w:rsidRDefault="00FD1525" w:rsidP="00FD1525">
            <w:pPr>
              <w:jc w:val="center"/>
            </w:pPr>
            <w:r w:rsidRPr="00DE11B8">
              <w:rPr>
                <w:rFonts w:ascii="Arial" w:hAnsi="Arial" w:cs="Arial"/>
                <w:sz w:val="20"/>
                <w:szCs w:val="20"/>
              </w:rPr>
              <w:t>0</w:t>
            </w:r>
          </w:p>
        </w:tc>
        <w:tc>
          <w:tcPr>
            <w:tcW w:w="1186" w:type="dxa"/>
            <w:gridSpan w:val="2"/>
          </w:tcPr>
          <w:p w:rsidR="00FD1525" w:rsidRDefault="00FD1525" w:rsidP="00FD1525">
            <w:pPr>
              <w:jc w:val="center"/>
            </w:pPr>
            <w:r w:rsidRPr="00DE11B8">
              <w:rPr>
                <w:rFonts w:ascii="Arial" w:hAnsi="Arial" w:cs="Arial"/>
                <w:sz w:val="20"/>
                <w:szCs w:val="20"/>
              </w:rPr>
              <w:t>0</w:t>
            </w:r>
          </w:p>
        </w:tc>
        <w:tc>
          <w:tcPr>
            <w:tcW w:w="510" w:type="dxa"/>
          </w:tcPr>
          <w:p w:rsidR="00FD1525" w:rsidRDefault="00FD1525" w:rsidP="00FD1525">
            <w:pPr>
              <w:jc w:val="center"/>
            </w:pPr>
            <w:r w:rsidRPr="00E21BE2">
              <w:rPr>
                <w:rFonts w:ascii="Arial" w:hAnsi="Arial" w:cs="Arial"/>
                <w:sz w:val="20"/>
                <w:szCs w:val="20"/>
              </w:rPr>
              <w:t>0</w:t>
            </w:r>
          </w:p>
        </w:tc>
        <w:tc>
          <w:tcPr>
            <w:tcW w:w="939" w:type="dxa"/>
          </w:tcPr>
          <w:p w:rsidR="00FD1525" w:rsidRDefault="00FD1525" w:rsidP="00FD1525">
            <w:pPr>
              <w:jc w:val="center"/>
            </w:pPr>
            <w:r w:rsidRPr="00413639">
              <w:rPr>
                <w:rFonts w:ascii="Arial" w:hAnsi="Arial" w:cs="Arial"/>
                <w:sz w:val="20"/>
                <w:szCs w:val="20"/>
              </w:rPr>
              <w:t>0</w:t>
            </w:r>
          </w:p>
        </w:tc>
        <w:tc>
          <w:tcPr>
            <w:tcW w:w="767" w:type="dxa"/>
          </w:tcPr>
          <w:p w:rsidR="00FD1525" w:rsidRDefault="00FD1525" w:rsidP="00FD1525">
            <w:pPr>
              <w:jc w:val="center"/>
            </w:pPr>
            <w:r w:rsidRPr="00413639">
              <w:rPr>
                <w:rFonts w:ascii="Arial" w:hAnsi="Arial" w:cs="Arial"/>
                <w:sz w:val="20"/>
                <w:szCs w:val="20"/>
              </w:rPr>
              <w:t>0</w:t>
            </w:r>
          </w:p>
        </w:tc>
        <w:tc>
          <w:tcPr>
            <w:tcW w:w="971" w:type="dxa"/>
            <w:gridSpan w:val="2"/>
          </w:tcPr>
          <w:p w:rsidR="00FD1525" w:rsidRDefault="00FD1525" w:rsidP="00632419">
            <w:pPr>
              <w:jc w:val="center"/>
              <w:rPr>
                <w:rFonts w:ascii="Arial" w:hAnsi="Arial" w:cs="Arial"/>
                <w:sz w:val="20"/>
                <w:szCs w:val="20"/>
              </w:rPr>
            </w:pPr>
            <w:r>
              <w:rPr>
                <w:rFonts w:ascii="Arial" w:hAnsi="Arial" w:cs="Arial"/>
                <w:sz w:val="20"/>
                <w:szCs w:val="20"/>
              </w:rPr>
              <w:t>0,5396</w:t>
            </w:r>
          </w:p>
        </w:tc>
        <w:tc>
          <w:tcPr>
            <w:tcW w:w="705" w:type="dxa"/>
          </w:tcPr>
          <w:p w:rsidR="00FD1525" w:rsidRDefault="00FD1525" w:rsidP="00632419">
            <w:pPr>
              <w:jc w:val="center"/>
              <w:rPr>
                <w:rFonts w:ascii="Arial" w:hAnsi="Arial" w:cs="Arial"/>
                <w:sz w:val="20"/>
                <w:szCs w:val="20"/>
              </w:rPr>
            </w:pPr>
            <w:r>
              <w:rPr>
                <w:rFonts w:ascii="Arial" w:hAnsi="Arial" w:cs="Arial"/>
                <w:sz w:val="20"/>
                <w:szCs w:val="20"/>
              </w:rPr>
              <w:t>28,8</w:t>
            </w:r>
          </w:p>
        </w:tc>
        <w:tc>
          <w:tcPr>
            <w:tcW w:w="1014" w:type="dxa"/>
          </w:tcPr>
          <w:p w:rsidR="00FD1525" w:rsidRDefault="00FD1525" w:rsidP="00FD1525">
            <w:pPr>
              <w:jc w:val="center"/>
            </w:pPr>
            <w:r w:rsidRPr="00D02BC4">
              <w:rPr>
                <w:rFonts w:ascii="Arial" w:hAnsi="Arial" w:cs="Arial"/>
                <w:sz w:val="20"/>
                <w:szCs w:val="20"/>
              </w:rPr>
              <w:t>0</w:t>
            </w:r>
          </w:p>
        </w:tc>
        <w:tc>
          <w:tcPr>
            <w:tcW w:w="732" w:type="dxa"/>
          </w:tcPr>
          <w:p w:rsidR="00FD1525" w:rsidRDefault="00FD1525" w:rsidP="00FD1525">
            <w:pPr>
              <w:jc w:val="center"/>
            </w:pPr>
            <w:r w:rsidRPr="00D02BC4">
              <w:rPr>
                <w:rFonts w:ascii="Arial" w:hAnsi="Arial" w:cs="Arial"/>
                <w:sz w:val="20"/>
                <w:szCs w:val="20"/>
              </w:rPr>
              <w:t>0</w:t>
            </w:r>
          </w:p>
        </w:tc>
      </w:tr>
      <w:tr w:rsidR="00FD1525">
        <w:tc>
          <w:tcPr>
            <w:tcW w:w="1503" w:type="dxa"/>
            <w:vMerge/>
          </w:tcPr>
          <w:p w:rsidR="00FD1525" w:rsidRDefault="00FD1525" w:rsidP="00632419">
            <w:pPr>
              <w:jc w:val="center"/>
              <w:rPr>
                <w:rFonts w:ascii="AmerType Md BT" w:hAnsi="AmerType Md BT" w:cs="Arial"/>
                <w:sz w:val="20"/>
                <w:szCs w:val="20"/>
              </w:rPr>
            </w:pPr>
          </w:p>
        </w:tc>
        <w:tc>
          <w:tcPr>
            <w:tcW w:w="1504" w:type="dxa"/>
            <w:vAlign w:val="bottom"/>
          </w:tcPr>
          <w:p w:rsidR="00FD1525" w:rsidRPr="008641E2" w:rsidRDefault="00FD1525" w:rsidP="00213657">
            <w:pPr>
              <w:rPr>
                <w:rFonts w:ascii="Arial" w:hAnsi="Arial" w:cs="Arial"/>
                <w:b/>
                <w:bCs/>
                <w:sz w:val="20"/>
                <w:szCs w:val="20"/>
              </w:rPr>
            </w:pPr>
            <w:r w:rsidRPr="008641E2">
              <w:rPr>
                <w:rFonts w:ascii="Arial" w:hAnsi="Arial" w:cs="Arial"/>
                <w:sz w:val="20"/>
              </w:rPr>
              <w:t>Vukšinec R.</w:t>
            </w:r>
          </w:p>
        </w:tc>
        <w:tc>
          <w:tcPr>
            <w:tcW w:w="1406" w:type="dxa"/>
          </w:tcPr>
          <w:p w:rsidR="00FD1525" w:rsidRDefault="00FD1525" w:rsidP="00FD1525">
            <w:pPr>
              <w:jc w:val="center"/>
            </w:pPr>
            <w:r w:rsidRPr="008019E2">
              <w:rPr>
                <w:rFonts w:ascii="Arial" w:hAnsi="Arial" w:cs="Arial"/>
                <w:sz w:val="20"/>
                <w:szCs w:val="20"/>
              </w:rPr>
              <w:t>0</w:t>
            </w:r>
          </w:p>
        </w:tc>
        <w:tc>
          <w:tcPr>
            <w:tcW w:w="1316" w:type="dxa"/>
            <w:gridSpan w:val="2"/>
          </w:tcPr>
          <w:p w:rsidR="00FD1525" w:rsidRDefault="00FD1525" w:rsidP="00FD1525">
            <w:pPr>
              <w:jc w:val="center"/>
            </w:pPr>
            <w:r w:rsidRPr="008019E2">
              <w:rPr>
                <w:rFonts w:ascii="Arial" w:hAnsi="Arial" w:cs="Arial"/>
                <w:sz w:val="20"/>
                <w:szCs w:val="20"/>
              </w:rPr>
              <w:t>0</w:t>
            </w:r>
          </w:p>
        </w:tc>
        <w:tc>
          <w:tcPr>
            <w:tcW w:w="720" w:type="dxa"/>
          </w:tcPr>
          <w:p w:rsidR="00FD1525" w:rsidRDefault="00FD1525" w:rsidP="00FD1525">
            <w:pPr>
              <w:jc w:val="center"/>
            </w:pPr>
            <w:r w:rsidRPr="008019E2">
              <w:rPr>
                <w:rFonts w:ascii="Arial" w:hAnsi="Arial" w:cs="Arial"/>
                <w:sz w:val="20"/>
                <w:szCs w:val="20"/>
              </w:rPr>
              <w:t>0</w:t>
            </w:r>
          </w:p>
        </w:tc>
        <w:tc>
          <w:tcPr>
            <w:tcW w:w="939" w:type="dxa"/>
          </w:tcPr>
          <w:p w:rsidR="00FD1525" w:rsidRDefault="00FD1525" w:rsidP="00FD1525">
            <w:pPr>
              <w:jc w:val="center"/>
            </w:pPr>
            <w:r w:rsidRPr="00DE11B8">
              <w:rPr>
                <w:rFonts w:ascii="Arial" w:hAnsi="Arial" w:cs="Arial"/>
                <w:sz w:val="20"/>
                <w:szCs w:val="20"/>
              </w:rPr>
              <w:t>0</w:t>
            </w:r>
          </w:p>
        </w:tc>
        <w:tc>
          <w:tcPr>
            <w:tcW w:w="668" w:type="dxa"/>
          </w:tcPr>
          <w:p w:rsidR="00FD1525" w:rsidRDefault="00FD1525" w:rsidP="00FD1525">
            <w:pPr>
              <w:jc w:val="center"/>
            </w:pPr>
            <w:r w:rsidRPr="00DE11B8">
              <w:rPr>
                <w:rFonts w:ascii="Arial" w:hAnsi="Arial" w:cs="Arial"/>
                <w:sz w:val="20"/>
                <w:szCs w:val="20"/>
              </w:rPr>
              <w:t>0</w:t>
            </w:r>
          </w:p>
        </w:tc>
        <w:tc>
          <w:tcPr>
            <w:tcW w:w="1186" w:type="dxa"/>
            <w:gridSpan w:val="2"/>
          </w:tcPr>
          <w:p w:rsidR="00FD1525" w:rsidRDefault="00FD1525" w:rsidP="00FD1525">
            <w:pPr>
              <w:jc w:val="center"/>
            </w:pPr>
            <w:r w:rsidRPr="00DE11B8">
              <w:rPr>
                <w:rFonts w:ascii="Arial" w:hAnsi="Arial" w:cs="Arial"/>
                <w:sz w:val="20"/>
                <w:szCs w:val="20"/>
              </w:rPr>
              <w:t>0</w:t>
            </w:r>
          </w:p>
        </w:tc>
        <w:tc>
          <w:tcPr>
            <w:tcW w:w="510" w:type="dxa"/>
          </w:tcPr>
          <w:p w:rsidR="00FD1525" w:rsidRDefault="00FD1525" w:rsidP="00FD1525">
            <w:pPr>
              <w:jc w:val="center"/>
            </w:pPr>
            <w:r w:rsidRPr="00E21BE2">
              <w:rPr>
                <w:rFonts w:ascii="Arial" w:hAnsi="Arial" w:cs="Arial"/>
                <w:sz w:val="20"/>
                <w:szCs w:val="20"/>
              </w:rPr>
              <w:t>0</w:t>
            </w:r>
          </w:p>
        </w:tc>
        <w:tc>
          <w:tcPr>
            <w:tcW w:w="939" w:type="dxa"/>
          </w:tcPr>
          <w:p w:rsidR="00FD1525" w:rsidRDefault="00FD1525" w:rsidP="00FD1525">
            <w:pPr>
              <w:jc w:val="center"/>
            </w:pPr>
            <w:r w:rsidRPr="00032184">
              <w:rPr>
                <w:rFonts w:ascii="Arial" w:hAnsi="Arial" w:cs="Arial"/>
                <w:sz w:val="20"/>
                <w:szCs w:val="20"/>
              </w:rPr>
              <w:t>0</w:t>
            </w:r>
          </w:p>
        </w:tc>
        <w:tc>
          <w:tcPr>
            <w:tcW w:w="767" w:type="dxa"/>
          </w:tcPr>
          <w:p w:rsidR="00FD1525" w:rsidRDefault="00FD1525" w:rsidP="00FD1525">
            <w:pPr>
              <w:jc w:val="center"/>
            </w:pPr>
            <w:r w:rsidRPr="00032184">
              <w:rPr>
                <w:rFonts w:ascii="Arial" w:hAnsi="Arial" w:cs="Arial"/>
                <w:sz w:val="20"/>
                <w:szCs w:val="20"/>
              </w:rPr>
              <w:t>0</w:t>
            </w:r>
          </w:p>
        </w:tc>
        <w:tc>
          <w:tcPr>
            <w:tcW w:w="971" w:type="dxa"/>
            <w:gridSpan w:val="2"/>
          </w:tcPr>
          <w:p w:rsidR="00FD1525" w:rsidRDefault="00FD1525" w:rsidP="00FD1525">
            <w:pPr>
              <w:jc w:val="center"/>
            </w:pPr>
            <w:r w:rsidRPr="00032184">
              <w:rPr>
                <w:rFonts w:ascii="Arial" w:hAnsi="Arial" w:cs="Arial"/>
                <w:sz w:val="20"/>
                <w:szCs w:val="20"/>
              </w:rPr>
              <w:t>0</w:t>
            </w:r>
          </w:p>
        </w:tc>
        <w:tc>
          <w:tcPr>
            <w:tcW w:w="705" w:type="dxa"/>
          </w:tcPr>
          <w:p w:rsidR="00FD1525" w:rsidRDefault="00FD1525" w:rsidP="00FD1525">
            <w:pPr>
              <w:jc w:val="center"/>
            </w:pPr>
            <w:r w:rsidRPr="00032184">
              <w:rPr>
                <w:rFonts w:ascii="Arial" w:hAnsi="Arial" w:cs="Arial"/>
                <w:sz w:val="20"/>
                <w:szCs w:val="20"/>
              </w:rPr>
              <w:t>0</w:t>
            </w:r>
          </w:p>
        </w:tc>
        <w:tc>
          <w:tcPr>
            <w:tcW w:w="1014" w:type="dxa"/>
          </w:tcPr>
          <w:p w:rsidR="00FD1525" w:rsidRDefault="00FD1525" w:rsidP="00FD1525">
            <w:pPr>
              <w:jc w:val="center"/>
            </w:pPr>
            <w:r w:rsidRPr="00D02BC4">
              <w:rPr>
                <w:rFonts w:ascii="Arial" w:hAnsi="Arial" w:cs="Arial"/>
                <w:sz w:val="20"/>
                <w:szCs w:val="20"/>
              </w:rPr>
              <w:t>0</w:t>
            </w:r>
          </w:p>
        </w:tc>
        <w:tc>
          <w:tcPr>
            <w:tcW w:w="732" w:type="dxa"/>
          </w:tcPr>
          <w:p w:rsidR="00FD1525" w:rsidRDefault="00FD1525" w:rsidP="00FD1525">
            <w:pPr>
              <w:jc w:val="center"/>
            </w:pPr>
            <w:r w:rsidRPr="00D02BC4">
              <w:rPr>
                <w:rFonts w:ascii="Arial" w:hAnsi="Arial" w:cs="Arial"/>
                <w:sz w:val="20"/>
                <w:szCs w:val="20"/>
              </w:rPr>
              <w:t>0</w:t>
            </w:r>
          </w:p>
        </w:tc>
      </w:tr>
      <w:tr w:rsidR="00FD1525">
        <w:tc>
          <w:tcPr>
            <w:tcW w:w="3007" w:type="dxa"/>
            <w:gridSpan w:val="2"/>
          </w:tcPr>
          <w:p w:rsidR="00FD1525" w:rsidRPr="0003329F" w:rsidRDefault="00FD1525" w:rsidP="00632419">
            <w:pPr>
              <w:jc w:val="center"/>
              <w:rPr>
                <w:rFonts w:ascii="AmerType Md BT" w:hAnsi="AmerType Md BT" w:cs="Arial"/>
                <w:b/>
                <w:sz w:val="20"/>
                <w:szCs w:val="20"/>
              </w:rPr>
            </w:pPr>
            <w:r w:rsidRPr="0003329F">
              <w:rPr>
                <w:rFonts w:ascii="AmerType Md BT" w:hAnsi="AmerType Md BT" w:cs="Arial"/>
                <w:b/>
                <w:sz w:val="20"/>
                <w:szCs w:val="20"/>
              </w:rPr>
              <w:t>Ukupno</w:t>
            </w:r>
          </w:p>
          <w:p w:rsidR="00FD1525" w:rsidRDefault="00FD1525" w:rsidP="00632419">
            <w:pPr>
              <w:jc w:val="center"/>
              <w:rPr>
                <w:rFonts w:ascii="AmerType Md BT" w:hAnsi="AmerType Md BT" w:cs="Arial"/>
                <w:sz w:val="20"/>
                <w:szCs w:val="20"/>
              </w:rPr>
            </w:pPr>
          </w:p>
        </w:tc>
        <w:tc>
          <w:tcPr>
            <w:tcW w:w="1406" w:type="dxa"/>
            <w:vAlign w:val="center"/>
          </w:tcPr>
          <w:p w:rsidR="00FD1525" w:rsidRPr="00FD1525" w:rsidRDefault="00FD1525" w:rsidP="00052FA2">
            <w:pPr>
              <w:jc w:val="center"/>
              <w:rPr>
                <w:rFonts w:ascii="AmerType Md BT" w:hAnsi="AmerType Md BT" w:cs="Arial"/>
                <w:b/>
                <w:sz w:val="20"/>
                <w:szCs w:val="20"/>
              </w:rPr>
            </w:pPr>
            <w:r w:rsidRPr="00FD1525">
              <w:rPr>
                <w:rFonts w:ascii="AmerType Md BT" w:hAnsi="AmerType Md BT" w:cs="Arial"/>
                <w:b/>
                <w:sz w:val="20"/>
                <w:szCs w:val="20"/>
              </w:rPr>
              <w:fldChar w:fldCharType="begin"/>
            </w:r>
            <w:r w:rsidRPr="00FD1525">
              <w:rPr>
                <w:rFonts w:ascii="AmerType Md BT" w:hAnsi="AmerType Md BT" w:cs="Arial"/>
                <w:b/>
                <w:sz w:val="20"/>
                <w:szCs w:val="20"/>
              </w:rPr>
              <w:instrText xml:space="preserve"> =SUM(ABOVE) </w:instrText>
            </w:r>
            <w:r w:rsidRPr="00FD1525">
              <w:rPr>
                <w:rFonts w:ascii="AmerType Md BT" w:hAnsi="AmerType Md BT" w:cs="Arial"/>
                <w:b/>
                <w:sz w:val="20"/>
                <w:szCs w:val="20"/>
              </w:rPr>
              <w:fldChar w:fldCharType="separate"/>
            </w:r>
            <w:r w:rsidRPr="00FD1525">
              <w:rPr>
                <w:rFonts w:ascii="AmerType Md BT" w:hAnsi="AmerType Md BT" w:cs="Arial"/>
                <w:b/>
                <w:noProof/>
                <w:sz w:val="20"/>
                <w:szCs w:val="20"/>
              </w:rPr>
              <w:t>22,5408</w:t>
            </w:r>
            <w:r w:rsidRPr="00FD1525">
              <w:rPr>
                <w:rFonts w:ascii="AmerType Md BT" w:hAnsi="AmerType Md BT" w:cs="Arial"/>
                <w:b/>
                <w:sz w:val="20"/>
                <w:szCs w:val="20"/>
              </w:rPr>
              <w:fldChar w:fldCharType="end"/>
            </w:r>
          </w:p>
        </w:tc>
        <w:tc>
          <w:tcPr>
            <w:tcW w:w="1316" w:type="dxa"/>
            <w:gridSpan w:val="2"/>
            <w:vAlign w:val="center"/>
          </w:tcPr>
          <w:p w:rsidR="00FD1525" w:rsidRPr="00FD1525" w:rsidRDefault="00FD1525" w:rsidP="00052FA2">
            <w:pPr>
              <w:jc w:val="center"/>
              <w:rPr>
                <w:rFonts w:ascii="AmerType Md BT" w:hAnsi="AmerType Md BT" w:cs="Arial"/>
                <w:b/>
                <w:sz w:val="20"/>
                <w:szCs w:val="20"/>
              </w:rPr>
            </w:pPr>
            <w:r w:rsidRPr="00FD1525">
              <w:rPr>
                <w:rFonts w:ascii="AmerType Md BT" w:hAnsi="AmerType Md BT" w:cs="Arial"/>
                <w:b/>
                <w:sz w:val="20"/>
                <w:szCs w:val="20"/>
              </w:rPr>
              <w:fldChar w:fldCharType="begin"/>
            </w:r>
            <w:r w:rsidRPr="00FD1525">
              <w:rPr>
                <w:rFonts w:ascii="AmerType Md BT" w:hAnsi="AmerType Md BT" w:cs="Arial"/>
                <w:b/>
                <w:sz w:val="20"/>
                <w:szCs w:val="20"/>
              </w:rPr>
              <w:instrText xml:space="preserve"> =SUM(ABOVE) </w:instrText>
            </w:r>
            <w:r w:rsidRPr="00FD1525">
              <w:rPr>
                <w:rFonts w:ascii="AmerType Md BT" w:hAnsi="AmerType Md BT" w:cs="Arial"/>
                <w:b/>
                <w:sz w:val="20"/>
                <w:szCs w:val="20"/>
              </w:rPr>
              <w:fldChar w:fldCharType="separate"/>
            </w:r>
            <w:r w:rsidRPr="00FD1525">
              <w:rPr>
                <w:rFonts w:ascii="AmerType Md BT" w:hAnsi="AmerType Md BT" w:cs="Arial"/>
                <w:b/>
                <w:noProof/>
                <w:sz w:val="20"/>
                <w:szCs w:val="20"/>
              </w:rPr>
              <w:t>13,5022</w:t>
            </w:r>
            <w:r w:rsidRPr="00FD1525">
              <w:rPr>
                <w:rFonts w:ascii="AmerType Md BT" w:hAnsi="AmerType Md BT" w:cs="Arial"/>
                <w:b/>
                <w:sz w:val="20"/>
                <w:szCs w:val="20"/>
              </w:rPr>
              <w:fldChar w:fldCharType="end"/>
            </w:r>
          </w:p>
        </w:tc>
        <w:tc>
          <w:tcPr>
            <w:tcW w:w="720" w:type="dxa"/>
            <w:vAlign w:val="center"/>
          </w:tcPr>
          <w:p w:rsidR="00FD1525" w:rsidRPr="00FD1525" w:rsidRDefault="00FD1525" w:rsidP="00052FA2">
            <w:pPr>
              <w:jc w:val="center"/>
              <w:rPr>
                <w:rFonts w:ascii="AmerType Md BT" w:hAnsi="AmerType Md BT" w:cs="Arial"/>
                <w:b/>
                <w:sz w:val="20"/>
                <w:szCs w:val="20"/>
              </w:rPr>
            </w:pPr>
            <w:r>
              <w:rPr>
                <w:rFonts w:ascii="AmerType Md BT" w:hAnsi="AmerType Md BT" w:cs="Arial"/>
                <w:b/>
                <w:sz w:val="20"/>
                <w:szCs w:val="20"/>
              </w:rPr>
              <w:t>59,9</w:t>
            </w:r>
          </w:p>
        </w:tc>
        <w:tc>
          <w:tcPr>
            <w:tcW w:w="939" w:type="dxa"/>
            <w:vAlign w:val="center"/>
          </w:tcPr>
          <w:p w:rsidR="00FD1525" w:rsidRPr="00FD1525" w:rsidRDefault="00FD1525" w:rsidP="00052FA2">
            <w:pPr>
              <w:jc w:val="center"/>
              <w:rPr>
                <w:rFonts w:ascii="Arial" w:hAnsi="Arial" w:cs="Arial"/>
                <w:b/>
                <w:sz w:val="20"/>
                <w:szCs w:val="20"/>
              </w:rPr>
            </w:pPr>
            <w:r w:rsidRPr="00FD1525">
              <w:rPr>
                <w:rFonts w:ascii="Arial" w:hAnsi="Arial" w:cs="Arial"/>
                <w:b/>
                <w:sz w:val="20"/>
                <w:szCs w:val="20"/>
              </w:rPr>
              <w:t>0</w:t>
            </w:r>
          </w:p>
        </w:tc>
        <w:tc>
          <w:tcPr>
            <w:tcW w:w="668" w:type="dxa"/>
            <w:vAlign w:val="center"/>
          </w:tcPr>
          <w:p w:rsidR="00FD1525" w:rsidRPr="00FD1525" w:rsidRDefault="00FD1525" w:rsidP="00052FA2">
            <w:pPr>
              <w:jc w:val="center"/>
              <w:rPr>
                <w:rFonts w:ascii="Arial" w:hAnsi="Arial" w:cs="Arial"/>
                <w:b/>
                <w:sz w:val="20"/>
                <w:szCs w:val="20"/>
              </w:rPr>
            </w:pPr>
            <w:r>
              <w:rPr>
                <w:rFonts w:ascii="Arial" w:hAnsi="Arial" w:cs="Arial"/>
                <w:b/>
                <w:sz w:val="20"/>
                <w:szCs w:val="20"/>
              </w:rPr>
              <w:t>0</w:t>
            </w:r>
          </w:p>
        </w:tc>
        <w:tc>
          <w:tcPr>
            <w:tcW w:w="1186" w:type="dxa"/>
            <w:gridSpan w:val="2"/>
            <w:vAlign w:val="center"/>
          </w:tcPr>
          <w:p w:rsidR="00FD1525" w:rsidRPr="00FD1525" w:rsidRDefault="00FD1525" w:rsidP="00052FA2">
            <w:pPr>
              <w:jc w:val="center"/>
              <w:rPr>
                <w:rFonts w:ascii="Arial" w:hAnsi="Arial" w:cs="Arial"/>
                <w:b/>
                <w:sz w:val="20"/>
                <w:szCs w:val="20"/>
              </w:rPr>
            </w:pPr>
            <w:r w:rsidRPr="00FD1525">
              <w:rPr>
                <w:rFonts w:ascii="Arial" w:hAnsi="Arial" w:cs="Arial"/>
                <w:b/>
                <w:sz w:val="20"/>
                <w:szCs w:val="20"/>
              </w:rPr>
              <w:t>0</w:t>
            </w:r>
          </w:p>
        </w:tc>
        <w:tc>
          <w:tcPr>
            <w:tcW w:w="510" w:type="dxa"/>
            <w:vAlign w:val="center"/>
          </w:tcPr>
          <w:p w:rsidR="00FD1525" w:rsidRPr="00FD1525" w:rsidRDefault="00FD1525" w:rsidP="00052FA2">
            <w:pPr>
              <w:jc w:val="center"/>
              <w:rPr>
                <w:rFonts w:ascii="Arial" w:hAnsi="Arial" w:cs="Arial"/>
                <w:b/>
                <w:sz w:val="20"/>
                <w:szCs w:val="20"/>
              </w:rPr>
            </w:pPr>
            <w:r>
              <w:rPr>
                <w:rFonts w:ascii="Arial" w:hAnsi="Arial" w:cs="Arial"/>
                <w:b/>
                <w:sz w:val="20"/>
                <w:szCs w:val="20"/>
              </w:rPr>
              <w:t>0</w:t>
            </w:r>
          </w:p>
        </w:tc>
        <w:tc>
          <w:tcPr>
            <w:tcW w:w="939" w:type="dxa"/>
            <w:vAlign w:val="center"/>
          </w:tcPr>
          <w:p w:rsidR="00FD1525" w:rsidRPr="00FD1525" w:rsidRDefault="00FD1525" w:rsidP="00052FA2">
            <w:pPr>
              <w:jc w:val="center"/>
              <w:rPr>
                <w:rFonts w:ascii="Arial" w:hAnsi="Arial" w:cs="Arial"/>
                <w:b/>
                <w:sz w:val="20"/>
                <w:szCs w:val="20"/>
              </w:rPr>
            </w:pPr>
            <w:r w:rsidRPr="00FD1525">
              <w:rPr>
                <w:rFonts w:ascii="Arial" w:hAnsi="Arial" w:cs="Arial"/>
                <w:b/>
                <w:sz w:val="20"/>
                <w:szCs w:val="20"/>
              </w:rPr>
              <w:fldChar w:fldCharType="begin"/>
            </w:r>
            <w:r w:rsidRPr="00FD1525">
              <w:rPr>
                <w:rFonts w:ascii="Arial" w:hAnsi="Arial" w:cs="Arial"/>
                <w:b/>
                <w:sz w:val="20"/>
                <w:szCs w:val="20"/>
              </w:rPr>
              <w:instrText xml:space="preserve"> =SUM(ABOVE) </w:instrText>
            </w:r>
            <w:r w:rsidRPr="00FD1525">
              <w:rPr>
                <w:rFonts w:ascii="Arial" w:hAnsi="Arial" w:cs="Arial"/>
                <w:b/>
                <w:sz w:val="20"/>
                <w:szCs w:val="20"/>
              </w:rPr>
              <w:fldChar w:fldCharType="separate"/>
            </w:r>
            <w:r w:rsidRPr="00FD1525">
              <w:rPr>
                <w:rFonts w:ascii="Arial" w:hAnsi="Arial" w:cs="Arial"/>
                <w:b/>
                <w:noProof/>
                <w:sz w:val="20"/>
                <w:szCs w:val="20"/>
              </w:rPr>
              <w:t>7,4937</w:t>
            </w:r>
            <w:r w:rsidRPr="00FD1525">
              <w:rPr>
                <w:rFonts w:ascii="Arial" w:hAnsi="Arial" w:cs="Arial"/>
                <w:b/>
                <w:sz w:val="20"/>
                <w:szCs w:val="20"/>
              </w:rPr>
              <w:fldChar w:fldCharType="end"/>
            </w:r>
          </w:p>
        </w:tc>
        <w:tc>
          <w:tcPr>
            <w:tcW w:w="767" w:type="dxa"/>
            <w:vAlign w:val="center"/>
          </w:tcPr>
          <w:p w:rsidR="00FD1525" w:rsidRPr="00FD1525" w:rsidRDefault="00FD1525" w:rsidP="00052FA2">
            <w:pPr>
              <w:jc w:val="center"/>
              <w:rPr>
                <w:rFonts w:ascii="Arial" w:hAnsi="Arial" w:cs="Arial"/>
                <w:b/>
                <w:sz w:val="20"/>
                <w:szCs w:val="20"/>
              </w:rPr>
            </w:pPr>
            <w:r>
              <w:rPr>
                <w:rFonts w:ascii="Arial" w:hAnsi="Arial" w:cs="Arial"/>
                <w:b/>
                <w:sz w:val="20"/>
                <w:szCs w:val="20"/>
              </w:rPr>
              <w:t>33,2</w:t>
            </w:r>
          </w:p>
        </w:tc>
        <w:tc>
          <w:tcPr>
            <w:tcW w:w="971" w:type="dxa"/>
            <w:gridSpan w:val="2"/>
            <w:vAlign w:val="center"/>
          </w:tcPr>
          <w:p w:rsidR="00FD1525" w:rsidRPr="00FD1525" w:rsidRDefault="00FD1525" w:rsidP="00052FA2">
            <w:pPr>
              <w:jc w:val="center"/>
              <w:rPr>
                <w:rFonts w:ascii="Arial" w:hAnsi="Arial" w:cs="Arial"/>
                <w:b/>
                <w:sz w:val="20"/>
                <w:szCs w:val="20"/>
              </w:rPr>
            </w:pPr>
            <w:r w:rsidRPr="00FD1525">
              <w:rPr>
                <w:rFonts w:ascii="Arial" w:hAnsi="Arial" w:cs="Arial"/>
                <w:b/>
                <w:sz w:val="20"/>
                <w:szCs w:val="20"/>
              </w:rPr>
              <w:fldChar w:fldCharType="begin"/>
            </w:r>
            <w:r w:rsidRPr="00FD1525">
              <w:rPr>
                <w:rFonts w:ascii="Arial" w:hAnsi="Arial" w:cs="Arial"/>
                <w:b/>
                <w:sz w:val="20"/>
                <w:szCs w:val="20"/>
              </w:rPr>
              <w:instrText xml:space="preserve"> =SUM(ABOVE) </w:instrText>
            </w:r>
            <w:r w:rsidRPr="00FD1525">
              <w:rPr>
                <w:rFonts w:ascii="Arial" w:hAnsi="Arial" w:cs="Arial"/>
                <w:b/>
                <w:sz w:val="20"/>
                <w:szCs w:val="20"/>
              </w:rPr>
              <w:fldChar w:fldCharType="separate"/>
            </w:r>
            <w:r w:rsidRPr="00FD1525">
              <w:rPr>
                <w:rFonts w:ascii="Arial" w:hAnsi="Arial" w:cs="Arial"/>
                <w:b/>
                <w:noProof/>
                <w:sz w:val="20"/>
                <w:szCs w:val="20"/>
              </w:rPr>
              <w:t>1,5449</w:t>
            </w:r>
            <w:r w:rsidRPr="00FD1525">
              <w:rPr>
                <w:rFonts w:ascii="Arial" w:hAnsi="Arial" w:cs="Arial"/>
                <w:b/>
                <w:sz w:val="20"/>
                <w:szCs w:val="20"/>
              </w:rPr>
              <w:fldChar w:fldCharType="end"/>
            </w:r>
          </w:p>
        </w:tc>
        <w:tc>
          <w:tcPr>
            <w:tcW w:w="705" w:type="dxa"/>
            <w:vAlign w:val="center"/>
          </w:tcPr>
          <w:p w:rsidR="00FD1525" w:rsidRPr="00FD1525" w:rsidRDefault="00FD1525" w:rsidP="00052FA2">
            <w:pPr>
              <w:jc w:val="center"/>
              <w:rPr>
                <w:rFonts w:ascii="Arial" w:hAnsi="Arial" w:cs="Arial"/>
                <w:b/>
                <w:sz w:val="20"/>
                <w:szCs w:val="20"/>
              </w:rPr>
            </w:pPr>
            <w:r>
              <w:rPr>
                <w:rFonts w:ascii="Arial" w:hAnsi="Arial" w:cs="Arial"/>
                <w:b/>
                <w:sz w:val="20"/>
                <w:szCs w:val="20"/>
              </w:rPr>
              <w:t>6,8</w:t>
            </w:r>
          </w:p>
        </w:tc>
        <w:tc>
          <w:tcPr>
            <w:tcW w:w="1014" w:type="dxa"/>
            <w:vAlign w:val="center"/>
          </w:tcPr>
          <w:p w:rsidR="00FD1525" w:rsidRPr="00FD1525" w:rsidRDefault="00FD1525" w:rsidP="00052FA2">
            <w:pPr>
              <w:jc w:val="center"/>
              <w:rPr>
                <w:rFonts w:ascii="Arial" w:hAnsi="Arial" w:cs="Arial"/>
                <w:b/>
                <w:sz w:val="20"/>
                <w:szCs w:val="20"/>
              </w:rPr>
            </w:pPr>
            <w:r w:rsidRPr="00FD1525">
              <w:rPr>
                <w:rFonts w:ascii="Arial" w:hAnsi="Arial" w:cs="Arial"/>
                <w:b/>
                <w:sz w:val="20"/>
                <w:szCs w:val="20"/>
              </w:rPr>
              <w:t>0</w:t>
            </w:r>
          </w:p>
        </w:tc>
        <w:tc>
          <w:tcPr>
            <w:tcW w:w="732" w:type="dxa"/>
            <w:vAlign w:val="center"/>
          </w:tcPr>
          <w:p w:rsidR="00FD1525" w:rsidRPr="00FD1525" w:rsidRDefault="00FD1525" w:rsidP="00052FA2">
            <w:pPr>
              <w:jc w:val="center"/>
              <w:rPr>
                <w:rFonts w:ascii="Arial" w:hAnsi="Arial" w:cs="Arial"/>
                <w:b/>
                <w:sz w:val="20"/>
                <w:szCs w:val="20"/>
              </w:rPr>
            </w:pPr>
            <w:r w:rsidRPr="00FD1525">
              <w:rPr>
                <w:rFonts w:ascii="Arial" w:hAnsi="Arial" w:cs="Arial"/>
                <w:b/>
                <w:sz w:val="20"/>
                <w:szCs w:val="20"/>
              </w:rPr>
              <w:t>0</w:t>
            </w:r>
          </w:p>
        </w:tc>
      </w:tr>
      <w:tr w:rsidR="00FD1525">
        <w:tc>
          <w:tcPr>
            <w:tcW w:w="1503" w:type="dxa"/>
            <w:vMerge w:val="restart"/>
          </w:tcPr>
          <w:p w:rsidR="00FD1525" w:rsidRDefault="00FD1525" w:rsidP="00632419">
            <w:pPr>
              <w:rPr>
                <w:rFonts w:ascii="Arial" w:hAnsi="Arial" w:cs="Arial"/>
                <w:b/>
                <w:sz w:val="20"/>
                <w:szCs w:val="20"/>
              </w:rPr>
            </w:pPr>
          </w:p>
        </w:tc>
        <w:tc>
          <w:tcPr>
            <w:tcW w:w="1504" w:type="dxa"/>
            <w:vMerge w:val="restart"/>
          </w:tcPr>
          <w:p w:rsidR="00FD1525" w:rsidRDefault="00FD1525" w:rsidP="00632419">
            <w:pPr>
              <w:rPr>
                <w:rFonts w:ascii="Arial" w:hAnsi="Arial" w:cs="Arial"/>
                <w:b/>
                <w:sz w:val="20"/>
                <w:szCs w:val="20"/>
              </w:rPr>
            </w:pPr>
          </w:p>
        </w:tc>
        <w:tc>
          <w:tcPr>
            <w:tcW w:w="1406" w:type="dxa"/>
            <w:vAlign w:val="center"/>
          </w:tcPr>
          <w:p w:rsidR="00FD1525" w:rsidRDefault="00FD1525" w:rsidP="00632419">
            <w:pPr>
              <w:jc w:val="center"/>
              <w:rPr>
                <w:rFonts w:ascii="Arial" w:hAnsi="Arial" w:cs="Arial"/>
                <w:b/>
                <w:sz w:val="20"/>
                <w:szCs w:val="20"/>
              </w:rPr>
            </w:pPr>
            <w:r>
              <w:rPr>
                <w:rFonts w:ascii="Arial" w:hAnsi="Arial" w:cs="Arial"/>
                <w:b/>
                <w:sz w:val="20"/>
                <w:szCs w:val="20"/>
              </w:rPr>
              <w:t>Sveukupno</w:t>
            </w:r>
          </w:p>
          <w:p w:rsidR="00FD1525" w:rsidRDefault="00FD1525" w:rsidP="00632419">
            <w:pPr>
              <w:jc w:val="center"/>
              <w:rPr>
                <w:rFonts w:ascii="Arial" w:hAnsi="Arial" w:cs="Arial"/>
                <w:b/>
                <w:sz w:val="20"/>
                <w:szCs w:val="20"/>
              </w:rPr>
            </w:pPr>
            <w:r>
              <w:rPr>
                <w:rFonts w:ascii="Arial" w:hAnsi="Arial" w:cs="Arial"/>
                <w:b/>
                <w:sz w:val="20"/>
                <w:szCs w:val="20"/>
              </w:rPr>
              <w:t>(ha)</w:t>
            </w:r>
          </w:p>
        </w:tc>
        <w:tc>
          <w:tcPr>
            <w:tcW w:w="2036" w:type="dxa"/>
            <w:gridSpan w:val="3"/>
            <w:vAlign w:val="center"/>
          </w:tcPr>
          <w:p w:rsidR="00FD1525" w:rsidRDefault="00FD1525" w:rsidP="00632419">
            <w:pPr>
              <w:jc w:val="center"/>
              <w:rPr>
                <w:rFonts w:ascii="Arial" w:hAnsi="Arial" w:cs="Arial"/>
                <w:b/>
                <w:sz w:val="20"/>
                <w:szCs w:val="20"/>
              </w:rPr>
            </w:pPr>
            <w:r>
              <w:rPr>
                <w:rFonts w:ascii="Arial" w:hAnsi="Arial" w:cs="Arial"/>
                <w:b/>
                <w:sz w:val="20"/>
                <w:szCs w:val="20"/>
              </w:rPr>
              <w:t>Stambena namjena</w:t>
            </w:r>
          </w:p>
        </w:tc>
        <w:tc>
          <w:tcPr>
            <w:tcW w:w="1607" w:type="dxa"/>
            <w:gridSpan w:val="2"/>
            <w:vAlign w:val="center"/>
          </w:tcPr>
          <w:p w:rsidR="00FD1525" w:rsidRDefault="00FD1525" w:rsidP="00632419">
            <w:pPr>
              <w:jc w:val="center"/>
              <w:rPr>
                <w:rFonts w:ascii="Arial" w:hAnsi="Arial" w:cs="Arial"/>
                <w:b/>
                <w:sz w:val="20"/>
                <w:szCs w:val="20"/>
              </w:rPr>
            </w:pPr>
            <w:r>
              <w:rPr>
                <w:rFonts w:ascii="Arial" w:hAnsi="Arial" w:cs="Arial"/>
                <w:b/>
                <w:sz w:val="20"/>
                <w:szCs w:val="20"/>
              </w:rPr>
              <w:t>Zelene površine</w:t>
            </w:r>
          </w:p>
        </w:tc>
        <w:tc>
          <w:tcPr>
            <w:tcW w:w="1696" w:type="dxa"/>
            <w:gridSpan w:val="3"/>
            <w:vAlign w:val="center"/>
          </w:tcPr>
          <w:p w:rsidR="00FD1525" w:rsidRDefault="00FD1525" w:rsidP="00632419">
            <w:pPr>
              <w:jc w:val="center"/>
              <w:rPr>
                <w:rFonts w:ascii="Arial" w:hAnsi="Arial" w:cs="Arial"/>
                <w:b/>
                <w:sz w:val="20"/>
                <w:szCs w:val="20"/>
              </w:rPr>
            </w:pPr>
            <w:r>
              <w:rPr>
                <w:rFonts w:ascii="Arial" w:hAnsi="Arial" w:cs="Arial"/>
                <w:b/>
                <w:sz w:val="20"/>
                <w:szCs w:val="20"/>
              </w:rPr>
              <w:t>Javna namjena</w:t>
            </w:r>
          </w:p>
        </w:tc>
        <w:tc>
          <w:tcPr>
            <w:tcW w:w="1706" w:type="dxa"/>
            <w:gridSpan w:val="2"/>
            <w:vAlign w:val="center"/>
          </w:tcPr>
          <w:p w:rsidR="00FD1525" w:rsidRDefault="00FD1525" w:rsidP="00632419">
            <w:pPr>
              <w:jc w:val="center"/>
              <w:rPr>
                <w:rFonts w:ascii="Arial" w:hAnsi="Arial" w:cs="Arial"/>
                <w:b/>
                <w:sz w:val="20"/>
                <w:szCs w:val="20"/>
              </w:rPr>
            </w:pPr>
            <w:r>
              <w:rPr>
                <w:rFonts w:ascii="Arial" w:hAnsi="Arial" w:cs="Arial"/>
                <w:b/>
                <w:sz w:val="20"/>
                <w:szCs w:val="20"/>
              </w:rPr>
              <w:t>Gospodarska namjena</w:t>
            </w:r>
          </w:p>
        </w:tc>
        <w:tc>
          <w:tcPr>
            <w:tcW w:w="1676" w:type="dxa"/>
            <w:gridSpan w:val="3"/>
            <w:vAlign w:val="center"/>
          </w:tcPr>
          <w:p w:rsidR="00FD1525" w:rsidRDefault="00FD1525" w:rsidP="00632419">
            <w:pPr>
              <w:jc w:val="center"/>
              <w:rPr>
                <w:rFonts w:ascii="Arial" w:hAnsi="Arial" w:cs="Arial"/>
                <w:b/>
                <w:sz w:val="20"/>
                <w:szCs w:val="20"/>
              </w:rPr>
            </w:pPr>
            <w:r>
              <w:rPr>
                <w:rFonts w:ascii="Arial" w:hAnsi="Arial" w:cs="Arial"/>
                <w:b/>
                <w:sz w:val="20"/>
                <w:szCs w:val="20"/>
              </w:rPr>
              <w:t>Športske površine</w:t>
            </w:r>
          </w:p>
        </w:tc>
        <w:tc>
          <w:tcPr>
            <w:tcW w:w="1746" w:type="dxa"/>
            <w:gridSpan w:val="2"/>
            <w:vAlign w:val="center"/>
          </w:tcPr>
          <w:p w:rsidR="00FD1525" w:rsidRDefault="00FD1525" w:rsidP="00632419">
            <w:pPr>
              <w:jc w:val="center"/>
              <w:rPr>
                <w:rFonts w:ascii="Arial" w:hAnsi="Arial" w:cs="Arial"/>
                <w:b/>
                <w:sz w:val="20"/>
                <w:szCs w:val="20"/>
              </w:rPr>
            </w:pPr>
            <w:r>
              <w:rPr>
                <w:rFonts w:ascii="Arial" w:hAnsi="Arial" w:cs="Arial"/>
                <w:b/>
                <w:sz w:val="20"/>
                <w:szCs w:val="20"/>
              </w:rPr>
              <w:t>Infrastruktura, groblje</w:t>
            </w:r>
          </w:p>
        </w:tc>
      </w:tr>
      <w:tr w:rsidR="00FD1525">
        <w:tc>
          <w:tcPr>
            <w:tcW w:w="1503" w:type="dxa"/>
            <w:vMerge/>
          </w:tcPr>
          <w:p w:rsidR="00FD1525" w:rsidRDefault="00FD1525" w:rsidP="00632419">
            <w:pPr>
              <w:rPr>
                <w:rFonts w:ascii="Arial" w:hAnsi="Arial" w:cs="Arial"/>
                <w:sz w:val="20"/>
                <w:szCs w:val="20"/>
              </w:rPr>
            </w:pPr>
          </w:p>
        </w:tc>
        <w:tc>
          <w:tcPr>
            <w:tcW w:w="1504" w:type="dxa"/>
            <w:vMerge/>
          </w:tcPr>
          <w:p w:rsidR="00FD1525" w:rsidRDefault="00FD1525" w:rsidP="00632419">
            <w:pPr>
              <w:rPr>
                <w:rFonts w:ascii="Arial" w:hAnsi="Arial" w:cs="Arial"/>
                <w:sz w:val="20"/>
                <w:szCs w:val="20"/>
              </w:rPr>
            </w:pPr>
          </w:p>
        </w:tc>
        <w:tc>
          <w:tcPr>
            <w:tcW w:w="1406" w:type="dxa"/>
          </w:tcPr>
          <w:p w:rsidR="00FD1525" w:rsidRDefault="00FD1525" w:rsidP="00632419">
            <w:pPr>
              <w:rPr>
                <w:rFonts w:ascii="Arial" w:hAnsi="Arial" w:cs="Arial"/>
                <w:sz w:val="20"/>
                <w:szCs w:val="20"/>
              </w:rPr>
            </w:pPr>
          </w:p>
        </w:tc>
        <w:tc>
          <w:tcPr>
            <w:tcW w:w="1162" w:type="dxa"/>
            <w:vAlign w:val="center"/>
          </w:tcPr>
          <w:p w:rsidR="00FD1525" w:rsidRDefault="00FD1525" w:rsidP="00632419">
            <w:pPr>
              <w:jc w:val="center"/>
              <w:rPr>
                <w:rFonts w:ascii="Arial" w:hAnsi="Arial" w:cs="Arial"/>
                <w:sz w:val="22"/>
                <w:szCs w:val="22"/>
              </w:rPr>
            </w:pPr>
            <w:r>
              <w:rPr>
                <w:rFonts w:ascii="Arial" w:hAnsi="Arial" w:cs="Arial"/>
                <w:sz w:val="22"/>
                <w:szCs w:val="22"/>
              </w:rPr>
              <w:t>ha</w:t>
            </w:r>
          </w:p>
        </w:tc>
        <w:tc>
          <w:tcPr>
            <w:tcW w:w="874" w:type="dxa"/>
            <w:gridSpan w:val="2"/>
            <w:vAlign w:val="center"/>
          </w:tcPr>
          <w:p w:rsidR="00FD1525" w:rsidRDefault="00FD1525" w:rsidP="00632419">
            <w:pPr>
              <w:jc w:val="center"/>
              <w:rPr>
                <w:rFonts w:ascii="Arial" w:hAnsi="Arial" w:cs="Arial"/>
                <w:sz w:val="22"/>
                <w:szCs w:val="22"/>
              </w:rPr>
            </w:pPr>
            <w:r>
              <w:rPr>
                <w:rFonts w:ascii="Arial" w:hAnsi="Arial" w:cs="Arial"/>
                <w:sz w:val="22"/>
                <w:szCs w:val="22"/>
              </w:rPr>
              <w:t>%</w:t>
            </w:r>
          </w:p>
        </w:tc>
        <w:tc>
          <w:tcPr>
            <w:tcW w:w="939" w:type="dxa"/>
            <w:vAlign w:val="center"/>
          </w:tcPr>
          <w:p w:rsidR="00FD1525" w:rsidRDefault="00FD1525" w:rsidP="00632419">
            <w:pPr>
              <w:jc w:val="center"/>
              <w:rPr>
                <w:rFonts w:ascii="Arial" w:hAnsi="Arial" w:cs="Arial"/>
                <w:sz w:val="22"/>
                <w:szCs w:val="22"/>
              </w:rPr>
            </w:pPr>
            <w:r>
              <w:rPr>
                <w:rFonts w:ascii="Arial" w:hAnsi="Arial" w:cs="Arial"/>
                <w:sz w:val="22"/>
                <w:szCs w:val="22"/>
              </w:rPr>
              <w:t>ha</w:t>
            </w:r>
          </w:p>
        </w:tc>
        <w:tc>
          <w:tcPr>
            <w:tcW w:w="668" w:type="dxa"/>
            <w:vAlign w:val="center"/>
          </w:tcPr>
          <w:p w:rsidR="00FD1525" w:rsidRDefault="00FD1525" w:rsidP="00632419">
            <w:pPr>
              <w:jc w:val="center"/>
              <w:rPr>
                <w:rFonts w:ascii="Arial" w:hAnsi="Arial" w:cs="Arial"/>
                <w:sz w:val="22"/>
                <w:szCs w:val="22"/>
              </w:rPr>
            </w:pPr>
            <w:r>
              <w:rPr>
                <w:rFonts w:ascii="Arial" w:hAnsi="Arial" w:cs="Arial"/>
                <w:sz w:val="22"/>
                <w:szCs w:val="22"/>
              </w:rPr>
              <w:t>%</w:t>
            </w:r>
          </w:p>
        </w:tc>
        <w:tc>
          <w:tcPr>
            <w:tcW w:w="939" w:type="dxa"/>
            <w:vAlign w:val="center"/>
          </w:tcPr>
          <w:p w:rsidR="00FD1525" w:rsidRDefault="00FD1525" w:rsidP="00632419">
            <w:pPr>
              <w:jc w:val="center"/>
              <w:rPr>
                <w:rFonts w:ascii="Arial" w:hAnsi="Arial" w:cs="Arial"/>
                <w:sz w:val="22"/>
                <w:szCs w:val="22"/>
              </w:rPr>
            </w:pPr>
            <w:r>
              <w:rPr>
                <w:rFonts w:ascii="Arial" w:hAnsi="Arial" w:cs="Arial"/>
                <w:sz w:val="22"/>
                <w:szCs w:val="22"/>
              </w:rPr>
              <w:t>ha</w:t>
            </w:r>
          </w:p>
        </w:tc>
        <w:tc>
          <w:tcPr>
            <w:tcW w:w="757" w:type="dxa"/>
            <w:gridSpan w:val="2"/>
            <w:vAlign w:val="center"/>
          </w:tcPr>
          <w:p w:rsidR="00FD1525" w:rsidRDefault="00FD1525" w:rsidP="00632419">
            <w:pPr>
              <w:jc w:val="center"/>
              <w:rPr>
                <w:rFonts w:ascii="Arial" w:hAnsi="Arial" w:cs="Arial"/>
                <w:sz w:val="22"/>
                <w:szCs w:val="22"/>
              </w:rPr>
            </w:pPr>
            <w:r>
              <w:rPr>
                <w:rFonts w:ascii="Arial" w:hAnsi="Arial" w:cs="Arial"/>
                <w:sz w:val="22"/>
                <w:szCs w:val="22"/>
              </w:rPr>
              <w:t>%</w:t>
            </w:r>
          </w:p>
        </w:tc>
        <w:tc>
          <w:tcPr>
            <w:tcW w:w="939" w:type="dxa"/>
            <w:vAlign w:val="center"/>
          </w:tcPr>
          <w:p w:rsidR="00FD1525" w:rsidRDefault="00FD1525" w:rsidP="00632419">
            <w:pPr>
              <w:jc w:val="center"/>
              <w:rPr>
                <w:rFonts w:ascii="Arial" w:hAnsi="Arial" w:cs="Arial"/>
                <w:sz w:val="22"/>
                <w:szCs w:val="22"/>
              </w:rPr>
            </w:pPr>
            <w:r>
              <w:rPr>
                <w:rFonts w:ascii="Arial" w:hAnsi="Arial" w:cs="Arial"/>
                <w:sz w:val="22"/>
                <w:szCs w:val="22"/>
              </w:rPr>
              <w:t>ha</w:t>
            </w:r>
          </w:p>
        </w:tc>
        <w:tc>
          <w:tcPr>
            <w:tcW w:w="767" w:type="dxa"/>
            <w:vAlign w:val="center"/>
          </w:tcPr>
          <w:p w:rsidR="00FD1525" w:rsidRDefault="00FD1525" w:rsidP="00632419">
            <w:pPr>
              <w:jc w:val="center"/>
              <w:rPr>
                <w:rFonts w:ascii="Arial" w:hAnsi="Arial" w:cs="Arial"/>
                <w:sz w:val="22"/>
                <w:szCs w:val="22"/>
              </w:rPr>
            </w:pPr>
            <w:r>
              <w:rPr>
                <w:rFonts w:ascii="Arial" w:hAnsi="Arial" w:cs="Arial"/>
                <w:sz w:val="22"/>
                <w:szCs w:val="22"/>
              </w:rPr>
              <w:t>%</w:t>
            </w:r>
          </w:p>
        </w:tc>
        <w:tc>
          <w:tcPr>
            <w:tcW w:w="933" w:type="dxa"/>
            <w:vAlign w:val="center"/>
          </w:tcPr>
          <w:p w:rsidR="00FD1525" w:rsidRDefault="00FD1525" w:rsidP="00632419">
            <w:pPr>
              <w:jc w:val="center"/>
              <w:rPr>
                <w:rFonts w:ascii="Arial" w:hAnsi="Arial" w:cs="Arial"/>
                <w:sz w:val="22"/>
                <w:szCs w:val="22"/>
              </w:rPr>
            </w:pPr>
            <w:r>
              <w:rPr>
                <w:rFonts w:ascii="Arial" w:hAnsi="Arial" w:cs="Arial"/>
                <w:sz w:val="22"/>
                <w:szCs w:val="22"/>
              </w:rPr>
              <w:t>ha</w:t>
            </w:r>
          </w:p>
        </w:tc>
        <w:tc>
          <w:tcPr>
            <w:tcW w:w="743" w:type="dxa"/>
            <w:gridSpan w:val="2"/>
            <w:vAlign w:val="center"/>
          </w:tcPr>
          <w:p w:rsidR="00FD1525" w:rsidRDefault="00FD1525" w:rsidP="00632419">
            <w:pPr>
              <w:jc w:val="center"/>
              <w:rPr>
                <w:rFonts w:ascii="Arial" w:hAnsi="Arial" w:cs="Arial"/>
                <w:sz w:val="22"/>
                <w:szCs w:val="22"/>
              </w:rPr>
            </w:pPr>
            <w:r>
              <w:rPr>
                <w:rFonts w:ascii="Arial" w:hAnsi="Arial" w:cs="Arial"/>
                <w:sz w:val="22"/>
                <w:szCs w:val="22"/>
              </w:rPr>
              <w:t>%</w:t>
            </w:r>
          </w:p>
        </w:tc>
        <w:tc>
          <w:tcPr>
            <w:tcW w:w="1014" w:type="dxa"/>
            <w:vAlign w:val="center"/>
          </w:tcPr>
          <w:p w:rsidR="00FD1525" w:rsidRDefault="00FD1525" w:rsidP="00632419">
            <w:pPr>
              <w:jc w:val="center"/>
              <w:rPr>
                <w:rFonts w:ascii="Arial" w:hAnsi="Arial" w:cs="Arial"/>
                <w:sz w:val="22"/>
                <w:szCs w:val="22"/>
              </w:rPr>
            </w:pPr>
            <w:r>
              <w:rPr>
                <w:rFonts w:ascii="Arial" w:hAnsi="Arial" w:cs="Arial"/>
                <w:sz w:val="22"/>
                <w:szCs w:val="22"/>
              </w:rPr>
              <w:t>ha</w:t>
            </w:r>
          </w:p>
        </w:tc>
        <w:tc>
          <w:tcPr>
            <w:tcW w:w="732" w:type="dxa"/>
            <w:vAlign w:val="center"/>
          </w:tcPr>
          <w:p w:rsidR="00FD1525" w:rsidRDefault="00FD1525" w:rsidP="00632419">
            <w:pPr>
              <w:jc w:val="center"/>
              <w:rPr>
                <w:rFonts w:ascii="Arial" w:hAnsi="Arial" w:cs="Arial"/>
                <w:sz w:val="22"/>
                <w:szCs w:val="22"/>
              </w:rPr>
            </w:pPr>
            <w:r>
              <w:rPr>
                <w:rFonts w:ascii="Arial" w:hAnsi="Arial" w:cs="Arial"/>
                <w:sz w:val="22"/>
                <w:szCs w:val="22"/>
              </w:rPr>
              <w:t>%</w:t>
            </w:r>
          </w:p>
        </w:tc>
      </w:tr>
      <w:tr w:rsidR="00FD1525">
        <w:tc>
          <w:tcPr>
            <w:tcW w:w="1503" w:type="dxa"/>
            <w:vMerge w:val="restart"/>
          </w:tcPr>
          <w:p w:rsidR="00FD1525" w:rsidRDefault="00FD1525" w:rsidP="0012288D">
            <w:pPr>
              <w:jc w:val="center"/>
              <w:rPr>
                <w:rFonts w:ascii="Arial" w:hAnsi="Arial" w:cs="Arial"/>
                <w:sz w:val="20"/>
                <w:szCs w:val="20"/>
              </w:rPr>
            </w:pPr>
            <w:r>
              <w:rPr>
                <w:rFonts w:ascii="Arial" w:hAnsi="Arial" w:cs="Arial"/>
                <w:sz w:val="20"/>
                <w:szCs w:val="20"/>
              </w:rPr>
              <w:t>Ukupno izgrađeno  i površine za razvoj</w:t>
            </w:r>
          </w:p>
        </w:tc>
        <w:tc>
          <w:tcPr>
            <w:tcW w:w="1504" w:type="dxa"/>
            <w:vAlign w:val="bottom"/>
          </w:tcPr>
          <w:p w:rsidR="00FD1525" w:rsidRDefault="00FD1525" w:rsidP="00213657">
            <w:pPr>
              <w:rPr>
                <w:rFonts w:ascii="Arial" w:hAnsi="Arial" w:cs="Arial"/>
                <w:sz w:val="20"/>
                <w:szCs w:val="20"/>
              </w:rPr>
            </w:pPr>
            <w:r w:rsidRPr="0003329F">
              <w:rPr>
                <w:rFonts w:ascii="Arial" w:hAnsi="Arial" w:cs="Arial"/>
                <w:sz w:val="20"/>
                <w:szCs w:val="20"/>
              </w:rPr>
              <w:t>Barlabaševec</w:t>
            </w:r>
          </w:p>
        </w:tc>
        <w:tc>
          <w:tcPr>
            <w:tcW w:w="1406" w:type="dxa"/>
          </w:tcPr>
          <w:p w:rsidR="00FD1525" w:rsidRDefault="00FD1525" w:rsidP="00052FA2">
            <w:pPr>
              <w:jc w:val="center"/>
              <w:rPr>
                <w:rFonts w:ascii="Arial" w:hAnsi="Arial" w:cs="Arial"/>
                <w:sz w:val="20"/>
                <w:szCs w:val="20"/>
              </w:rPr>
            </w:pPr>
            <w:r>
              <w:rPr>
                <w:rFonts w:ascii="Arial" w:hAnsi="Arial" w:cs="Arial"/>
                <w:sz w:val="20"/>
                <w:szCs w:val="20"/>
              </w:rPr>
              <w:t>2,4916</w:t>
            </w:r>
          </w:p>
        </w:tc>
        <w:tc>
          <w:tcPr>
            <w:tcW w:w="1162" w:type="dxa"/>
          </w:tcPr>
          <w:p w:rsidR="00FD1525" w:rsidRDefault="00FD1525" w:rsidP="00052FA2">
            <w:pPr>
              <w:jc w:val="center"/>
              <w:rPr>
                <w:rFonts w:ascii="Arial" w:hAnsi="Arial" w:cs="Arial"/>
                <w:sz w:val="20"/>
                <w:szCs w:val="20"/>
              </w:rPr>
            </w:pPr>
            <w:r>
              <w:rPr>
                <w:rFonts w:ascii="Arial" w:hAnsi="Arial" w:cs="Arial"/>
                <w:sz w:val="20"/>
                <w:szCs w:val="20"/>
              </w:rPr>
              <w:t>2,4916</w:t>
            </w:r>
          </w:p>
        </w:tc>
        <w:tc>
          <w:tcPr>
            <w:tcW w:w="874" w:type="dxa"/>
            <w:gridSpan w:val="2"/>
          </w:tcPr>
          <w:p w:rsidR="00FD1525" w:rsidRDefault="00FD1525" w:rsidP="00640D9A">
            <w:pPr>
              <w:jc w:val="center"/>
              <w:rPr>
                <w:rFonts w:ascii="Arial" w:hAnsi="Arial" w:cs="Arial"/>
                <w:sz w:val="20"/>
                <w:szCs w:val="20"/>
              </w:rPr>
            </w:pPr>
            <w:r>
              <w:rPr>
                <w:rFonts w:ascii="Arial" w:hAnsi="Arial" w:cs="Arial"/>
                <w:sz w:val="20"/>
                <w:szCs w:val="20"/>
              </w:rPr>
              <w:t>100</w:t>
            </w:r>
          </w:p>
        </w:tc>
        <w:tc>
          <w:tcPr>
            <w:tcW w:w="939" w:type="dxa"/>
          </w:tcPr>
          <w:p w:rsidR="00FD1525" w:rsidRDefault="00FD1525" w:rsidP="00052FA2">
            <w:pPr>
              <w:jc w:val="center"/>
              <w:rPr>
                <w:rFonts w:ascii="Arial" w:hAnsi="Arial" w:cs="Arial"/>
                <w:sz w:val="20"/>
                <w:szCs w:val="20"/>
              </w:rPr>
            </w:pPr>
            <w:r>
              <w:rPr>
                <w:rFonts w:ascii="Arial" w:hAnsi="Arial" w:cs="Arial"/>
                <w:sz w:val="20"/>
                <w:szCs w:val="20"/>
              </w:rPr>
              <w:t>0</w:t>
            </w:r>
          </w:p>
        </w:tc>
        <w:tc>
          <w:tcPr>
            <w:tcW w:w="668" w:type="dxa"/>
          </w:tcPr>
          <w:p w:rsidR="00FD1525" w:rsidRDefault="00FD1525" w:rsidP="00052FA2">
            <w:pPr>
              <w:jc w:val="center"/>
              <w:rPr>
                <w:rFonts w:ascii="Arial" w:hAnsi="Arial" w:cs="Arial"/>
                <w:sz w:val="20"/>
                <w:szCs w:val="20"/>
              </w:rPr>
            </w:pPr>
            <w:r>
              <w:rPr>
                <w:rFonts w:ascii="Arial" w:hAnsi="Arial" w:cs="Arial"/>
                <w:sz w:val="20"/>
                <w:szCs w:val="20"/>
              </w:rPr>
              <w:t>0</w:t>
            </w:r>
          </w:p>
        </w:tc>
        <w:tc>
          <w:tcPr>
            <w:tcW w:w="939" w:type="dxa"/>
            <w:vAlign w:val="center"/>
          </w:tcPr>
          <w:p w:rsidR="00FD1525" w:rsidRDefault="00FD1525" w:rsidP="00052FA2">
            <w:pPr>
              <w:jc w:val="center"/>
              <w:rPr>
                <w:rFonts w:ascii="Arial" w:hAnsi="Arial" w:cs="Arial"/>
                <w:sz w:val="20"/>
                <w:szCs w:val="20"/>
              </w:rPr>
            </w:pPr>
            <w:r>
              <w:rPr>
                <w:rFonts w:ascii="Arial" w:hAnsi="Arial" w:cs="Arial"/>
                <w:sz w:val="20"/>
                <w:szCs w:val="20"/>
              </w:rPr>
              <w:t>0</w:t>
            </w:r>
          </w:p>
        </w:tc>
        <w:tc>
          <w:tcPr>
            <w:tcW w:w="757" w:type="dxa"/>
            <w:gridSpan w:val="2"/>
          </w:tcPr>
          <w:p w:rsidR="00FD1525" w:rsidRDefault="00FD1525" w:rsidP="00052FA2">
            <w:pPr>
              <w:jc w:val="center"/>
              <w:rPr>
                <w:rFonts w:ascii="Arial" w:hAnsi="Arial" w:cs="Arial"/>
                <w:sz w:val="20"/>
                <w:szCs w:val="20"/>
              </w:rPr>
            </w:pPr>
            <w:r>
              <w:rPr>
                <w:rFonts w:ascii="Arial" w:hAnsi="Arial" w:cs="Arial"/>
                <w:sz w:val="20"/>
                <w:szCs w:val="20"/>
              </w:rPr>
              <w:t>0</w:t>
            </w:r>
          </w:p>
        </w:tc>
        <w:tc>
          <w:tcPr>
            <w:tcW w:w="939" w:type="dxa"/>
            <w:vAlign w:val="center"/>
          </w:tcPr>
          <w:p w:rsidR="00FD1525" w:rsidRDefault="00FD1525" w:rsidP="00052FA2">
            <w:pPr>
              <w:jc w:val="center"/>
              <w:rPr>
                <w:rFonts w:ascii="Arial" w:hAnsi="Arial" w:cs="Arial"/>
                <w:sz w:val="20"/>
                <w:szCs w:val="20"/>
              </w:rPr>
            </w:pPr>
            <w:r>
              <w:rPr>
                <w:rFonts w:ascii="Arial" w:hAnsi="Arial" w:cs="Arial"/>
                <w:sz w:val="20"/>
                <w:szCs w:val="20"/>
              </w:rPr>
              <w:t>0</w:t>
            </w:r>
          </w:p>
        </w:tc>
        <w:tc>
          <w:tcPr>
            <w:tcW w:w="767" w:type="dxa"/>
          </w:tcPr>
          <w:p w:rsidR="00FD1525" w:rsidRDefault="00FD1525" w:rsidP="00052FA2">
            <w:pPr>
              <w:jc w:val="center"/>
              <w:rPr>
                <w:rFonts w:ascii="Arial" w:hAnsi="Arial" w:cs="Arial"/>
                <w:sz w:val="20"/>
                <w:szCs w:val="20"/>
              </w:rPr>
            </w:pPr>
            <w:r>
              <w:rPr>
                <w:rFonts w:ascii="Arial" w:hAnsi="Arial" w:cs="Arial"/>
                <w:sz w:val="20"/>
                <w:szCs w:val="20"/>
              </w:rPr>
              <w:t>0</w:t>
            </w:r>
          </w:p>
        </w:tc>
        <w:tc>
          <w:tcPr>
            <w:tcW w:w="933" w:type="dxa"/>
            <w:vAlign w:val="center"/>
          </w:tcPr>
          <w:p w:rsidR="00FD1525" w:rsidRDefault="00FD1525" w:rsidP="00052FA2">
            <w:pPr>
              <w:jc w:val="center"/>
              <w:rPr>
                <w:rFonts w:ascii="Arial" w:hAnsi="Arial" w:cs="Arial"/>
                <w:sz w:val="20"/>
                <w:szCs w:val="20"/>
              </w:rPr>
            </w:pPr>
            <w:r>
              <w:rPr>
                <w:rFonts w:ascii="Arial" w:hAnsi="Arial" w:cs="Arial"/>
                <w:sz w:val="20"/>
                <w:szCs w:val="20"/>
              </w:rPr>
              <w:t>0</w:t>
            </w:r>
          </w:p>
        </w:tc>
        <w:tc>
          <w:tcPr>
            <w:tcW w:w="743" w:type="dxa"/>
            <w:gridSpan w:val="2"/>
          </w:tcPr>
          <w:p w:rsidR="00FD1525" w:rsidRDefault="00FD1525" w:rsidP="00052FA2">
            <w:pPr>
              <w:jc w:val="center"/>
              <w:rPr>
                <w:rFonts w:ascii="Arial" w:hAnsi="Arial" w:cs="Arial"/>
                <w:sz w:val="20"/>
                <w:szCs w:val="20"/>
              </w:rPr>
            </w:pPr>
            <w:r>
              <w:rPr>
                <w:rFonts w:ascii="Arial" w:hAnsi="Arial" w:cs="Arial"/>
                <w:sz w:val="20"/>
                <w:szCs w:val="20"/>
              </w:rPr>
              <w:t>0</w:t>
            </w:r>
          </w:p>
        </w:tc>
        <w:tc>
          <w:tcPr>
            <w:tcW w:w="1014" w:type="dxa"/>
            <w:vAlign w:val="center"/>
          </w:tcPr>
          <w:p w:rsidR="00FD1525" w:rsidRDefault="00FD1525" w:rsidP="00052FA2">
            <w:pPr>
              <w:jc w:val="center"/>
              <w:rPr>
                <w:rFonts w:ascii="Arial" w:hAnsi="Arial" w:cs="Arial"/>
                <w:sz w:val="20"/>
                <w:szCs w:val="20"/>
              </w:rPr>
            </w:pPr>
            <w:r>
              <w:rPr>
                <w:rFonts w:ascii="Arial" w:hAnsi="Arial" w:cs="Arial"/>
                <w:sz w:val="20"/>
                <w:szCs w:val="20"/>
              </w:rPr>
              <w:t>0</w:t>
            </w:r>
          </w:p>
        </w:tc>
        <w:tc>
          <w:tcPr>
            <w:tcW w:w="732" w:type="dxa"/>
          </w:tcPr>
          <w:p w:rsidR="00FD1525" w:rsidRDefault="00FD1525" w:rsidP="00052FA2">
            <w:pPr>
              <w:jc w:val="center"/>
              <w:rPr>
                <w:rFonts w:ascii="Arial" w:hAnsi="Arial" w:cs="Arial"/>
                <w:sz w:val="20"/>
                <w:szCs w:val="20"/>
              </w:rPr>
            </w:pPr>
            <w:r>
              <w:rPr>
                <w:rFonts w:ascii="Arial" w:hAnsi="Arial" w:cs="Arial"/>
                <w:sz w:val="20"/>
                <w:szCs w:val="20"/>
              </w:rPr>
              <w:t>0</w:t>
            </w:r>
          </w:p>
        </w:tc>
      </w:tr>
      <w:tr w:rsidR="00FD1525">
        <w:tc>
          <w:tcPr>
            <w:tcW w:w="1503" w:type="dxa"/>
            <w:vMerge/>
          </w:tcPr>
          <w:p w:rsidR="00FD1525" w:rsidRDefault="00FD1525" w:rsidP="00632419">
            <w:pPr>
              <w:rPr>
                <w:rFonts w:ascii="Arial" w:hAnsi="Arial" w:cs="Arial"/>
                <w:sz w:val="20"/>
                <w:szCs w:val="20"/>
              </w:rPr>
            </w:pPr>
          </w:p>
        </w:tc>
        <w:tc>
          <w:tcPr>
            <w:tcW w:w="1504" w:type="dxa"/>
            <w:vAlign w:val="bottom"/>
          </w:tcPr>
          <w:p w:rsidR="00FD1525" w:rsidRDefault="00FD1525" w:rsidP="00213657">
            <w:pPr>
              <w:rPr>
                <w:rFonts w:ascii="Arial" w:hAnsi="Arial" w:cs="Arial"/>
                <w:sz w:val="20"/>
                <w:szCs w:val="20"/>
              </w:rPr>
            </w:pPr>
            <w:r w:rsidRPr="0003329F">
              <w:rPr>
                <w:rFonts w:ascii="Arial" w:hAnsi="Arial" w:cs="Arial"/>
                <w:sz w:val="20"/>
                <w:szCs w:val="20"/>
              </w:rPr>
              <w:t>Deklešanec</w:t>
            </w:r>
          </w:p>
        </w:tc>
        <w:tc>
          <w:tcPr>
            <w:tcW w:w="1406" w:type="dxa"/>
          </w:tcPr>
          <w:p w:rsidR="00FD1525" w:rsidRDefault="00FD1525" w:rsidP="00213657">
            <w:pPr>
              <w:jc w:val="center"/>
              <w:rPr>
                <w:rFonts w:ascii="Arial" w:hAnsi="Arial" w:cs="Arial"/>
                <w:sz w:val="20"/>
                <w:szCs w:val="20"/>
              </w:rPr>
            </w:pPr>
            <w:r>
              <w:rPr>
                <w:rFonts w:ascii="Arial" w:hAnsi="Arial" w:cs="Arial"/>
                <w:sz w:val="20"/>
                <w:szCs w:val="20"/>
              </w:rPr>
              <w:t>9,0553</w:t>
            </w:r>
          </w:p>
        </w:tc>
        <w:tc>
          <w:tcPr>
            <w:tcW w:w="1162" w:type="dxa"/>
          </w:tcPr>
          <w:p w:rsidR="00FD1525" w:rsidRDefault="00FD1525" w:rsidP="00213657">
            <w:pPr>
              <w:jc w:val="center"/>
              <w:rPr>
                <w:rFonts w:ascii="Arial" w:hAnsi="Arial" w:cs="Arial"/>
                <w:sz w:val="20"/>
                <w:szCs w:val="20"/>
              </w:rPr>
            </w:pPr>
            <w:r>
              <w:rPr>
                <w:rFonts w:ascii="Arial" w:hAnsi="Arial" w:cs="Arial"/>
                <w:sz w:val="20"/>
                <w:szCs w:val="20"/>
              </w:rPr>
              <w:t>7,4417</w:t>
            </w:r>
          </w:p>
        </w:tc>
        <w:tc>
          <w:tcPr>
            <w:tcW w:w="874" w:type="dxa"/>
            <w:gridSpan w:val="2"/>
          </w:tcPr>
          <w:p w:rsidR="00FD1525" w:rsidRDefault="00FD1525" w:rsidP="00640D9A">
            <w:pPr>
              <w:jc w:val="center"/>
              <w:rPr>
                <w:rFonts w:ascii="Arial" w:hAnsi="Arial" w:cs="Arial"/>
                <w:sz w:val="20"/>
                <w:szCs w:val="20"/>
              </w:rPr>
            </w:pPr>
            <w:r>
              <w:rPr>
                <w:rFonts w:ascii="Arial" w:hAnsi="Arial" w:cs="Arial"/>
                <w:sz w:val="20"/>
                <w:szCs w:val="20"/>
              </w:rPr>
              <w:t>82,1</w:t>
            </w:r>
          </w:p>
        </w:tc>
        <w:tc>
          <w:tcPr>
            <w:tcW w:w="939" w:type="dxa"/>
          </w:tcPr>
          <w:p w:rsidR="00FD1525" w:rsidRDefault="00FD1525" w:rsidP="00E75E08">
            <w:pPr>
              <w:jc w:val="center"/>
              <w:rPr>
                <w:rFonts w:ascii="Arial" w:hAnsi="Arial" w:cs="Arial"/>
                <w:sz w:val="20"/>
                <w:szCs w:val="20"/>
              </w:rPr>
            </w:pPr>
            <w:r>
              <w:rPr>
                <w:rFonts w:ascii="Arial" w:hAnsi="Arial" w:cs="Arial"/>
                <w:sz w:val="20"/>
                <w:szCs w:val="20"/>
              </w:rPr>
              <w:t>0</w:t>
            </w:r>
          </w:p>
        </w:tc>
        <w:tc>
          <w:tcPr>
            <w:tcW w:w="668" w:type="dxa"/>
          </w:tcPr>
          <w:p w:rsidR="00FD1525" w:rsidRDefault="00FD1525" w:rsidP="00E75E08">
            <w:pPr>
              <w:jc w:val="center"/>
              <w:rPr>
                <w:rFonts w:ascii="Arial" w:hAnsi="Arial" w:cs="Arial"/>
                <w:sz w:val="20"/>
                <w:szCs w:val="20"/>
              </w:rPr>
            </w:pPr>
            <w:r>
              <w:rPr>
                <w:rFonts w:ascii="Arial" w:hAnsi="Arial" w:cs="Arial"/>
                <w:sz w:val="20"/>
                <w:szCs w:val="20"/>
              </w:rPr>
              <w:t>0</w:t>
            </w:r>
          </w:p>
        </w:tc>
        <w:tc>
          <w:tcPr>
            <w:tcW w:w="939" w:type="dxa"/>
            <w:vAlign w:val="center"/>
          </w:tcPr>
          <w:p w:rsidR="00FD1525" w:rsidRDefault="00FD1525" w:rsidP="00213657">
            <w:pPr>
              <w:jc w:val="center"/>
              <w:rPr>
                <w:rFonts w:ascii="Arial" w:hAnsi="Arial" w:cs="Arial"/>
                <w:sz w:val="20"/>
                <w:szCs w:val="20"/>
              </w:rPr>
            </w:pPr>
            <w:r>
              <w:rPr>
                <w:rFonts w:ascii="Arial" w:hAnsi="Arial" w:cs="Arial"/>
                <w:sz w:val="20"/>
                <w:szCs w:val="20"/>
              </w:rPr>
              <w:t>0,1289</w:t>
            </w:r>
          </w:p>
        </w:tc>
        <w:tc>
          <w:tcPr>
            <w:tcW w:w="757" w:type="dxa"/>
            <w:gridSpan w:val="2"/>
          </w:tcPr>
          <w:p w:rsidR="00FD1525" w:rsidRDefault="00FD1525" w:rsidP="00213657">
            <w:pPr>
              <w:jc w:val="center"/>
              <w:rPr>
                <w:rFonts w:ascii="Arial" w:hAnsi="Arial" w:cs="Arial"/>
                <w:sz w:val="20"/>
                <w:szCs w:val="20"/>
              </w:rPr>
            </w:pPr>
            <w:r>
              <w:rPr>
                <w:rFonts w:ascii="Arial" w:hAnsi="Arial" w:cs="Arial"/>
                <w:sz w:val="20"/>
                <w:szCs w:val="20"/>
              </w:rPr>
              <w:t>1,4</w:t>
            </w:r>
          </w:p>
        </w:tc>
        <w:tc>
          <w:tcPr>
            <w:tcW w:w="939" w:type="dxa"/>
            <w:vAlign w:val="center"/>
          </w:tcPr>
          <w:p w:rsidR="00FD1525" w:rsidRDefault="00FD1525" w:rsidP="00213657">
            <w:pPr>
              <w:jc w:val="center"/>
              <w:rPr>
                <w:rFonts w:ascii="Arial" w:hAnsi="Arial" w:cs="Arial"/>
                <w:sz w:val="20"/>
                <w:szCs w:val="20"/>
              </w:rPr>
            </w:pPr>
            <w:r>
              <w:rPr>
                <w:rFonts w:ascii="Arial" w:hAnsi="Arial" w:cs="Arial"/>
                <w:sz w:val="20"/>
                <w:szCs w:val="20"/>
              </w:rPr>
              <w:t>0</w:t>
            </w:r>
          </w:p>
        </w:tc>
        <w:tc>
          <w:tcPr>
            <w:tcW w:w="767" w:type="dxa"/>
          </w:tcPr>
          <w:p w:rsidR="00FD1525" w:rsidRDefault="00FD1525" w:rsidP="00FD1525">
            <w:pPr>
              <w:jc w:val="center"/>
              <w:rPr>
                <w:rFonts w:ascii="AmerType Md BT" w:hAnsi="AmerType Md BT" w:cs="Arial"/>
                <w:sz w:val="20"/>
                <w:szCs w:val="20"/>
              </w:rPr>
            </w:pPr>
            <w:r>
              <w:rPr>
                <w:rFonts w:ascii="AmerType Md BT" w:hAnsi="AmerType Md BT" w:cs="Arial"/>
                <w:sz w:val="20"/>
                <w:szCs w:val="20"/>
              </w:rPr>
              <w:t>0</w:t>
            </w:r>
          </w:p>
        </w:tc>
        <w:tc>
          <w:tcPr>
            <w:tcW w:w="933" w:type="dxa"/>
            <w:vAlign w:val="center"/>
          </w:tcPr>
          <w:p w:rsidR="00FD1525" w:rsidRDefault="00FD1525" w:rsidP="00213657">
            <w:pPr>
              <w:jc w:val="center"/>
              <w:rPr>
                <w:rFonts w:ascii="Arial" w:hAnsi="Arial" w:cs="Arial"/>
                <w:sz w:val="20"/>
                <w:szCs w:val="20"/>
              </w:rPr>
            </w:pPr>
            <w:r>
              <w:rPr>
                <w:rFonts w:ascii="Arial" w:hAnsi="Arial" w:cs="Arial"/>
                <w:sz w:val="20"/>
                <w:szCs w:val="20"/>
              </w:rPr>
              <w:t>0,4020</w:t>
            </w:r>
          </w:p>
        </w:tc>
        <w:tc>
          <w:tcPr>
            <w:tcW w:w="743" w:type="dxa"/>
            <w:gridSpan w:val="2"/>
          </w:tcPr>
          <w:p w:rsidR="00FD1525" w:rsidRDefault="00FD1525" w:rsidP="00213657">
            <w:pPr>
              <w:jc w:val="center"/>
              <w:rPr>
                <w:rFonts w:ascii="Arial" w:hAnsi="Arial" w:cs="Arial"/>
                <w:sz w:val="20"/>
                <w:szCs w:val="20"/>
              </w:rPr>
            </w:pPr>
            <w:r>
              <w:rPr>
                <w:rFonts w:ascii="Arial" w:hAnsi="Arial" w:cs="Arial"/>
                <w:sz w:val="20"/>
                <w:szCs w:val="20"/>
              </w:rPr>
              <w:t>4,4</w:t>
            </w:r>
          </w:p>
        </w:tc>
        <w:tc>
          <w:tcPr>
            <w:tcW w:w="1014" w:type="dxa"/>
            <w:vAlign w:val="center"/>
          </w:tcPr>
          <w:p w:rsidR="00FD1525" w:rsidRDefault="00FD1525" w:rsidP="00213657">
            <w:pPr>
              <w:jc w:val="center"/>
              <w:rPr>
                <w:rFonts w:ascii="Arial" w:hAnsi="Arial" w:cs="Arial"/>
                <w:sz w:val="20"/>
                <w:szCs w:val="20"/>
              </w:rPr>
            </w:pPr>
            <w:r>
              <w:rPr>
                <w:rFonts w:ascii="Arial" w:hAnsi="Arial" w:cs="Arial"/>
                <w:sz w:val="20"/>
                <w:szCs w:val="20"/>
              </w:rPr>
              <w:t>1,0827</w:t>
            </w:r>
          </w:p>
        </w:tc>
        <w:tc>
          <w:tcPr>
            <w:tcW w:w="732" w:type="dxa"/>
          </w:tcPr>
          <w:p w:rsidR="00FD1525" w:rsidRDefault="00FD1525" w:rsidP="00213657">
            <w:pPr>
              <w:jc w:val="center"/>
              <w:rPr>
                <w:rFonts w:ascii="Arial" w:hAnsi="Arial" w:cs="Arial"/>
                <w:sz w:val="20"/>
                <w:szCs w:val="20"/>
              </w:rPr>
            </w:pPr>
            <w:r>
              <w:rPr>
                <w:rFonts w:ascii="Arial" w:hAnsi="Arial" w:cs="Arial"/>
                <w:sz w:val="20"/>
                <w:szCs w:val="20"/>
              </w:rPr>
              <w:t>11,9</w:t>
            </w:r>
          </w:p>
        </w:tc>
      </w:tr>
      <w:tr w:rsidR="00FD1525">
        <w:tc>
          <w:tcPr>
            <w:tcW w:w="1503" w:type="dxa"/>
            <w:vMerge/>
          </w:tcPr>
          <w:p w:rsidR="00FD1525" w:rsidRDefault="00FD1525" w:rsidP="00632419">
            <w:pPr>
              <w:rPr>
                <w:rFonts w:ascii="Arial" w:hAnsi="Arial" w:cs="Arial"/>
                <w:sz w:val="20"/>
                <w:szCs w:val="20"/>
              </w:rPr>
            </w:pPr>
          </w:p>
        </w:tc>
        <w:tc>
          <w:tcPr>
            <w:tcW w:w="1504" w:type="dxa"/>
            <w:vAlign w:val="bottom"/>
          </w:tcPr>
          <w:p w:rsidR="00FD1525" w:rsidRDefault="00FD1525" w:rsidP="00213657">
            <w:pPr>
              <w:rPr>
                <w:rFonts w:ascii="Arial" w:hAnsi="Arial" w:cs="Arial"/>
                <w:sz w:val="20"/>
                <w:szCs w:val="20"/>
              </w:rPr>
            </w:pPr>
            <w:r w:rsidRPr="0003329F">
              <w:rPr>
                <w:rFonts w:ascii="Arial" w:hAnsi="Arial" w:cs="Arial"/>
                <w:sz w:val="20"/>
                <w:szCs w:val="20"/>
              </w:rPr>
              <w:t>Donja Rijeka</w:t>
            </w:r>
          </w:p>
        </w:tc>
        <w:tc>
          <w:tcPr>
            <w:tcW w:w="1406" w:type="dxa"/>
          </w:tcPr>
          <w:p w:rsidR="00FD1525" w:rsidRPr="00C15CFE" w:rsidRDefault="00FD1525" w:rsidP="00052FA2">
            <w:pPr>
              <w:jc w:val="center"/>
              <w:rPr>
                <w:rFonts w:ascii="Arial" w:hAnsi="Arial" w:cs="Arial"/>
                <w:sz w:val="20"/>
                <w:szCs w:val="20"/>
              </w:rPr>
            </w:pPr>
            <w:r w:rsidRPr="00C15CFE">
              <w:rPr>
                <w:rFonts w:ascii="Arial" w:hAnsi="Arial" w:cs="Arial"/>
                <w:sz w:val="20"/>
                <w:szCs w:val="20"/>
              </w:rPr>
              <w:t>41,9131</w:t>
            </w:r>
          </w:p>
        </w:tc>
        <w:tc>
          <w:tcPr>
            <w:tcW w:w="1162" w:type="dxa"/>
          </w:tcPr>
          <w:p w:rsidR="00FD1525" w:rsidRDefault="00FD1525" w:rsidP="00632419">
            <w:pPr>
              <w:rPr>
                <w:rFonts w:ascii="Arial" w:hAnsi="Arial" w:cs="Arial"/>
                <w:sz w:val="20"/>
                <w:szCs w:val="20"/>
              </w:rPr>
            </w:pPr>
            <w:r>
              <w:rPr>
                <w:rFonts w:ascii="Arial" w:hAnsi="Arial" w:cs="Arial"/>
                <w:sz w:val="20"/>
                <w:szCs w:val="20"/>
              </w:rPr>
              <w:t>40,0294</w:t>
            </w:r>
          </w:p>
        </w:tc>
        <w:tc>
          <w:tcPr>
            <w:tcW w:w="874" w:type="dxa"/>
            <w:gridSpan w:val="2"/>
          </w:tcPr>
          <w:p w:rsidR="00FD1525" w:rsidRDefault="00FD1525" w:rsidP="00640D9A">
            <w:pPr>
              <w:jc w:val="center"/>
              <w:rPr>
                <w:rFonts w:ascii="Arial" w:hAnsi="Arial" w:cs="Arial"/>
                <w:sz w:val="20"/>
                <w:szCs w:val="20"/>
              </w:rPr>
            </w:pPr>
            <w:r>
              <w:rPr>
                <w:rFonts w:ascii="Arial" w:hAnsi="Arial" w:cs="Arial"/>
                <w:sz w:val="20"/>
                <w:szCs w:val="20"/>
              </w:rPr>
              <w:t>95,6</w:t>
            </w:r>
          </w:p>
        </w:tc>
        <w:tc>
          <w:tcPr>
            <w:tcW w:w="939" w:type="dxa"/>
          </w:tcPr>
          <w:p w:rsidR="00FD1525" w:rsidRDefault="00FD1525" w:rsidP="00C15CFE">
            <w:pPr>
              <w:jc w:val="center"/>
              <w:rPr>
                <w:rFonts w:ascii="Arial" w:hAnsi="Arial" w:cs="Arial"/>
                <w:sz w:val="20"/>
                <w:szCs w:val="20"/>
              </w:rPr>
            </w:pPr>
            <w:r>
              <w:rPr>
                <w:rFonts w:ascii="Arial" w:hAnsi="Arial" w:cs="Arial"/>
                <w:sz w:val="20"/>
                <w:szCs w:val="20"/>
              </w:rPr>
              <w:t>0</w:t>
            </w:r>
          </w:p>
        </w:tc>
        <w:tc>
          <w:tcPr>
            <w:tcW w:w="668" w:type="dxa"/>
          </w:tcPr>
          <w:p w:rsidR="00FD1525" w:rsidRDefault="00FD1525" w:rsidP="00C15CFE">
            <w:pPr>
              <w:jc w:val="center"/>
              <w:rPr>
                <w:rFonts w:ascii="Arial" w:hAnsi="Arial" w:cs="Arial"/>
                <w:sz w:val="20"/>
                <w:szCs w:val="20"/>
              </w:rPr>
            </w:pPr>
            <w:r>
              <w:rPr>
                <w:rFonts w:ascii="Arial" w:hAnsi="Arial" w:cs="Arial"/>
                <w:sz w:val="20"/>
                <w:szCs w:val="20"/>
              </w:rPr>
              <w:t>0</w:t>
            </w:r>
          </w:p>
        </w:tc>
        <w:tc>
          <w:tcPr>
            <w:tcW w:w="939" w:type="dxa"/>
            <w:vAlign w:val="center"/>
          </w:tcPr>
          <w:p w:rsidR="00FD1525" w:rsidRDefault="00FD1525" w:rsidP="00632419">
            <w:pPr>
              <w:jc w:val="center"/>
              <w:rPr>
                <w:rFonts w:ascii="Arial" w:hAnsi="Arial" w:cs="Arial"/>
                <w:sz w:val="20"/>
                <w:szCs w:val="20"/>
              </w:rPr>
            </w:pPr>
            <w:r>
              <w:rPr>
                <w:rFonts w:ascii="Arial" w:hAnsi="Arial" w:cs="Arial"/>
                <w:sz w:val="20"/>
                <w:szCs w:val="20"/>
              </w:rPr>
              <w:t>0</w:t>
            </w:r>
          </w:p>
        </w:tc>
        <w:tc>
          <w:tcPr>
            <w:tcW w:w="757" w:type="dxa"/>
            <w:gridSpan w:val="2"/>
          </w:tcPr>
          <w:p w:rsidR="00FD1525" w:rsidRDefault="00FD1525" w:rsidP="00632419">
            <w:pPr>
              <w:jc w:val="center"/>
              <w:rPr>
                <w:rFonts w:ascii="Arial" w:hAnsi="Arial" w:cs="Arial"/>
                <w:sz w:val="20"/>
                <w:szCs w:val="20"/>
              </w:rPr>
            </w:pPr>
            <w:r>
              <w:rPr>
                <w:rFonts w:ascii="Arial" w:hAnsi="Arial" w:cs="Arial"/>
                <w:sz w:val="20"/>
                <w:szCs w:val="20"/>
              </w:rPr>
              <w:t>0</w:t>
            </w:r>
          </w:p>
        </w:tc>
        <w:tc>
          <w:tcPr>
            <w:tcW w:w="939" w:type="dxa"/>
            <w:vAlign w:val="center"/>
          </w:tcPr>
          <w:p w:rsidR="00FD1525" w:rsidRDefault="00FD1525" w:rsidP="00632419">
            <w:pPr>
              <w:jc w:val="center"/>
              <w:rPr>
                <w:rFonts w:ascii="Arial" w:hAnsi="Arial" w:cs="Arial"/>
                <w:sz w:val="20"/>
                <w:szCs w:val="20"/>
              </w:rPr>
            </w:pPr>
            <w:r>
              <w:rPr>
                <w:rFonts w:ascii="Arial" w:hAnsi="Arial" w:cs="Arial"/>
                <w:sz w:val="20"/>
                <w:szCs w:val="20"/>
              </w:rPr>
              <w:t>0</w:t>
            </w:r>
          </w:p>
        </w:tc>
        <w:tc>
          <w:tcPr>
            <w:tcW w:w="767" w:type="dxa"/>
          </w:tcPr>
          <w:p w:rsidR="00FD1525" w:rsidRDefault="00FD1525" w:rsidP="00FD1525">
            <w:pPr>
              <w:jc w:val="center"/>
              <w:rPr>
                <w:rFonts w:ascii="AmerType Md BT" w:hAnsi="AmerType Md BT" w:cs="Arial"/>
                <w:sz w:val="20"/>
                <w:szCs w:val="20"/>
              </w:rPr>
            </w:pPr>
            <w:r>
              <w:rPr>
                <w:rFonts w:ascii="AmerType Md BT" w:hAnsi="AmerType Md BT" w:cs="Arial"/>
                <w:sz w:val="20"/>
                <w:szCs w:val="20"/>
              </w:rPr>
              <w:t>0</w:t>
            </w:r>
          </w:p>
        </w:tc>
        <w:tc>
          <w:tcPr>
            <w:tcW w:w="933" w:type="dxa"/>
            <w:vAlign w:val="center"/>
          </w:tcPr>
          <w:p w:rsidR="00FD1525" w:rsidRDefault="00FD1525" w:rsidP="00632419">
            <w:pPr>
              <w:jc w:val="center"/>
              <w:rPr>
                <w:rFonts w:ascii="Arial" w:hAnsi="Arial" w:cs="Arial"/>
                <w:sz w:val="20"/>
                <w:szCs w:val="20"/>
              </w:rPr>
            </w:pPr>
            <w:r>
              <w:rPr>
                <w:rFonts w:ascii="Arial" w:hAnsi="Arial" w:cs="Arial"/>
                <w:sz w:val="20"/>
                <w:szCs w:val="20"/>
              </w:rPr>
              <w:t>0</w:t>
            </w:r>
          </w:p>
        </w:tc>
        <w:tc>
          <w:tcPr>
            <w:tcW w:w="743" w:type="dxa"/>
            <w:gridSpan w:val="2"/>
          </w:tcPr>
          <w:p w:rsidR="00FD1525" w:rsidRDefault="00FD1525" w:rsidP="00632419">
            <w:pPr>
              <w:jc w:val="center"/>
              <w:rPr>
                <w:rFonts w:ascii="Arial" w:hAnsi="Arial" w:cs="Arial"/>
                <w:sz w:val="20"/>
                <w:szCs w:val="20"/>
              </w:rPr>
            </w:pPr>
            <w:r>
              <w:rPr>
                <w:rFonts w:ascii="Arial" w:hAnsi="Arial" w:cs="Arial"/>
                <w:sz w:val="20"/>
                <w:szCs w:val="20"/>
              </w:rPr>
              <w:t>0</w:t>
            </w:r>
          </w:p>
        </w:tc>
        <w:tc>
          <w:tcPr>
            <w:tcW w:w="1014" w:type="dxa"/>
            <w:vAlign w:val="center"/>
          </w:tcPr>
          <w:p w:rsidR="00FD1525" w:rsidRDefault="00FD1525" w:rsidP="00632419">
            <w:pPr>
              <w:jc w:val="center"/>
              <w:rPr>
                <w:rFonts w:ascii="Arial" w:hAnsi="Arial" w:cs="Arial"/>
                <w:sz w:val="20"/>
                <w:szCs w:val="20"/>
              </w:rPr>
            </w:pPr>
            <w:r>
              <w:rPr>
                <w:rFonts w:ascii="Arial" w:hAnsi="Arial" w:cs="Arial"/>
                <w:sz w:val="20"/>
                <w:szCs w:val="20"/>
              </w:rPr>
              <w:t>1,8837</w:t>
            </w:r>
          </w:p>
        </w:tc>
        <w:tc>
          <w:tcPr>
            <w:tcW w:w="732" w:type="dxa"/>
          </w:tcPr>
          <w:p w:rsidR="00FD1525" w:rsidRDefault="00FD1525" w:rsidP="00632419">
            <w:pPr>
              <w:jc w:val="center"/>
              <w:rPr>
                <w:rFonts w:ascii="Arial" w:hAnsi="Arial" w:cs="Arial"/>
                <w:sz w:val="20"/>
                <w:szCs w:val="20"/>
              </w:rPr>
            </w:pPr>
            <w:r>
              <w:rPr>
                <w:rFonts w:ascii="Arial" w:hAnsi="Arial" w:cs="Arial"/>
                <w:sz w:val="20"/>
                <w:szCs w:val="20"/>
              </w:rPr>
              <w:t>4,4</w:t>
            </w:r>
          </w:p>
        </w:tc>
      </w:tr>
      <w:tr w:rsidR="00FD1525">
        <w:tc>
          <w:tcPr>
            <w:tcW w:w="1503" w:type="dxa"/>
            <w:vMerge/>
          </w:tcPr>
          <w:p w:rsidR="00FD1525" w:rsidRDefault="00FD1525" w:rsidP="00632419">
            <w:pPr>
              <w:rPr>
                <w:rFonts w:ascii="Arial" w:hAnsi="Arial" w:cs="Arial"/>
                <w:sz w:val="20"/>
                <w:szCs w:val="20"/>
              </w:rPr>
            </w:pPr>
          </w:p>
        </w:tc>
        <w:tc>
          <w:tcPr>
            <w:tcW w:w="1504" w:type="dxa"/>
            <w:vAlign w:val="bottom"/>
          </w:tcPr>
          <w:p w:rsidR="00FD1525" w:rsidRDefault="00FD1525" w:rsidP="00213657">
            <w:pPr>
              <w:rPr>
                <w:rFonts w:ascii="Arial" w:hAnsi="Arial" w:cs="Arial"/>
                <w:sz w:val="20"/>
                <w:szCs w:val="20"/>
              </w:rPr>
            </w:pPr>
            <w:r w:rsidRPr="0003329F">
              <w:rPr>
                <w:rFonts w:ascii="Arial" w:hAnsi="Arial" w:cs="Arial"/>
                <w:sz w:val="20"/>
                <w:szCs w:val="20"/>
              </w:rPr>
              <w:t>Dropkovec</w:t>
            </w:r>
          </w:p>
        </w:tc>
        <w:tc>
          <w:tcPr>
            <w:tcW w:w="1406" w:type="dxa"/>
          </w:tcPr>
          <w:p w:rsidR="00FD1525" w:rsidRDefault="00FD1525" w:rsidP="0096582B">
            <w:pPr>
              <w:jc w:val="center"/>
              <w:rPr>
                <w:rFonts w:ascii="Arial" w:hAnsi="Arial" w:cs="Arial"/>
                <w:sz w:val="20"/>
                <w:szCs w:val="20"/>
              </w:rPr>
            </w:pPr>
            <w:r>
              <w:rPr>
                <w:rFonts w:ascii="Arial" w:hAnsi="Arial" w:cs="Arial"/>
                <w:sz w:val="20"/>
                <w:szCs w:val="20"/>
              </w:rPr>
              <w:t>19,1877</w:t>
            </w:r>
          </w:p>
        </w:tc>
        <w:tc>
          <w:tcPr>
            <w:tcW w:w="1162" w:type="dxa"/>
          </w:tcPr>
          <w:p w:rsidR="00FD1525" w:rsidRDefault="00FD1525" w:rsidP="00741008">
            <w:pPr>
              <w:rPr>
                <w:rFonts w:ascii="Arial" w:hAnsi="Arial" w:cs="Arial"/>
                <w:sz w:val="20"/>
                <w:szCs w:val="20"/>
              </w:rPr>
            </w:pPr>
            <w:r>
              <w:rPr>
                <w:rFonts w:ascii="Arial" w:hAnsi="Arial" w:cs="Arial"/>
                <w:sz w:val="20"/>
                <w:szCs w:val="20"/>
              </w:rPr>
              <w:t>13,6949</w:t>
            </w:r>
          </w:p>
        </w:tc>
        <w:tc>
          <w:tcPr>
            <w:tcW w:w="874" w:type="dxa"/>
            <w:gridSpan w:val="2"/>
          </w:tcPr>
          <w:p w:rsidR="00FD1525" w:rsidRDefault="00FD1525" w:rsidP="00640D9A">
            <w:pPr>
              <w:jc w:val="center"/>
              <w:rPr>
                <w:rFonts w:ascii="Arial" w:hAnsi="Arial" w:cs="Arial"/>
                <w:sz w:val="20"/>
                <w:szCs w:val="20"/>
              </w:rPr>
            </w:pPr>
            <w:r>
              <w:rPr>
                <w:rFonts w:ascii="Arial" w:hAnsi="Arial" w:cs="Arial"/>
                <w:sz w:val="20"/>
                <w:szCs w:val="20"/>
              </w:rPr>
              <w:t>71,3</w:t>
            </w:r>
          </w:p>
        </w:tc>
        <w:tc>
          <w:tcPr>
            <w:tcW w:w="939" w:type="dxa"/>
          </w:tcPr>
          <w:p w:rsidR="00FD1525" w:rsidRDefault="00FD1525" w:rsidP="0096582B">
            <w:pPr>
              <w:jc w:val="center"/>
              <w:rPr>
                <w:rFonts w:ascii="Arial" w:hAnsi="Arial" w:cs="Arial"/>
                <w:sz w:val="20"/>
                <w:szCs w:val="20"/>
              </w:rPr>
            </w:pPr>
            <w:r>
              <w:rPr>
                <w:rFonts w:ascii="Arial" w:hAnsi="Arial" w:cs="Arial"/>
                <w:sz w:val="20"/>
                <w:szCs w:val="20"/>
              </w:rPr>
              <w:t>0</w:t>
            </w:r>
          </w:p>
        </w:tc>
        <w:tc>
          <w:tcPr>
            <w:tcW w:w="668" w:type="dxa"/>
          </w:tcPr>
          <w:p w:rsidR="00FD1525" w:rsidRDefault="00FD1525" w:rsidP="0096582B">
            <w:pPr>
              <w:jc w:val="center"/>
              <w:rPr>
                <w:rFonts w:ascii="Arial" w:hAnsi="Arial" w:cs="Arial"/>
                <w:sz w:val="20"/>
                <w:szCs w:val="20"/>
              </w:rPr>
            </w:pPr>
            <w:r>
              <w:rPr>
                <w:rFonts w:ascii="Arial" w:hAnsi="Arial" w:cs="Arial"/>
                <w:sz w:val="20"/>
                <w:szCs w:val="20"/>
              </w:rPr>
              <w:t>0</w:t>
            </w:r>
          </w:p>
        </w:tc>
        <w:tc>
          <w:tcPr>
            <w:tcW w:w="939" w:type="dxa"/>
            <w:vAlign w:val="center"/>
          </w:tcPr>
          <w:p w:rsidR="00FD1525" w:rsidRDefault="00FD1525" w:rsidP="00741008">
            <w:pPr>
              <w:jc w:val="center"/>
              <w:rPr>
                <w:rFonts w:ascii="Arial" w:hAnsi="Arial" w:cs="Arial"/>
                <w:sz w:val="20"/>
                <w:szCs w:val="20"/>
              </w:rPr>
            </w:pPr>
            <w:r>
              <w:rPr>
                <w:rFonts w:ascii="Arial" w:hAnsi="Arial" w:cs="Arial"/>
                <w:sz w:val="20"/>
                <w:szCs w:val="20"/>
              </w:rPr>
              <w:t>0,3087</w:t>
            </w:r>
          </w:p>
        </w:tc>
        <w:tc>
          <w:tcPr>
            <w:tcW w:w="757" w:type="dxa"/>
            <w:gridSpan w:val="2"/>
          </w:tcPr>
          <w:p w:rsidR="00FD1525" w:rsidRDefault="00FD1525" w:rsidP="00632419">
            <w:pPr>
              <w:jc w:val="center"/>
              <w:rPr>
                <w:rFonts w:ascii="Arial" w:hAnsi="Arial" w:cs="Arial"/>
                <w:sz w:val="20"/>
                <w:szCs w:val="20"/>
              </w:rPr>
            </w:pPr>
            <w:r>
              <w:rPr>
                <w:rFonts w:ascii="Arial" w:hAnsi="Arial" w:cs="Arial"/>
                <w:sz w:val="20"/>
                <w:szCs w:val="20"/>
              </w:rPr>
              <w:t>1,6</w:t>
            </w:r>
          </w:p>
        </w:tc>
        <w:tc>
          <w:tcPr>
            <w:tcW w:w="939" w:type="dxa"/>
            <w:vAlign w:val="center"/>
          </w:tcPr>
          <w:p w:rsidR="00FD1525" w:rsidRDefault="00FD1525" w:rsidP="00632419">
            <w:pPr>
              <w:jc w:val="center"/>
              <w:rPr>
                <w:rFonts w:ascii="Arial" w:hAnsi="Arial" w:cs="Arial"/>
                <w:sz w:val="20"/>
                <w:szCs w:val="20"/>
              </w:rPr>
            </w:pPr>
            <w:r>
              <w:rPr>
                <w:rFonts w:ascii="Arial" w:hAnsi="Arial" w:cs="Arial"/>
                <w:sz w:val="20"/>
                <w:szCs w:val="20"/>
              </w:rPr>
              <w:t>2,8875</w:t>
            </w:r>
          </w:p>
        </w:tc>
        <w:tc>
          <w:tcPr>
            <w:tcW w:w="767" w:type="dxa"/>
          </w:tcPr>
          <w:p w:rsidR="00FD1525" w:rsidRDefault="00FD1525" w:rsidP="00632419">
            <w:pPr>
              <w:jc w:val="center"/>
              <w:rPr>
                <w:rFonts w:ascii="Arial" w:hAnsi="Arial" w:cs="Arial"/>
                <w:sz w:val="20"/>
                <w:szCs w:val="20"/>
              </w:rPr>
            </w:pPr>
            <w:r>
              <w:rPr>
                <w:rFonts w:ascii="Arial" w:hAnsi="Arial" w:cs="Arial"/>
                <w:sz w:val="20"/>
                <w:szCs w:val="20"/>
              </w:rPr>
              <w:t>15,0</w:t>
            </w:r>
          </w:p>
        </w:tc>
        <w:tc>
          <w:tcPr>
            <w:tcW w:w="933" w:type="dxa"/>
            <w:vAlign w:val="center"/>
          </w:tcPr>
          <w:p w:rsidR="00FD1525" w:rsidRDefault="00FD1525" w:rsidP="00632419">
            <w:pPr>
              <w:jc w:val="center"/>
              <w:rPr>
                <w:rFonts w:ascii="Arial" w:hAnsi="Arial" w:cs="Arial"/>
                <w:sz w:val="20"/>
                <w:szCs w:val="20"/>
              </w:rPr>
            </w:pPr>
            <w:r>
              <w:rPr>
                <w:rFonts w:ascii="Arial" w:hAnsi="Arial" w:cs="Arial"/>
                <w:sz w:val="20"/>
                <w:szCs w:val="20"/>
              </w:rPr>
              <w:t>1,1339</w:t>
            </w:r>
          </w:p>
        </w:tc>
        <w:tc>
          <w:tcPr>
            <w:tcW w:w="743" w:type="dxa"/>
            <w:gridSpan w:val="2"/>
          </w:tcPr>
          <w:p w:rsidR="00FD1525" w:rsidRDefault="00FD1525" w:rsidP="00632419">
            <w:pPr>
              <w:jc w:val="center"/>
              <w:rPr>
                <w:rFonts w:ascii="Arial" w:hAnsi="Arial" w:cs="Arial"/>
                <w:sz w:val="20"/>
                <w:szCs w:val="20"/>
              </w:rPr>
            </w:pPr>
            <w:r>
              <w:rPr>
                <w:rFonts w:ascii="Arial" w:hAnsi="Arial" w:cs="Arial"/>
                <w:sz w:val="20"/>
                <w:szCs w:val="20"/>
              </w:rPr>
              <w:t>5,9</w:t>
            </w:r>
          </w:p>
        </w:tc>
        <w:tc>
          <w:tcPr>
            <w:tcW w:w="1014" w:type="dxa"/>
            <w:vAlign w:val="center"/>
          </w:tcPr>
          <w:p w:rsidR="00FD1525" w:rsidRDefault="00FD1525" w:rsidP="00741008">
            <w:pPr>
              <w:jc w:val="center"/>
              <w:rPr>
                <w:rFonts w:ascii="Arial" w:hAnsi="Arial" w:cs="Arial"/>
                <w:sz w:val="20"/>
                <w:szCs w:val="20"/>
              </w:rPr>
            </w:pPr>
            <w:r>
              <w:rPr>
                <w:rFonts w:ascii="Arial" w:hAnsi="Arial" w:cs="Arial"/>
                <w:sz w:val="20"/>
                <w:szCs w:val="20"/>
              </w:rPr>
              <w:t>2,2875</w:t>
            </w:r>
          </w:p>
        </w:tc>
        <w:tc>
          <w:tcPr>
            <w:tcW w:w="732" w:type="dxa"/>
          </w:tcPr>
          <w:p w:rsidR="00FD1525" w:rsidRDefault="00FD1525" w:rsidP="00632419">
            <w:pPr>
              <w:jc w:val="center"/>
              <w:rPr>
                <w:rFonts w:ascii="Arial" w:hAnsi="Arial" w:cs="Arial"/>
                <w:sz w:val="20"/>
                <w:szCs w:val="20"/>
              </w:rPr>
            </w:pPr>
            <w:r>
              <w:rPr>
                <w:rFonts w:ascii="Arial" w:hAnsi="Arial" w:cs="Arial"/>
                <w:sz w:val="20"/>
                <w:szCs w:val="20"/>
              </w:rPr>
              <w:t>11,9</w:t>
            </w:r>
          </w:p>
        </w:tc>
      </w:tr>
      <w:tr w:rsidR="00FD1525">
        <w:tc>
          <w:tcPr>
            <w:tcW w:w="1503" w:type="dxa"/>
            <w:vMerge/>
          </w:tcPr>
          <w:p w:rsidR="00FD1525" w:rsidRDefault="00FD1525" w:rsidP="00632419">
            <w:pPr>
              <w:rPr>
                <w:rFonts w:ascii="Arial" w:hAnsi="Arial" w:cs="Arial"/>
                <w:sz w:val="20"/>
                <w:szCs w:val="20"/>
              </w:rPr>
            </w:pPr>
          </w:p>
        </w:tc>
        <w:tc>
          <w:tcPr>
            <w:tcW w:w="1504" w:type="dxa"/>
            <w:vAlign w:val="bottom"/>
          </w:tcPr>
          <w:p w:rsidR="00FD1525" w:rsidRDefault="00FD1525" w:rsidP="00213657">
            <w:pPr>
              <w:rPr>
                <w:rFonts w:ascii="Arial" w:hAnsi="Arial" w:cs="Arial"/>
                <w:sz w:val="20"/>
                <w:szCs w:val="20"/>
              </w:rPr>
            </w:pPr>
            <w:r w:rsidRPr="0003329F">
              <w:rPr>
                <w:rFonts w:ascii="Arial" w:hAnsi="Arial" w:cs="Arial"/>
                <w:sz w:val="20"/>
                <w:szCs w:val="20"/>
              </w:rPr>
              <w:t>Fajerovec</w:t>
            </w:r>
          </w:p>
        </w:tc>
        <w:tc>
          <w:tcPr>
            <w:tcW w:w="1406" w:type="dxa"/>
          </w:tcPr>
          <w:p w:rsidR="00FD1525" w:rsidRDefault="00FD1525" w:rsidP="00052FA2">
            <w:pPr>
              <w:jc w:val="center"/>
              <w:rPr>
                <w:rFonts w:ascii="Arial" w:hAnsi="Arial" w:cs="Arial"/>
                <w:sz w:val="20"/>
                <w:szCs w:val="20"/>
              </w:rPr>
            </w:pPr>
            <w:r>
              <w:rPr>
                <w:rFonts w:ascii="Arial" w:hAnsi="Arial" w:cs="Arial"/>
                <w:sz w:val="20"/>
                <w:szCs w:val="20"/>
              </w:rPr>
              <w:t>4,8796</w:t>
            </w:r>
          </w:p>
        </w:tc>
        <w:tc>
          <w:tcPr>
            <w:tcW w:w="1162" w:type="dxa"/>
          </w:tcPr>
          <w:p w:rsidR="00FD1525" w:rsidRDefault="00FD1525" w:rsidP="00052FA2">
            <w:pPr>
              <w:jc w:val="center"/>
              <w:rPr>
                <w:rFonts w:ascii="Arial" w:hAnsi="Arial" w:cs="Arial"/>
                <w:sz w:val="20"/>
                <w:szCs w:val="20"/>
              </w:rPr>
            </w:pPr>
            <w:r>
              <w:rPr>
                <w:rFonts w:ascii="Arial" w:hAnsi="Arial" w:cs="Arial"/>
                <w:sz w:val="20"/>
                <w:szCs w:val="20"/>
              </w:rPr>
              <w:t>4,5331</w:t>
            </w:r>
          </w:p>
        </w:tc>
        <w:tc>
          <w:tcPr>
            <w:tcW w:w="874" w:type="dxa"/>
            <w:gridSpan w:val="2"/>
          </w:tcPr>
          <w:p w:rsidR="00FD1525" w:rsidRDefault="00FD1525" w:rsidP="00640D9A">
            <w:pPr>
              <w:jc w:val="center"/>
              <w:rPr>
                <w:rFonts w:ascii="Arial" w:hAnsi="Arial" w:cs="Arial"/>
                <w:sz w:val="20"/>
                <w:szCs w:val="20"/>
              </w:rPr>
            </w:pPr>
            <w:r>
              <w:rPr>
                <w:rFonts w:ascii="Arial" w:hAnsi="Arial" w:cs="Arial"/>
                <w:sz w:val="20"/>
                <w:szCs w:val="20"/>
              </w:rPr>
              <w:t>92,8</w:t>
            </w:r>
          </w:p>
        </w:tc>
        <w:tc>
          <w:tcPr>
            <w:tcW w:w="939" w:type="dxa"/>
          </w:tcPr>
          <w:p w:rsidR="00FD1525" w:rsidRDefault="00FD1525" w:rsidP="00052FA2">
            <w:pPr>
              <w:jc w:val="center"/>
              <w:rPr>
                <w:rFonts w:ascii="Arial" w:hAnsi="Arial" w:cs="Arial"/>
                <w:sz w:val="20"/>
                <w:szCs w:val="20"/>
              </w:rPr>
            </w:pPr>
            <w:r>
              <w:rPr>
                <w:rFonts w:ascii="Arial" w:hAnsi="Arial" w:cs="Arial"/>
                <w:sz w:val="20"/>
                <w:szCs w:val="20"/>
              </w:rPr>
              <w:t>0</w:t>
            </w:r>
          </w:p>
        </w:tc>
        <w:tc>
          <w:tcPr>
            <w:tcW w:w="668" w:type="dxa"/>
          </w:tcPr>
          <w:p w:rsidR="00FD1525" w:rsidRDefault="00FD1525" w:rsidP="00052FA2">
            <w:pPr>
              <w:jc w:val="center"/>
              <w:rPr>
                <w:rFonts w:ascii="Arial" w:hAnsi="Arial" w:cs="Arial"/>
                <w:sz w:val="20"/>
                <w:szCs w:val="20"/>
              </w:rPr>
            </w:pPr>
            <w:r>
              <w:rPr>
                <w:rFonts w:ascii="Arial" w:hAnsi="Arial" w:cs="Arial"/>
                <w:sz w:val="20"/>
                <w:szCs w:val="20"/>
              </w:rPr>
              <w:t>0</w:t>
            </w:r>
          </w:p>
        </w:tc>
        <w:tc>
          <w:tcPr>
            <w:tcW w:w="939" w:type="dxa"/>
            <w:vAlign w:val="center"/>
          </w:tcPr>
          <w:p w:rsidR="00FD1525" w:rsidRDefault="00FD1525" w:rsidP="00052FA2">
            <w:pPr>
              <w:jc w:val="center"/>
              <w:rPr>
                <w:rFonts w:ascii="Arial" w:hAnsi="Arial" w:cs="Arial"/>
                <w:sz w:val="20"/>
                <w:szCs w:val="20"/>
              </w:rPr>
            </w:pPr>
            <w:r>
              <w:rPr>
                <w:rFonts w:ascii="Arial" w:hAnsi="Arial" w:cs="Arial"/>
                <w:sz w:val="20"/>
                <w:szCs w:val="20"/>
              </w:rPr>
              <w:t>0</w:t>
            </w:r>
          </w:p>
        </w:tc>
        <w:tc>
          <w:tcPr>
            <w:tcW w:w="757" w:type="dxa"/>
            <w:gridSpan w:val="2"/>
          </w:tcPr>
          <w:p w:rsidR="00FD1525" w:rsidRDefault="00FD1525" w:rsidP="00052FA2">
            <w:pPr>
              <w:jc w:val="center"/>
              <w:rPr>
                <w:rFonts w:ascii="Arial" w:hAnsi="Arial" w:cs="Arial"/>
                <w:sz w:val="20"/>
                <w:szCs w:val="20"/>
              </w:rPr>
            </w:pPr>
            <w:r>
              <w:rPr>
                <w:rFonts w:ascii="Arial" w:hAnsi="Arial" w:cs="Arial"/>
                <w:sz w:val="20"/>
                <w:szCs w:val="20"/>
              </w:rPr>
              <w:t>0</w:t>
            </w:r>
          </w:p>
        </w:tc>
        <w:tc>
          <w:tcPr>
            <w:tcW w:w="939" w:type="dxa"/>
            <w:vAlign w:val="center"/>
          </w:tcPr>
          <w:p w:rsidR="00FD1525" w:rsidRDefault="00FD1525" w:rsidP="00052FA2">
            <w:pPr>
              <w:jc w:val="center"/>
              <w:rPr>
                <w:rFonts w:ascii="Arial" w:hAnsi="Arial" w:cs="Arial"/>
                <w:sz w:val="20"/>
                <w:szCs w:val="20"/>
              </w:rPr>
            </w:pPr>
            <w:r>
              <w:rPr>
                <w:rFonts w:ascii="Arial" w:hAnsi="Arial" w:cs="Arial"/>
                <w:sz w:val="20"/>
                <w:szCs w:val="20"/>
              </w:rPr>
              <w:t>0</w:t>
            </w:r>
          </w:p>
        </w:tc>
        <w:tc>
          <w:tcPr>
            <w:tcW w:w="767" w:type="dxa"/>
          </w:tcPr>
          <w:p w:rsidR="00FD1525" w:rsidRDefault="00FD1525" w:rsidP="00FD1525">
            <w:pPr>
              <w:jc w:val="center"/>
              <w:rPr>
                <w:rFonts w:ascii="AmerType Md BT" w:hAnsi="AmerType Md BT" w:cs="Arial"/>
                <w:sz w:val="20"/>
                <w:szCs w:val="20"/>
              </w:rPr>
            </w:pPr>
            <w:r>
              <w:rPr>
                <w:rFonts w:ascii="AmerType Md BT" w:hAnsi="AmerType Md BT" w:cs="Arial"/>
                <w:sz w:val="20"/>
                <w:szCs w:val="20"/>
              </w:rPr>
              <w:t>0</w:t>
            </w:r>
          </w:p>
        </w:tc>
        <w:tc>
          <w:tcPr>
            <w:tcW w:w="933" w:type="dxa"/>
            <w:vAlign w:val="center"/>
          </w:tcPr>
          <w:p w:rsidR="00FD1525" w:rsidRDefault="00FD1525" w:rsidP="00052FA2">
            <w:pPr>
              <w:jc w:val="center"/>
              <w:rPr>
                <w:rFonts w:ascii="Arial" w:hAnsi="Arial" w:cs="Arial"/>
                <w:sz w:val="20"/>
                <w:szCs w:val="20"/>
              </w:rPr>
            </w:pPr>
            <w:r>
              <w:rPr>
                <w:rFonts w:ascii="Arial" w:hAnsi="Arial" w:cs="Arial"/>
                <w:sz w:val="20"/>
                <w:szCs w:val="20"/>
              </w:rPr>
              <w:t>0</w:t>
            </w:r>
          </w:p>
        </w:tc>
        <w:tc>
          <w:tcPr>
            <w:tcW w:w="743" w:type="dxa"/>
            <w:gridSpan w:val="2"/>
          </w:tcPr>
          <w:p w:rsidR="00FD1525" w:rsidRDefault="00FD1525" w:rsidP="00052FA2">
            <w:pPr>
              <w:jc w:val="center"/>
              <w:rPr>
                <w:rFonts w:ascii="Arial" w:hAnsi="Arial" w:cs="Arial"/>
                <w:sz w:val="20"/>
                <w:szCs w:val="20"/>
              </w:rPr>
            </w:pPr>
            <w:r>
              <w:rPr>
                <w:rFonts w:ascii="Arial" w:hAnsi="Arial" w:cs="Arial"/>
                <w:sz w:val="20"/>
                <w:szCs w:val="20"/>
              </w:rPr>
              <w:t>0</w:t>
            </w:r>
          </w:p>
        </w:tc>
        <w:tc>
          <w:tcPr>
            <w:tcW w:w="1014" w:type="dxa"/>
            <w:vAlign w:val="center"/>
          </w:tcPr>
          <w:p w:rsidR="00FD1525" w:rsidRDefault="00FD1525" w:rsidP="00052FA2">
            <w:pPr>
              <w:jc w:val="center"/>
              <w:rPr>
                <w:rFonts w:ascii="Arial" w:hAnsi="Arial" w:cs="Arial"/>
                <w:sz w:val="20"/>
                <w:szCs w:val="20"/>
              </w:rPr>
            </w:pPr>
            <w:r>
              <w:rPr>
                <w:rFonts w:ascii="Arial" w:hAnsi="Arial" w:cs="Arial"/>
                <w:sz w:val="20"/>
                <w:szCs w:val="20"/>
              </w:rPr>
              <w:t>0,3465</w:t>
            </w:r>
          </w:p>
        </w:tc>
        <w:tc>
          <w:tcPr>
            <w:tcW w:w="732" w:type="dxa"/>
          </w:tcPr>
          <w:p w:rsidR="00FD1525" w:rsidRDefault="00FD1525" w:rsidP="00052FA2">
            <w:pPr>
              <w:jc w:val="center"/>
              <w:rPr>
                <w:rFonts w:ascii="Arial" w:hAnsi="Arial" w:cs="Arial"/>
                <w:sz w:val="20"/>
                <w:szCs w:val="20"/>
              </w:rPr>
            </w:pPr>
            <w:r>
              <w:rPr>
                <w:rFonts w:ascii="Arial" w:hAnsi="Arial" w:cs="Arial"/>
                <w:sz w:val="20"/>
                <w:szCs w:val="20"/>
              </w:rPr>
              <w:t>7,2</w:t>
            </w:r>
          </w:p>
        </w:tc>
      </w:tr>
      <w:tr w:rsidR="00FD1525">
        <w:tc>
          <w:tcPr>
            <w:tcW w:w="1503" w:type="dxa"/>
            <w:vMerge/>
          </w:tcPr>
          <w:p w:rsidR="00FD1525" w:rsidRDefault="00FD1525" w:rsidP="00632419">
            <w:pPr>
              <w:rPr>
                <w:rFonts w:ascii="Arial" w:hAnsi="Arial" w:cs="Arial"/>
                <w:sz w:val="20"/>
                <w:szCs w:val="20"/>
              </w:rPr>
            </w:pPr>
          </w:p>
        </w:tc>
        <w:tc>
          <w:tcPr>
            <w:tcW w:w="1504" w:type="dxa"/>
            <w:vAlign w:val="bottom"/>
          </w:tcPr>
          <w:p w:rsidR="00FD1525" w:rsidRDefault="00FD1525" w:rsidP="00213657">
            <w:pPr>
              <w:rPr>
                <w:rFonts w:ascii="Arial" w:hAnsi="Arial" w:cs="Arial"/>
                <w:sz w:val="20"/>
                <w:szCs w:val="20"/>
              </w:rPr>
            </w:pPr>
            <w:r w:rsidRPr="0003329F">
              <w:rPr>
                <w:rFonts w:ascii="Arial" w:hAnsi="Arial" w:cs="Arial"/>
                <w:sz w:val="20"/>
                <w:szCs w:val="20"/>
              </w:rPr>
              <w:t>Fodrovec R</w:t>
            </w:r>
            <w:r>
              <w:rPr>
                <w:rFonts w:ascii="Arial" w:hAnsi="Arial" w:cs="Arial"/>
                <w:sz w:val="20"/>
                <w:szCs w:val="20"/>
              </w:rPr>
              <w:t>.</w:t>
            </w:r>
          </w:p>
        </w:tc>
        <w:tc>
          <w:tcPr>
            <w:tcW w:w="1406" w:type="dxa"/>
            <w:vAlign w:val="center"/>
          </w:tcPr>
          <w:p w:rsidR="00FD1525" w:rsidRPr="00D14A4E" w:rsidRDefault="00FD1525" w:rsidP="00213657">
            <w:pPr>
              <w:jc w:val="center"/>
              <w:rPr>
                <w:rFonts w:ascii="Arial" w:hAnsi="Arial" w:cs="Arial"/>
                <w:sz w:val="20"/>
                <w:szCs w:val="20"/>
              </w:rPr>
            </w:pPr>
            <w:r w:rsidRPr="00D14A4E">
              <w:rPr>
                <w:rFonts w:ascii="Arial" w:hAnsi="Arial" w:cs="Arial"/>
                <w:sz w:val="20"/>
                <w:szCs w:val="20"/>
              </w:rPr>
              <w:t>4,7979</w:t>
            </w:r>
          </w:p>
        </w:tc>
        <w:tc>
          <w:tcPr>
            <w:tcW w:w="1162" w:type="dxa"/>
          </w:tcPr>
          <w:p w:rsidR="00FD1525" w:rsidRDefault="00FD1525" w:rsidP="00213657">
            <w:pPr>
              <w:jc w:val="center"/>
              <w:rPr>
                <w:rFonts w:ascii="Arial" w:hAnsi="Arial" w:cs="Arial"/>
                <w:sz w:val="20"/>
                <w:szCs w:val="20"/>
              </w:rPr>
            </w:pPr>
            <w:r>
              <w:rPr>
                <w:rFonts w:ascii="Arial" w:hAnsi="Arial" w:cs="Arial"/>
                <w:sz w:val="20"/>
                <w:szCs w:val="20"/>
              </w:rPr>
              <w:t>4,3913</w:t>
            </w:r>
          </w:p>
        </w:tc>
        <w:tc>
          <w:tcPr>
            <w:tcW w:w="874" w:type="dxa"/>
            <w:gridSpan w:val="2"/>
          </w:tcPr>
          <w:p w:rsidR="00FD1525" w:rsidRDefault="00FD1525" w:rsidP="00640D9A">
            <w:pPr>
              <w:jc w:val="center"/>
              <w:rPr>
                <w:rFonts w:ascii="Arial" w:hAnsi="Arial" w:cs="Arial"/>
                <w:sz w:val="20"/>
                <w:szCs w:val="20"/>
              </w:rPr>
            </w:pPr>
            <w:r>
              <w:rPr>
                <w:rFonts w:ascii="Arial" w:hAnsi="Arial" w:cs="Arial"/>
                <w:sz w:val="20"/>
                <w:szCs w:val="20"/>
              </w:rPr>
              <w:t>91,5</w:t>
            </w:r>
          </w:p>
        </w:tc>
        <w:tc>
          <w:tcPr>
            <w:tcW w:w="939" w:type="dxa"/>
          </w:tcPr>
          <w:p w:rsidR="00FD1525" w:rsidRDefault="00FD1525" w:rsidP="008C72A6">
            <w:pPr>
              <w:jc w:val="center"/>
              <w:rPr>
                <w:rFonts w:ascii="Arial" w:hAnsi="Arial" w:cs="Arial"/>
                <w:sz w:val="20"/>
                <w:szCs w:val="20"/>
              </w:rPr>
            </w:pPr>
            <w:r>
              <w:rPr>
                <w:rFonts w:ascii="Arial" w:hAnsi="Arial" w:cs="Arial"/>
                <w:sz w:val="20"/>
                <w:szCs w:val="20"/>
              </w:rPr>
              <w:t>0</w:t>
            </w:r>
          </w:p>
        </w:tc>
        <w:tc>
          <w:tcPr>
            <w:tcW w:w="668" w:type="dxa"/>
          </w:tcPr>
          <w:p w:rsidR="00FD1525" w:rsidRDefault="00FD1525" w:rsidP="008C72A6">
            <w:pPr>
              <w:jc w:val="center"/>
              <w:rPr>
                <w:rFonts w:ascii="Arial" w:hAnsi="Arial" w:cs="Arial"/>
                <w:sz w:val="20"/>
                <w:szCs w:val="20"/>
              </w:rPr>
            </w:pPr>
            <w:r>
              <w:rPr>
                <w:rFonts w:ascii="Arial" w:hAnsi="Arial" w:cs="Arial"/>
                <w:sz w:val="20"/>
                <w:szCs w:val="20"/>
              </w:rPr>
              <w:t>0</w:t>
            </w:r>
          </w:p>
        </w:tc>
        <w:tc>
          <w:tcPr>
            <w:tcW w:w="939" w:type="dxa"/>
            <w:vAlign w:val="center"/>
          </w:tcPr>
          <w:p w:rsidR="00FD1525" w:rsidRDefault="00FD1525" w:rsidP="00213657">
            <w:pPr>
              <w:jc w:val="center"/>
              <w:rPr>
                <w:rFonts w:ascii="Arial" w:hAnsi="Arial" w:cs="Arial"/>
                <w:sz w:val="20"/>
                <w:szCs w:val="20"/>
              </w:rPr>
            </w:pPr>
            <w:r>
              <w:rPr>
                <w:rFonts w:ascii="Arial" w:hAnsi="Arial" w:cs="Arial"/>
                <w:sz w:val="20"/>
                <w:szCs w:val="20"/>
              </w:rPr>
              <w:t>0,0196</w:t>
            </w:r>
          </w:p>
        </w:tc>
        <w:tc>
          <w:tcPr>
            <w:tcW w:w="757" w:type="dxa"/>
            <w:gridSpan w:val="2"/>
          </w:tcPr>
          <w:p w:rsidR="00FD1525" w:rsidRDefault="00FD1525" w:rsidP="00213657">
            <w:pPr>
              <w:jc w:val="center"/>
              <w:rPr>
                <w:rFonts w:ascii="Arial" w:hAnsi="Arial" w:cs="Arial"/>
                <w:sz w:val="20"/>
                <w:szCs w:val="20"/>
              </w:rPr>
            </w:pPr>
            <w:r>
              <w:rPr>
                <w:rFonts w:ascii="Arial" w:hAnsi="Arial" w:cs="Arial"/>
                <w:sz w:val="20"/>
                <w:szCs w:val="20"/>
              </w:rPr>
              <w:t>0,4</w:t>
            </w:r>
          </w:p>
        </w:tc>
        <w:tc>
          <w:tcPr>
            <w:tcW w:w="939" w:type="dxa"/>
            <w:vAlign w:val="center"/>
          </w:tcPr>
          <w:p w:rsidR="00FD1525" w:rsidRDefault="00FD1525" w:rsidP="00213657">
            <w:pPr>
              <w:jc w:val="center"/>
              <w:rPr>
                <w:rFonts w:ascii="Arial" w:hAnsi="Arial" w:cs="Arial"/>
                <w:sz w:val="20"/>
                <w:szCs w:val="20"/>
              </w:rPr>
            </w:pPr>
            <w:r>
              <w:rPr>
                <w:rFonts w:ascii="Arial" w:hAnsi="Arial" w:cs="Arial"/>
                <w:sz w:val="20"/>
                <w:szCs w:val="20"/>
              </w:rPr>
              <w:t>0</w:t>
            </w:r>
          </w:p>
        </w:tc>
        <w:tc>
          <w:tcPr>
            <w:tcW w:w="767" w:type="dxa"/>
          </w:tcPr>
          <w:p w:rsidR="00FD1525" w:rsidRDefault="00FD1525" w:rsidP="00FD1525">
            <w:pPr>
              <w:jc w:val="center"/>
              <w:rPr>
                <w:rFonts w:ascii="AmerType Md BT" w:hAnsi="AmerType Md BT" w:cs="Arial"/>
                <w:sz w:val="20"/>
                <w:szCs w:val="20"/>
              </w:rPr>
            </w:pPr>
            <w:r>
              <w:rPr>
                <w:rFonts w:ascii="AmerType Md BT" w:hAnsi="AmerType Md BT" w:cs="Arial"/>
                <w:sz w:val="20"/>
                <w:szCs w:val="20"/>
              </w:rPr>
              <w:t>0</w:t>
            </w:r>
          </w:p>
        </w:tc>
        <w:tc>
          <w:tcPr>
            <w:tcW w:w="933" w:type="dxa"/>
            <w:vAlign w:val="center"/>
          </w:tcPr>
          <w:p w:rsidR="00FD1525" w:rsidRDefault="00FD1525" w:rsidP="00213657">
            <w:pPr>
              <w:jc w:val="center"/>
              <w:rPr>
                <w:rFonts w:ascii="Arial" w:hAnsi="Arial" w:cs="Arial"/>
                <w:sz w:val="20"/>
                <w:szCs w:val="20"/>
              </w:rPr>
            </w:pPr>
            <w:r>
              <w:rPr>
                <w:rFonts w:ascii="Arial" w:hAnsi="Arial" w:cs="Arial"/>
                <w:sz w:val="20"/>
                <w:szCs w:val="20"/>
              </w:rPr>
              <w:t>0</w:t>
            </w:r>
          </w:p>
        </w:tc>
        <w:tc>
          <w:tcPr>
            <w:tcW w:w="743" w:type="dxa"/>
            <w:gridSpan w:val="2"/>
          </w:tcPr>
          <w:p w:rsidR="00FD1525" w:rsidRDefault="00FD1525" w:rsidP="00213657">
            <w:pPr>
              <w:jc w:val="center"/>
              <w:rPr>
                <w:rFonts w:ascii="Arial" w:hAnsi="Arial" w:cs="Arial"/>
                <w:sz w:val="20"/>
                <w:szCs w:val="20"/>
              </w:rPr>
            </w:pPr>
            <w:r>
              <w:rPr>
                <w:rFonts w:ascii="Arial" w:hAnsi="Arial" w:cs="Arial"/>
                <w:sz w:val="20"/>
                <w:szCs w:val="20"/>
              </w:rPr>
              <w:t>0</w:t>
            </w:r>
          </w:p>
        </w:tc>
        <w:tc>
          <w:tcPr>
            <w:tcW w:w="1014" w:type="dxa"/>
            <w:vAlign w:val="center"/>
          </w:tcPr>
          <w:p w:rsidR="00FD1525" w:rsidRDefault="00FD1525" w:rsidP="00213657">
            <w:pPr>
              <w:jc w:val="center"/>
              <w:rPr>
                <w:rFonts w:ascii="Arial" w:hAnsi="Arial" w:cs="Arial"/>
                <w:sz w:val="20"/>
                <w:szCs w:val="20"/>
              </w:rPr>
            </w:pPr>
            <w:r>
              <w:rPr>
                <w:rFonts w:ascii="Arial" w:hAnsi="Arial" w:cs="Arial"/>
                <w:sz w:val="20"/>
                <w:szCs w:val="20"/>
              </w:rPr>
              <w:t>0,387</w:t>
            </w:r>
          </w:p>
        </w:tc>
        <w:tc>
          <w:tcPr>
            <w:tcW w:w="732" w:type="dxa"/>
          </w:tcPr>
          <w:p w:rsidR="00FD1525" w:rsidRDefault="00FD1525" w:rsidP="00213657">
            <w:pPr>
              <w:jc w:val="center"/>
              <w:rPr>
                <w:rFonts w:ascii="Arial" w:hAnsi="Arial" w:cs="Arial"/>
                <w:sz w:val="20"/>
                <w:szCs w:val="20"/>
              </w:rPr>
            </w:pPr>
            <w:r>
              <w:rPr>
                <w:rFonts w:ascii="Arial" w:hAnsi="Arial" w:cs="Arial"/>
                <w:sz w:val="20"/>
                <w:szCs w:val="20"/>
              </w:rPr>
              <w:t>8,0</w:t>
            </w:r>
          </w:p>
        </w:tc>
      </w:tr>
      <w:tr w:rsidR="00FD1525">
        <w:tc>
          <w:tcPr>
            <w:tcW w:w="1503" w:type="dxa"/>
            <w:vMerge/>
          </w:tcPr>
          <w:p w:rsidR="00FD1525" w:rsidRDefault="00FD1525" w:rsidP="00632419">
            <w:pPr>
              <w:rPr>
                <w:rFonts w:ascii="Arial" w:hAnsi="Arial" w:cs="Arial"/>
                <w:sz w:val="20"/>
                <w:szCs w:val="20"/>
              </w:rPr>
            </w:pPr>
          </w:p>
        </w:tc>
        <w:tc>
          <w:tcPr>
            <w:tcW w:w="1504" w:type="dxa"/>
            <w:vAlign w:val="bottom"/>
          </w:tcPr>
          <w:p w:rsidR="00FD1525" w:rsidRDefault="00FD1525" w:rsidP="00213657">
            <w:pPr>
              <w:rPr>
                <w:rFonts w:ascii="Arial" w:hAnsi="Arial" w:cs="Arial"/>
                <w:sz w:val="20"/>
                <w:szCs w:val="20"/>
              </w:rPr>
            </w:pPr>
            <w:r w:rsidRPr="0003329F">
              <w:rPr>
                <w:rFonts w:ascii="Arial" w:hAnsi="Arial" w:cs="Arial"/>
                <w:sz w:val="20"/>
                <w:szCs w:val="20"/>
              </w:rPr>
              <w:t>Gornja Rijeka</w:t>
            </w:r>
          </w:p>
        </w:tc>
        <w:tc>
          <w:tcPr>
            <w:tcW w:w="1406" w:type="dxa"/>
          </w:tcPr>
          <w:p w:rsidR="00FD1525" w:rsidRDefault="00FD1525" w:rsidP="00106D95">
            <w:pPr>
              <w:jc w:val="center"/>
              <w:rPr>
                <w:rFonts w:ascii="Arial" w:hAnsi="Arial" w:cs="Arial"/>
                <w:sz w:val="20"/>
                <w:szCs w:val="20"/>
              </w:rPr>
            </w:pPr>
            <w:r>
              <w:rPr>
                <w:rFonts w:ascii="Arial" w:hAnsi="Arial" w:cs="Arial"/>
                <w:sz w:val="20"/>
                <w:szCs w:val="20"/>
              </w:rPr>
              <w:t>52,1723</w:t>
            </w:r>
          </w:p>
        </w:tc>
        <w:tc>
          <w:tcPr>
            <w:tcW w:w="1162" w:type="dxa"/>
          </w:tcPr>
          <w:p w:rsidR="00FD1525" w:rsidRDefault="00FD1525" w:rsidP="00632419">
            <w:pPr>
              <w:rPr>
                <w:rFonts w:ascii="Arial" w:hAnsi="Arial" w:cs="Arial"/>
                <w:sz w:val="20"/>
                <w:szCs w:val="20"/>
              </w:rPr>
            </w:pPr>
            <w:r>
              <w:rPr>
                <w:rFonts w:ascii="Arial" w:hAnsi="Arial" w:cs="Arial"/>
                <w:sz w:val="20"/>
                <w:szCs w:val="20"/>
              </w:rPr>
              <w:t>35,6977</w:t>
            </w:r>
          </w:p>
        </w:tc>
        <w:tc>
          <w:tcPr>
            <w:tcW w:w="874" w:type="dxa"/>
            <w:gridSpan w:val="2"/>
          </w:tcPr>
          <w:p w:rsidR="00FD1525" w:rsidRDefault="00FD1525" w:rsidP="00640D9A">
            <w:pPr>
              <w:jc w:val="center"/>
              <w:rPr>
                <w:rFonts w:ascii="Arial" w:hAnsi="Arial" w:cs="Arial"/>
                <w:sz w:val="20"/>
                <w:szCs w:val="20"/>
              </w:rPr>
            </w:pPr>
            <w:r>
              <w:rPr>
                <w:rFonts w:ascii="Arial" w:hAnsi="Arial" w:cs="Arial"/>
                <w:sz w:val="20"/>
                <w:szCs w:val="20"/>
              </w:rPr>
              <w:t>68,4</w:t>
            </w:r>
          </w:p>
        </w:tc>
        <w:tc>
          <w:tcPr>
            <w:tcW w:w="939" w:type="dxa"/>
          </w:tcPr>
          <w:p w:rsidR="00FD1525" w:rsidRDefault="00FD1525" w:rsidP="008C72A6">
            <w:pPr>
              <w:jc w:val="center"/>
              <w:rPr>
                <w:rFonts w:ascii="Arial" w:hAnsi="Arial" w:cs="Arial"/>
                <w:sz w:val="20"/>
                <w:szCs w:val="20"/>
              </w:rPr>
            </w:pPr>
            <w:r>
              <w:rPr>
                <w:rFonts w:ascii="Arial" w:hAnsi="Arial" w:cs="Arial"/>
                <w:sz w:val="20"/>
                <w:szCs w:val="20"/>
              </w:rPr>
              <w:t>0,1204</w:t>
            </w:r>
          </w:p>
        </w:tc>
        <w:tc>
          <w:tcPr>
            <w:tcW w:w="668" w:type="dxa"/>
          </w:tcPr>
          <w:p w:rsidR="00FD1525" w:rsidRDefault="00FD1525" w:rsidP="008C72A6">
            <w:pPr>
              <w:jc w:val="center"/>
              <w:rPr>
                <w:rFonts w:ascii="Arial" w:hAnsi="Arial" w:cs="Arial"/>
                <w:sz w:val="20"/>
                <w:szCs w:val="20"/>
              </w:rPr>
            </w:pPr>
            <w:r>
              <w:rPr>
                <w:rFonts w:ascii="Arial" w:hAnsi="Arial" w:cs="Arial"/>
                <w:sz w:val="20"/>
                <w:szCs w:val="20"/>
              </w:rPr>
              <w:t>0,2</w:t>
            </w:r>
          </w:p>
        </w:tc>
        <w:tc>
          <w:tcPr>
            <w:tcW w:w="939" w:type="dxa"/>
            <w:vAlign w:val="center"/>
          </w:tcPr>
          <w:p w:rsidR="00FD1525" w:rsidRDefault="00FD1525" w:rsidP="00632419">
            <w:pPr>
              <w:jc w:val="center"/>
              <w:rPr>
                <w:rFonts w:ascii="Arial" w:hAnsi="Arial" w:cs="Arial"/>
                <w:sz w:val="20"/>
                <w:szCs w:val="20"/>
              </w:rPr>
            </w:pPr>
            <w:r>
              <w:rPr>
                <w:rFonts w:ascii="Arial" w:hAnsi="Arial" w:cs="Arial"/>
                <w:sz w:val="20"/>
                <w:szCs w:val="20"/>
              </w:rPr>
              <w:t>2,5253</w:t>
            </w:r>
          </w:p>
        </w:tc>
        <w:tc>
          <w:tcPr>
            <w:tcW w:w="757" w:type="dxa"/>
            <w:gridSpan w:val="2"/>
          </w:tcPr>
          <w:p w:rsidR="00FD1525" w:rsidRDefault="00FD1525" w:rsidP="00632419">
            <w:pPr>
              <w:jc w:val="center"/>
              <w:rPr>
                <w:rFonts w:ascii="Arial" w:hAnsi="Arial" w:cs="Arial"/>
                <w:sz w:val="20"/>
                <w:szCs w:val="20"/>
              </w:rPr>
            </w:pPr>
            <w:r>
              <w:rPr>
                <w:rFonts w:ascii="Arial" w:hAnsi="Arial" w:cs="Arial"/>
                <w:sz w:val="20"/>
                <w:szCs w:val="20"/>
              </w:rPr>
              <w:t>4,8</w:t>
            </w:r>
          </w:p>
        </w:tc>
        <w:tc>
          <w:tcPr>
            <w:tcW w:w="939" w:type="dxa"/>
            <w:vAlign w:val="center"/>
          </w:tcPr>
          <w:p w:rsidR="00FD1525" w:rsidRDefault="00FD1525" w:rsidP="00632419">
            <w:pPr>
              <w:jc w:val="center"/>
              <w:rPr>
                <w:rFonts w:ascii="Arial" w:hAnsi="Arial" w:cs="Arial"/>
                <w:sz w:val="20"/>
                <w:szCs w:val="20"/>
              </w:rPr>
            </w:pPr>
            <w:r>
              <w:rPr>
                <w:rFonts w:ascii="Arial" w:hAnsi="Arial" w:cs="Arial"/>
                <w:sz w:val="20"/>
                <w:szCs w:val="20"/>
              </w:rPr>
              <w:t>8,2815</w:t>
            </w:r>
          </w:p>
        </w:tc>
        <w:tc>
          <w:tcPr>
            <w:tcW w:w="767" w:type="dxa"/>
          </w:tcPr>
          <w:p w:rsidR="00FD1525" w:rsidRDefault="00FD1525" w:rsidP="00632419">
            <w:pPr>
              <w:jc w:val="center"/>
              <w:rPr>
                <w:rFonts w:ascii="Arial" w:hAnsi="Arial" w:cs="Arial"/>
                <w:sz w:val="20"/>
                <w:szCs w:val="20"/>
              </w:rPr>
            </w:pPr>
            <w:r>
              <w:rPr>
                <w:rFonts w:ascii="Arial" w:hAnsi="Arial" w:cs="Arial"/>
                <w:sz w:val="20"/>
                <w:szCs w:val="20"/>
              </w:rPr>
              <w:t>15,8</w:t>
            </w:r>
          </w:p>
        </w:tc>
        <w:tc>
          <w:tcPr>
            <w:tcW w:w="933" w:type="dxa"/>
            <w:vAlign w:val="center"/>
          </w:tcPr>
          <w:p w:rsidR="00FD1525" w:rsidRDefault="00FD1525" w:rsidP="00213657">
            <w:pPr>
              <w:jc w:val="center"/>
              <w:rPr>
                <w:rFonts w:ascii="Arial" w:hAnsi="Arial" w:cs="Arial"/>
                <w:sz w:val="20"/>
                <w:szCs w:val="20"/>
              </w:rPr>
            </w:pPr>
            <w:r>
              <w:rPr>
                <w:rFonts w:ascii="Arial" w:hAnsi="Arial" w:cs="Arial"/>
                <w:sz w:val="20"/>
                <w:szCs w:val="20"/>
              </w:rPr>
              <w:t>1,4019</w:t>
            </w:r>
          </w:p>
        </w:tc>
        <w:tc>
          <w:tcPr>
            <w:tcW w:w="743" w:type="dxa"/>
            <w:gridSpan w:val="2"/>
          </w:tcPr>
          <w:p w:rsidR="00FD1525" w:rsidRDefault="00FD1525" w:rsidP="00213657">
            <w:pPr>
              <w:jc w:val="center"/>
              <w:rPr>
                <w:rFonts w:ascii="Arial" w:hAnsi="Arial" w:cs="Arial"/>
                <w:sz w:val="20"/>
                <w:szCs w:val="20"/>
              </w:rPr>
            </w:pPr>
            <w:r>
              <w:rPr>
                <w:rFonts w:ascii="Arial" w:hAnsi="Arial" w:cs="Arial"/>
                <w:sz w:val="20"/>
                <w:szCs w:val="20"/>
              </w:rPr>
              <w:t>2,6</w:t>
            </w:r>
          </w:p>
        </w:tc>
        <w:tc>
          <w:tcPr>
            <w:tcW w:w="1014" w:type="dxa"/>
            <w:vAlign w:val="center"/>
          </w:tcPr>
          <w:p w:rsidR="00FD1525" w:rsidRDefault="00FD1525" w:rsidP="00213657">
            <w:pPr>
              <w:jc w:val="center"/>
              <w:rPr>
                <w:rFonts w:ascii="Arial" w:hAnsi="Arial" w:cs="Arial"/>
                <w:sz w:val="20"/>
                <w:szCs w:val="20"/>
              </w:rPr>
            </w:pPr>
            <w:r>
              <w:rPr>
                <w:rFonts w:ascii="Arial" w:hAnsi="Arial" w:cs="Arial"/>
                <w:sz w:val="20"/>
                <w:szCs w:val="20"/>
              </w:rPr>
              <w:t>4,1455</w:t>
            </w:r>
          </w:p>
        </w:tc>
        <w:tc>
          <w:tcPr>
            <w:tcW w:w="732" w:type="dxa"/>
          </w:tcPr>
          <w:p w:rsidR="00FD1525" w:rsidRDefault="00FD1525" w:rsidP="00213657">
            <w:pPr>
              <w:jc w:val="center"/>
              <w:rPr>
                <w:rFonts w:ascii="Arial" w:hAnsi="Arial" w:cs="Arial"/>
                <w:sz w:val="20"/>
                <w:szCs w:val="20"/>
              </w:rPr>
            </w:pPr>
            <w:r>
              <w:rPr>
                <w:rFonts w:ascii="Arial" w:hAnsi="Arial" w:cs="Arial"/>
                <w:sz w:val="20"/>
                <w:szCs w:val="20"/>
              </w:rPr>
              <w:t>7,9</w:t>
            </w:r>
          </w:p>
        </w:tc>
      </w:tr>
      <w:tr w:rsidR="00FD1525">
        <w:tc>
          <w:tcPr>
            <w:tcW w:w="1503" w:type="dxa"/>
            <w:vMerge/>
          </w:tcPr>
          <w:p w:rsidR="00FD1525" w:rsidRDefault="00FD1525" w:rsidP="00632419">
            <w:pPr>
              <w:rPr>
                <w:rFonts w:ascii="Arial" w:hAnsi="Arial" w:cs="Arial"/>
                <w:sz w:val="20"/>
                <w:szCs w:val="20"/>
              </w:rPr>
            </w:pPr>
          </w:p>
        </w:tc>
        <w:tc>
          <w:tcPr>
            <w:tcW w:w="1504" w:type="dxa"/>
            <w:vAlign w:val="bottom"/>
          </w:tcPr>
          <w:p w:rsidR="00FD1525" w:rsidRPr="0003329F" w:rsidRDefault="00FD1525" w:rsidP="00213657">
            <w:pPr>
              <w:rPr>
                <w:rFonts w:ascii="Arial" w:hAnsi="Arial" w:cs="Arial"/>
                <w:sz w:val="20"/>
                <w:szCs w:val="20"/>
              </w:rPr>
            </w:pPr>
            <w:r w:rsidRPr="0003329F">
              <w:rPr>
                <w:rFonts w:ascii="Arial" w:hAnsi="Arial" w:cs="Arial"/>
                <w:sz w:val="20"/>
                <w:szCs w:val="20"/>
              </w:rPr>
              <w:t>Kolarec</w:t>
            </w:r>
          </w:p>
        </w:tc>
        <w:tc>
          <w:tcPr>
            <w:tcW w:w="1406" w:type="dxa"/>
          </w:tcPr>
          <w:p w:rsidR="00FD1525" w:rsidRDefault="00FD1525" w:rsidP="00213657">
            <w:pPr>
              <w:jc w:val="center"/>
              <w:rPr>
                <w:rFonts w:ascii="Arial" w:hAnsi="Arial" w:cs="Arial"/>
                <w:sz w:val="20"/>
                <w:szCs w:val="20"/>
              </w:rPr>
            </w:pPr>
            <w:r>
              <w:rPr>
                <w:rFonts w:ascii="Arial" w:hAnsi="Arial" w:cs="Arial"/>
                <w:sz w:val="20"/>
                <w:szCs w:val="20"/>
              </w:rPr>
              <w:t>30,2446</w:t>
            </w:r>
          </w:p>
        </w:tc>
        <w:tc>
          <w:tcPr>
            <w:tcW w:w="1162" w:type="dxa"/>
          </w:tcPr>
          <w:p w:rsidR="00FD1525" w:rsidRDefault="00FD1525" w:rsidP="00213657">
            <w:pPr>
              <w:rPr>
                <w:rFonts w:ascii="Arial" w:hAnsi="Arial" w:cs="Arial"/>
                <w:sz w:val="20"/>
                <w:szCs w:val="20"/>
              </w:rPr>
            </w:pPr>
            <w:r>
              <w:rPr>
                <w:rFonts w:ascii="Arial" w:hAnsi="Arial" w:cs="Arial"/>
                <w:sz w:val="20"/>
                <w:szCs w:val="20"/>
              </w:rPr>
              <w:t>28,0699</w:t>
            </w:r>
          </w:p>
        </w:tc>
        <w:tc>
          <w:tcPr>
            <w:tcW w:w="874" w:type="dxa"/>
            <w:gridSpan w:val="2"/>
          </w:tcPr>
          <w:p w:rsidR="00FD1525" w:rsidRDefault="00FD1525" w:rsidP="00640D9A">
            <w:pPr>
              <w:jc w:val="center"/>
              <w:rPr>
                <w:rFonts w:ascii="Arial" w:hAnsi="Arial" w:cs="Arial"/>
                <w:sz w:val="20"/>
                <w:szCs w:val="20"/>
              </w:rPr>
            </w:pPr>
            <w:r>
              <w:rPr>
                <w:rFonts w:ascii="Arial" w:hAnsi="Arial" w:cs="Arial"/>
                <w:sz w:val="20"/>
                <w:szCs w:val="20"/>
              </w:rPr>
              <w:t>92,8</w:t>
            </w:r>
          </w:p>
        </w:tc>
        <w:tc>
          <w:tcPr>
            <w:tcW w:w="939" w:type="dxa"/>
          </w:tcPr>
          <w:p w:rsidR="00FD1525" w:rsidRDefault="00FD1525" w:rsidP="008C72A6">
            <w:pPr>
              <w:jc w:val="center"/>
              <w:rPr>
                <w:rFonts w:ascii="Arial" w:hAnsi="Arial" w:cs="Arial"/>
                <w:sz w:val="20"/>
                <w:szCs w:val="20"/>
              </w:rPr>
            </w:pPr>
            <w:r>
              <w:rPr>
                <w:rFonts w:ascii="Arial" w:hAnsi="Arial" w:cs="Arial"/>
                <w:sz w:val="20"/>
                <w:szCs w:val="20"/>
              </w:rPr>
              <w:t>0</w:t>
            </w:r>
          </w:p>
        </w:tc>
        <w:tc>
          <w:tcPr>
            <w:tcW w:w="668" w:type="dxa"/>
          </w:tcPr>
          <w:p w:rsidR="00FD1525" w:rsidRDefault="00FD1525" w:rsidP="008C72A6">
            <w:pPr>
              <w:jc w:val="center"/>
              <w:rPr>
                <w:rFonts w:ascii="Arial" w:hAnsi="Arial" w:cs="Arial"/>
                <w:sz w:val="20"/>
                <w:szCs w:val="20"/>
              </w:rPr>
            </w:pPr>
            <w:r>
              <w:rPr>
                <w:rFonts w:ascii="Arial" w:hAnsi="Arial" w:cs="Arial"/>
                <w:sz w:val="20"/>
                <w:szCs w:val="20"/>
              </w:rPr>
              <w:t>0</w:t>
            </w:r>
          </w:p>
        </w:tc>
        <w:tc>
          <w:tcPr>
            <w:tcW w:w="939" w:type="dxa"/>
            <w:vAlign w:val="center"/>
          </w:tcPr>
          <w:p w:rsidR="00FD1525" w:rsidRDefault="00FD1525" w:rsidP="00213657">
            <w:pPr>
              <w:jc w:val="center"/>
              <w:rPr>
                <w:rFonts w:ascii="Arial" w:hAnsi="Arial" w:cs="Arial"/>
                <w:sz w:val="20"/>
                <w:szCs w:val="20"/>
              </w:rPr>
            </w:pPr>
            <w:r>
              <w:rPr>
                <w:rFonts w:ascii="Arial" w:hAnsi="Arial" w:cs="Arial"/>
                <w:sz w:val="20"/>
                <w:szCs w:val="20"/>
              </w:rPr>
              <w:t>0,2294</w:t>
            </w:r>
          </w:p>
        </w:tc>
        <w:tc>
          <w:tcPr>
            <w:tcW w:w="757" w:type="dxa"/>
            <w:gridSpan w:val="2"/>
          </w:tcPr>
          <w:p w:rsidR="00FD1525" w:rsidRDefault="00FD1525" w:rsidP="00213657">
            <w:pPr>
              <w:jc w:val="center"/>
              <w:rPr>
                <w:rFonts w:ascii="Arial" w:hAnsi="Arial" w:cs="Arial"/>
                <w:sz w:val="20"/>
                <w:szCs w:val="20"/>
              </w:rPr>
            </w:pPr>
            <w:r>
              <w:rPr>
                <w:rFonts w:ascii="Arial" w:hAnsi="Arial" w:cs="Arial"/>
                <w:sz w:val="20"/>
                <w:szCs w:val="20"/>
              </w:rPr>
              <w:t>0,7</w:t>
            </w:r>
          </w:p>
        </w:tc>
        <w:tc>
          <w:tcPr>
            <w:tcW w:w="939" w:type="dxa"/>
            <w:vAlign w:val="center"/>
          </w:tcPr>
          <w:p w:rsidR="00FD1525" w:rsidRDefault="00FD1525" w:rsidP="00213657">
            <w:pPr>
              <w:jc w:val="center"/>
              <w:rPr>
                <w:rFonts w:ascii="Arial" w:hAnsi="Arial" w:cs="Arial"/>
                <w:sz w:val="20"/>
                <w:szCs w:val="20"/>
              </w:rPr>
            </w:pPr>
            <w:r>
              <w:rPr>
                <w:rFonts w:ascii="Arial" w:hAnsi="Arial" w:cs="Arial"/>
                <w:sz w:val="20"/>
                <w:szCs w:val="20"/>
              </w:rPr>
              <w:t>0</w:t>
            </w:r>
          </w:p>
        </w:tc>
        <w:tc>
          <w:tcPr>
            <w:tcW w:w="767" w:type="dxa"/>
          </w:tcPr>
          <w:p w:rsidR="00FD1525" w:rsidRDefault="00FD1525" w:rsidP="00FD1525">
            <w:pPr>
              <w:jc w:val="center"/>
              <w:rPr>
                <w:rFonts w:ascii="AmerType Md BT" w:hAnsi="AmerType Md BT" w:cs="Arial"/>
                <w:sz w:val="20"/>
                <w:szCs w:val="20"/>
              </w:rPr>
            </w:pPr>
            <w:r>
              <w:rPr>
                <w:rFonts w:ascii="AmerType Md BT" w:hAnsi="AmerType Md BT" w:cs="Arial"/>
                <w:sz w:val="20"/>
                <w:szCs w:val="20"/>
              </w:rPr>
              <w:t>0</w:t>
            </w:r>
          </w:p>
        </w:tc>
        <w:tc>
          <w:tcPr>
            <w:tcW w:w="933" w:type="dxa"/>
            <w:vAlign w:val="center"/>
          </w:tcPr>
          <w:p w:rsidR="00FD1525" w:rsidRDefault="00FD1525" w:rsidP="00213657">
            <w:pPr>
              <w:jc w:val="center"/>
              <w:rPr>
                <w:rFonts w:ascii="Arial" w:hAnsi="Arial" w:cs="Arial"/>
                <w:sz w:val="20"/>
                <w:szCs w:val="20"/>
              </w:rPr>
            </w:pPr>
            <w:r>
              <w:rPr>
                <w:rFonts w:ascii="Arial" w:hAnsi="Arial" w:cs="Arial"/>
                <w:sz w:val="20"/>
                <w:szCs w:val="20"/>
              </w:rPr>
              <w:t>0,1167</w:t>
            </w:r>
          </w:p>
        </w:tc>
        <w:tc>
          <w:tcPr>
            <w:tcW w:w="743" w:type="dxa"/>
            <w:gridSpan w:val="2"/>
          </w:tcPr>
          <w:p w:rsidR="00FD1525" w:rsidRDefault="00FD1525" w:rsidP="00213657">
            <w:pPr>
              <w:jc w:val="center"/>
              <w:rPr>
                <w:rFonts w:ascii="Arial" w:hAnsi="Arial" w:cs="Arial"/>
                <w:sz w:val="20"/>
                <w:szCs w:val="20"/>
              </w:rPr>
            </w:pPr>
            <w:r>
              <w:rPr>
                <w:rFonts w:ascii="Arial" w:hAnsi="Arial" w:cs="Arial"/>
                <w:sz w:val="20"/>
                <w:szCs w:val="20"/>
              </w:rPr>
              <w:t>0,3</w:t>
            </w:r>
          </w:p>
        </w:tc>
        <w:tc>
          <w:tcPr>
            <w:tcW w:w="1014" w:type="dxa"/>
            <w:vAlign w:val="center"/>
          </w:tcPr>
          <w:p w:rsidR="00FD1525" w:rsidRDefault="00FD1525" w:rsidP="00213657">
            <w:pPr>
              <w:jc w:val="center"/>
              <w:rPr>
                <w:rFonts w:ascii="Arial" w:hAnsi="Arial" w:cs="Arial"/>
                <w:sz w:val="20"/>
                <w:szCs w:val="20"/>
              </w:rPr>
            </w:pPr>
            <w:r>
              <w:rPr>
                <w:rFonts w:ascii="Arial" w:hAnsi="Arial" w:cs="Arial"/>
                <w:sz w:val="20"/>
                <w:szCs w:val="20"/>
              </w:rPr>
              <w:t>1,8286</w:t>
            </w:r>
          </w:p>
        </w:tc>
        <w:tc>
          <w:tcPr>
            <w:tcW w:w="732" w:type="dxa"/>
          </w:tcPr>
          <w:p w:rsidR="00FD1525" w:rsidRDefault="00FD1525" w:rsidP="00213657">
            <w:pPr>
              <w:jc w:val="center"/>
              <w:rPr>
                <w:rFonts w:ascii="Arial" w:hAnsi="Arial" w:cs="Arial"/>
                <w:sz w:val="20"/>
                <w:szCs w:val="20"/>
              </w:rPr>
            </w:pPr>
            <w:r>
              <w:rPr>
                <w:rFonts w:ascii="Arial" w:hAnsi="Arial" w:cs="Arial"/>
                <w:sz w:val="20"/>
                <w:szCs w:val="20"/>
              </w:rPr>
              <w:t>6,0</w:t>
            </w:r>
          </w:p>
        </w:tc>
      </w:tr>
      <w:tr w:rsidR="00FD1525">
        <w:tc>
          <w:tcPr>
            <w:tcW w:w="1503" w:type="dxa"/>
            <w:vMerge/>
          </w:tcPr>
          <w:p w:rsidR="00FD1525" w:rsidRDefault="00FD1525" w:rsidP="00632419">
            <w:pPr>
              <w:rPr>
                <w:rFonts w:ascii="Arial" w:hAnsi="Arial" w:cs="Arial"/>
                <w:sz w:val="20"/>
                <w:szCs w:val="20"/>
              </w:rPr>
            </w:pPr>
          </w:p>
        </w:tc>
        <w:tc>
          <w:tcPr>
            <w:tcW w:w="1504" w:type="dxa"/>
            <w:vAlign w:val="bottom"/>
          </w:tcPr>
          <w:p w:rsidR="00FD1525" w:rsidRDefault="00FD1525" w:rsidP="00213657">
            <w:pPr>
              <w:rPr>
                <w:rFonts w:ascii="Arial" w:hAnsi="Arial" w:cs="Arial"/>
                <w:sz w:val="20"/>
                <w:szCs w:val="20"/>
              </w:rPr>
            </w:pPr>
            <w:r w:rsidRPr="0003329F">
              <w:rPr>
                <w:rFonts w:ascii="Arial" w:hAnsi="Arial" w:cs="Arial"/>
                <w:sz w:val="20"/>
                <w:szCs w:val="20"/>
              </w:rPr>
              <w:t>Kostanjevec</w:t>
            </w:r>
            <w:r>
              <w:rPr>
                <w:rFonts w:ascii="Arial" w:hAnsi="Arial" w:cs="Arial"/>
                <w:sz w:val="20"/>
                <w:szCs w:val="20"/>
              </w:rPr>
              <w:t xml:space="preserve"> </w:t>
            </w:r>
          </w:p>
        </w:tc>
        <w:tc>
          <w:tcPr>
            <w:tcW w:w="1406" w:type="dxa"/>
          </w:tcPr>
          <w:p w:rsidR="00FD1525" w:rsidRDefault="00FD1525" w:rsidP="0042599D">
            <w:pPr>
              <w:jc w:val="center"/>
              <w:rPr>
                <w:rFonts w:ascii="Arial" w:hAnsi="Arial" w:cs="Arial"/>
                <w:sz w:val="20"/>
                <w:szCs w:val="20"/>
              </w:rPr>
            </w:pPr>
            <w:r>
              <w:rPr>
                <w:rFonts w:ascii="AmerType Md BT" w:hAnsi="AmerType Md BT" w:cs="Arial"/>
                <w:sz w:val="20"/>
                <w:szCs w:val="20"/>
              </w:rPr>
              <w:t>25,4903</w:t>
            </w:r>
          </w:p>
        </w:tc>
        <w:tc>
          <w:tcPr>
            <w:tcW w:w="1162" w:type="dxa"/>
          </w:tcPr>
          <w:p w:rsidR="00FD1525" w:rsidRDefault="00FD1525" w:rsidP="00213657">
            <w:pPr>
              <w:rPr>
                <w:rFonts w:ascii="Arial" w:hAnsi="Arial" w:cs="Arial"/>
                <w:sz w:val="20"/>
                <w:szCs w:val="20"/>
              </w:rPr>
            </w:pPr>
            <w:r>
              <w:rPr>
                <w:rFonts w:ascii="Arial" w:hAnsi="Arial" w:cs="Arial"/>
                <w:sz w:val="20"/>
                <w:szCs w:val="20"/>
              </w:rPr>
              <w:t>24,1919</w:t>
            </w:r>
          </w:p>
        </w:tc>
        <w:tc>
          <w:tcPr>
            <w:tcW w:w="874" w:type="dxa"/>
            <w:gridSpan w:val="2"/>
          </w:tcPr>
          <w:p w:rsidR="00FD1525" w:rsidRDefault="00FD1525" w:rsidP="00640D9A">
            <w:pPr>
              <w:jc w:val="center"/>
              <w:rPr>
                <w:rFonts w:ascii="Arial" w:hAnsi="Arial" w:cs="Arial"/>
                <w:sz w:val="20"/>
                <w:szCs w:val="20"/>
              </w:rPr>
            </w:pPr>
            <w:r>
              <w:rPr>
                <w:rFonts w:ascii="Arial" w:hAnsi="Arial" w:cs="Arial"/>
                <w:sz w:val="20"/>
                <w:szCs w:val="20"/>
              </w:rPr>
              <w:t>94,9</w:t>
            </w:r>
          </w:p>
        </w:tc>
        <w:tc>
          <w:tcPr>
            <w:tcW w:w="939" w:type="dxa"/>
          </w:tcPr>
          <w:p w:rsidR="00FD1525" w:rsidRDefault="00FD1525" w:rsidP="008C72A6">
            <w:pPr>
              <w:jc w:val="center"/>
              <w:rPr>
                <w:rFonts w:ascii="Arial" w:hAnsi="Arial" w:cs="Arial"/>
                <w:sz w:val="20"/>
                <w:szCs w:val="20"/>
              </w:rPr>
            </w:pPr>
            <w:r>
              <w:rPr>
                <w:rFonts w:ascii="Arial" w:hAnsi="Arial" w:cs="Arial"/>
                <w:sz w:val="20"/>
                <w:szCs w:val="20"/>
              </w:rPr>
              <w:t>0</w:t>
            </w:r>
          </w:p>
        </w:tc>
        <w:tc>
          <w:tcPr>
            <w:tcW w:w="668" w:type="dxa"/>
          </w:tcPr>
          <w:p w:rsidR="00FD1525" w:rsidRDefault="00FD1525" w:rsidP="008C72A6">
            <w:pPr>
              <w:jc w:val="center"/>
              <w:rPr>
                <w:rFonts w:ascii="Arial" w:hAnsi="Arial" w:cs="Arial"/>
                <w:sz w:val="20"/>
                <w:szCs w:val="20"/>
              </w:rPr>
            </w:pPr>
            <w:r>
              <w:rPr>
                <w:rFonts w:ascii="Arial" w:hAnsi="Arial" w:cs="Arial"/>
                <w:sz w:val="20"/>
                <w:szCs w:val="20"/>
              </w:rPr>
              <w:t>0</w:t>
            </w:r>
          </w:p>
        </w:tc>
        <w:tc>
          <w:tcPr>
            <w:tcW w:w="939" w:type="dxa"/>
            <w:vAlign w:val="center"/>
          </w:tcPr>
          <w:p w:rsidR="00FD1525" w:rsidRDefault="00FD1525" w:rsidP="00213657">
            <w:pPr>
              <w:jc w:val="center"/>
              <w:rPr>
                <w:rFonts w:ascii="Arial" w:hAnsi="Arial" w:cs="Arial"/>
                <w:sz w:val="20"/>
                <w:szCs w:val="20"/>
              </w:rPr>
            </w:pPr>
            <w:r>
              <w:rPr>
                <w:rFonts w:ascii="Arial" w:hAnsi="Arial" w:cs="Arial"/>
                <w:sz w:val="20"/>
                <w:szCs w:val="20"/>
              </w:rPr>
              <w:t>0,0586</w:t>
            </w:r>
          </w:p>
        </w:tc>
        <w:tc>
          <w:tcPr>
            <w:tcW w:w="757" w:type="dxa"/>
            <w:gridSpan w:val="2"/>
          </w:tcPr>
          <w:p w:rsidR="00FD1525" w:rsidRDefault="00FD1525" w:rsidP="00213657">
            <w:pPr>
              <w:jc w:val="center"/>
              <w:rPr>
                <w:rFonts w:ascii="Arial" w:hAnsi="Arial" w:cs="Arial"/>
                <w:sz w:val="20"/>
                <w:szCs w:val="20"/>
              </w:rPr>
            </w:pPr>
            <w:r>
              <w:rPr>
                <w:rFonts w:ascii="Arial" w:hAnsi="Arial" w:cs="Arial"/>
                <w:sz w:val="20"/>
                <w:szCs w:val="20"/>
              </w:rPr>
              <w:t>0,2</w:t>
            </w:r>
          </w:p>
        </w:tc>
        <w:tc>
          <w:tcPr>
            <w:tcW w:w="939" w:type="dxa"/>
            <w:vAlign w:val="center"/>
          </w:tcPr>
          <w:p w:rsidR="00FD1525" w:rsidRDefault="00FD1525" w:rsidP="00213657">
            <w:pPr>
              <w:jc w:val="center"/>
              <w:rPr>
                <w:rFonts w:ascii="Arial" w:hAnsi="Arial" w:cs="Arial"/>
                <w:sz w:val="20"/>
                <w:szCs w:val="20"/>
              </w:rPr>
            </w:pPr>
            <w:r>
              <w:rPr>
                <w:rFonts w:ascii="Arial" w:hAnsi="Arial" w:cs="Arial"/>
                <w:sz w:val="20"/>
                <w:szCs w:val="20"/>
              </w:rPr>
              <w:t>0</w:t>
            </w:r>
          </w:p>
        </w:tc>
        <w:tc>
          <w:tcPr>
            <w:tcW w:w="767" w:type="dxa"/>
          </w:tcPr>
          <w:p w:rsidR="00FD1525" w:rsidRDefault="00FD1525" w:rsidP="00FD1525">
            <w:pPr>
              <w:jc w:val="center"/>
              <w:rPr>
                <w:rFonts w:ascii="AmerType Md BT" w:hAnsi="AmerType Md BT" w:cs="Arial"/>
                <w:sz w:val="20"/>
                <w:szCs w:val="20"/>
              </w:rPr>
            </w:pPr>
            <w:r>
              <w:rPr>
                <w:rFonts w:ascii="AmerType Md BT" w:hAnsi="AmerType Md BT" w:cs="Arial"/>
                <w:sz w:val="20"/>
                <w:szCs w:val="20"/>
              </w:rPr>
              <w:t>0</w:t>
            </w:r>
          </w:p>
        </w:tc>
        <w:tc>
          <w:tcPr>
            <w:tcW w:w="933" w:type="dxa"/>
          </w:tcPr>
          <w:p w:rsidR="00FD1525" w:rsidRDefault="00FD1525" w:rsidP="00213657">
            <w:pPr>
              <w:jc w:val="center"/>
              <w:rPr>
                <w:rFonts w:ascii="AmerType Md BT" w:hAnsi="AmerType Md BT" w:cs="Arial"/>
                <w:sz w:val="20"/>
                <w:szCs w:val="20"/>
              </w:rPr>
            </w:pPr>
            <w:r>
              <w:rPr>
                <w:rFonts w:ascii="AmerType Md BT" w:hAnsi="AmerType Md BT" w:cs="Arial"/>
                <w:sz w:val="20"/>
                <w:szCs w:val="20"/>
              </w:rPr>
              <w:t>0,1714</w:t>
            </w:r>
          </w:p>
        </w:tc>
        <w:tc>
          <w:tcPr>
            <w:tcW w:w="743" w:type="dxa"/>
            <w:gridSpan w:val="2"/>
          </w:tcPr>
          <w:p w:rsidR="00FD1525" w:rsidRDefault="00FD1525" w:rsidP="00213657">
            <w:pPr>
              <w:jc w:val="center"/>
              <w:rPr>
                <w:rFonts w:ascii="Arial" w:hAnsi="Arial" w:cs="Arial"/>
                <w:sz w:val="20"/>
                <w:szCs w:val="20"/>
              </w:rPr>
            </w:pPr>
            <w:r>
              <w:rPr>
                <w:rFonts w:ascii="Arial" w:hAnsi="Arial" w:cs="Arial"/>
                <w:sz w:val="20"/>
                <w:szCs w:val="20"/>
              </w:rPr>
              <w:t>0,6</w:t>
            </w:r>
          </w:p>
        </w:tc>
        <w:tc>
          <w:tcPr>
            <w:tcW w:w="1014" w:type="dxa"/>
            <w:vAlign w:val="center"/>
          </w:tcPr>
          <w:p w:rsidR="00FD1525" w:rsidRDefault="00FD1525" w:rsidP="00213657">
            <w:pPr>
              <w:jc w:val="center"/>
              <w:rPr>
                <w:rFonts w:ascii="Arial" w:hAnsi="Arial" w:cs="Arial"/>
                <w:sz w:val="20"/>
                <w:szCs w:val="20"/>
              </w:rPr>
            </w:pPr>
            <w:r>
              <w:rPr>
                <w:rFonts w:ascii="Arial" w:hAnsi="Arial" w:cs="Arial"/>
                <w:sz w:val="20"/>
                <w:szCs w:val="20"/>
              </w:rPr>
              <w:t>1,0657</w:t>
            </w:r>
          </w:p>
        </w:tc>
        <w:tc>
          <w:tcPr>
            <w:tcW w:w="732" w:type="dxa"/>
          </w:tcPr>
          <w:p w:rsidR="00FD1525" w:rsidRDefault="00FD1525" w:rsidP="00213657">
            <w:pPr>
              <w:jc w:val="center"/>
              <w:rPr>
                <w:rFonts w:ascii="Arial" w:hAnsi="Arial" w:cs="Arial"/>
                <w:sz w:val="20"/>
                <w:szCs w:val="20"/>
              </w:rPr>
            </w:pPr>
            <w:r>
              <w:rPr>
                <w:rFonts w:ascii="Arial" w:hAnsi="Arial" w:cs="Arial"/>
                <w:sz w:val="20"/>
                <w:szCs w:val="20"/>
              </w:rPr>
              <w:t>4,2</w:t>
            </w:r>
          </w:p>
        </w:tc>
      </w:tr>
      <w:tr w:rsidR="00FD1525">
        <w:tc>
          <w:tcPr>
            <w:tcW w:w="1503" w:type="dxa"/>
            <w:vMerge/>
          </w:tcPr>
          <w:p w:rsidR="00FD1525" w:rsidRDefault="00FD1525" w:rsidP="00632419">
            <w:pPr>
              <w:rPr>
                <w:rFonts w:ascii="Arial" w:hAnsi="Arial" w:cs="Arial"/>
                <w:sz w:val="20"/>
                <w:szCs w:val="20"/>
              </w:rPr>
            </w:pPr>
          </w:p>
        </w:tc>
        <w:tc>
          <w:tcPr>
            <w:tcW w:w="1504" w:type="dxa"/>
            <w:vAlign w:val="bottom"/>
          </w:tcPr>
          <w:p w:rsidR="00FD1525" w:rsidRDefault="00FD1525" w:rsidP="00213657">
            <w:pPr>
              <w:rPr>
                <w:rFonts w:ascii="Arial" w:hAnsi="Arial" w:cs="Arial"/>
                <w:sz w:val="20"/>
                <w:szCs w:val="20"/>
              </w:rPr>
            </w:pPr>
            <w:r w:rsidRPr="0003329F">
              <w:rPr>
                <w:rFonts w:ascii="Arial" w:hAnsi="Arial" w:cs="Arial"/>
                <w:sz w:val="20"/>
                <w:szCs w:val="20"/>
              </w:rPr>
              <w:t>Lukačevec</w:t>
            </w:r>
          </w:p>
        </w:tc>
        <w:tc>
          <w:tcPr>
            <w:tcW w:w="1406" w:type="dxa"/>
          </w:tcPr>
          <w:p w:rsidR="00FD1525" w:rsidRDefault="00FD1525" w:rsidP="008C72A6">
            <w:pPr>
              <w:jc w:val="center"/>
              <w:rPr>
                <w:rFonts w:ascii="Arial" w:hAnsi="Arial" w:cs="Arial"/>
                <w:sz w:val="20"/>
                <w:szCs w:val="20"/>
              </w:rPr>
            </w:pPr>
            <w:r>
              <w:rPr>
                <w:rFonts w:ascii="Arial" w:hAnsi="Arial" w:cs="Arial"/>
                <w:sz w:val="20"/>
                <w:szCs w:val="20"/>
              </w:rPr>
              <w:t>3,4432</w:t>
            </w:r>
          </w:p>
        </w:tc>
        <w:tc>
          <w:tcPr>
            <w:tcW w:w="1162" w:type="dxa"/>
          </w:tcPr>
          <w:p w:rsidR="00FD1525" w:rsidRDefault="00FD1525" w:rsidP="00632419">
            <w:pPr>
              <w:rPr>
                <w:rFonts w:ascii="Arial" w:hAnsi="Arial" w:cs="Arial"/>
                <w:sz w:val="20"/>
                <w:szCs w:val="20"/>
              </w:rPr>
            </w:pPr>
            <w:r>
              <w:rPr>
                <w:rFonts w:ascii="Arial" w:hAnsi="Arial" w:cs="Arial"/>
                <w:sz w:val="20"/>
                <w:szCs w:val="20"/>
              </w:rPr>
              <w:t>3,2280</w:t>
            </w:r>
          </w:p>
        </w:tc>
        <w:tc>
          <w:tcPr>
            <w:tcW w:w="874" w:type="dxa"/>
            <w:gridSpan w:val="2"/>
          </w:tcPr>
          <w:p w:rsidR="00FD1525" w:rsidRDefault="00FD1525" w:rsidP="00640D9A">
            <w:pPr>
              <w:jc w:val="center"/>
              <w:rPr>
                <w:rFonts w:ascii="Arial" w:hAnsi="Arial" w:cs="Arial"/>
                <w:sz w:val="20"/>
                <w:szCs w:val="20"/>
              </w:rPr>
            </w:pPr>
            <w:r>
              <w:rPr>
                <w:rFonts w:ascii="Arial" w:hAnsi="Arial" w:cs="Arial"/>
                <w:sz w:val="20"/>
                <w:szCs w:val="20"/>
              </w:rPr>
              <w:t>93,7</w:t>
            </w:r>
          </w:p>
        </w:tc>
        <w:tc>
          <w:tcPr>
            <w:tcW w:w="939" w:type="dxa"/>
          </w:tcPr>
          <w:p w:rsidR="00FD1525" w:rsidRDefault="00FD1525" w:rsidP="008C72A6">
            <w:pPr>
              <w:jc w:val="center"/>
              <w:rPr>
                <w:rFonts w:ascii="Arial" w:hAnsi="Arial" w:cs="Arial"/>
                <w:sz w:val="20"/>
                <w:szCs w:val="20"/>
              </w:rPr>
            </w:pPr>
            <w:r>
              <w:rPr>
                <w:rFonts w:ascii="Arial" w:hAnsi="Arial" w:cs="Arial"/>
                <w:sz w:val="20"/>
                <w:szCs w:val="20"/>
              </w:rPr>
              <w:t>0</w:t>
            </w:r>
          </w:p>
        </w:tc>
        <w:tc>
          <w:tcPr>
            <w:tcW w:w="668" w:type="dxa"/>
          </w:tcPr>
          <w:p w:rsidR="00FD1525" w:rsidRDefault="00FD1525" w:rsidP="008C72A6">
            <w:pPr>
              <w:jc w:val="center"/>
              <w:rPr>
                <w:rFonts w:ascii="Arial" w:hAnsi="Arial" w:cs="Arial"/>
                <w:sz w:val="20"/>
                <w:szCs w:val="20"/>
              </w:rPr>
            </w:pPr>
            <w:r>
              <w:rPr>
                <w:rFonts w:ascii="Arial" w:hAnsi="Arial" w:cs="Arial"/>
                <w:sz w:val="20"/>
                <w:szCs w:val="20"/>
              </w:rPr>
              <w:t>0</w:t>
            </w:r>
          </w:p>
        </w:tc>
        <w:tc>
          <w:tcPr>
            <w:tcW w:w="939" w:type="dxa"/>
            <w:vAlign w:val="center"/>
          </w:tcPr>
          <w:p w:rsidR="00FD1525" w:rsidRDefault="00FD1525" w:rsidP="00632419">
            <w:pPr>
              <w:jc w:val="center"/>
              <w:rPr>
                <w:rFonts w:ascii="Arial" w:hAnsi="Arial" w:cs="Arial"/>
                <w:sz w:val="20"/>
                <w:szCs w:val="20"/>
              </w:rPr>
            </w:pPr>
            <w:r>
              <w:rPr>
                <w:rFonts w:ascii="Arial" w:hAnsi="Arial" w:cs="Arial"/>
                <w:sz w:val="20"/>
                <w:szCs w:val="20"/>
              </w:rPr>
              <w:t>0</w:t>
            </w:r>
          </w:p>
        </w:tc>
        <w:tc>
          <w:tcPr>
            <w:tcW w:w="757" w:type="dxa"/>
            <w:gridSpan w:val="2"/>
          </w:tcPr>
          <w:p w:rsidR="00FD1525" w:rsidRDefault="00FD1525" w:rsidP="00632419">
            <w:pPr>
              <w:jc w:val="center"/>
              <w:rPr>
                <w:rFonts w:ascii="Arial" w:hAnsi="Arial" w:cs="Arial"/>
                <w:sz w:val="20"/>
                <w:szCs w:val="20"/>
              </w:rPr>
            </w:pPr>
            <w:r>
              <w:rPr>
                <w:rFonts w:ascii="Arial" w:hAnsi="Arial" w:cs="Arial"/>
                <w:sz w:val="20"/>
                <w:szCs w:val="20"/>
              </w:rPr>
              <w:t>0</w:t>
            </w:r>
          </w:p>
        </w:tc>
        <w:tc>
          <w:tcPr>
            <w:tcW w:w="939" w:type="dxa"/>
            <w:vAlign w:val="center"/>
          </w:tcPr>
          <w:p w:rsidR="00FD1525" w:rsidRDefault="00FD1525" w:rsidP="00632419">
            <w:pPr>
              <w:jc w:val="center"/>
              <w:rPr>
                <w:rFonts w:ascii="Arial" w:hAnsi="Arial" w:cs="Arial"/>
                <w:sz w:val="20"/>
                <w:szCs w:val="20"/>
              </w:rPr>
            </w:pPr>
            <w:r>
              <w:rPr>
                <w:rFonts w:ascii="Arial" w:hAnsi="Arial" w:cs="Arial"/>
                <w:sz w:val="20"/>
                <w:szCs w:val="20"/>
              </w:rPr>
              <w:t>0</w:t>
            </w:r>
          </w:p>
        </w:tc>
        <w:tc>
          <w:tcPr>
            <w:tcW w:w="767" w:type="dxa"/>
          </w:tcPr>
          <w:p w:rsidR="00FD1525" w:rsidRDefault="00FD1525" w:rsidP="00FD1525">
            <w:pPr>
              <w:jc w:val="center"/>
              <w:rPr>
                <w:rFonts w:ascii="AmerType Md BT" w:hAnsi="AmerType Md BT" w:cs="Arial"/>
                <w:sz w:val="20"/>
                <w:szCs w:val="20"/>
              </w:rPr>
            </w:pPr>
            <w:r>
              <w:rPr>
                <w:rFonts w:ascii="AmerType Md BT" w:hAnsi="AmerType Md BT" w:cs="Arial"/>
                <w:sz w:val="20"/>
                <w:szCs w:val="20"/>
              </w:rPr>
              <w:t>0</w:t>
            </w:r>
          </w:p>
        </w:tc>
        <w:tc>
          <w:tcPr>
            <w:tcW w:w="933" w:type="dxa"/>
            <w:vAlign w:val="center"/>
          </w:tcPr>
          <w:p w:rsidR="00FD1525" w:rsidRDefault="00FD1525" w:rsidP="00632419">
            <w:pPr>
              <w:jc w:val="center"/>
              <w:rPr>
                <w:rFonts w:ascii="Arial" w:hAnsi="Arial" w:cs="Arial"/>
                <w:sz w:val="20"/>
                <w:szCs w:val="20"/>
              </w:rPr>
            </w:pPr>
            <w:r>
              <w:rPr>
                <w:rFonts w:ascii="Arial" w:hAnsi="Arial" w:cs="Arial"/>
                <w:sz w:val="20"/>
                <w:szCs w:val="20"/>
              </w:rPr>
              <w:t>0</w:t>
            </w:r>
          </w:p>
        </w:tc>
        <w:tc>
          <w:tcPr>
            <w:tcW w:w="743" w:type="dxa"/>
            <w:gridSpan w:val="2"/>
          </w:tcPr>
          <w:p w:rsidR="00FD1525" w:rsidRDefault="00FD1525" w:rsidP="00632419">
            <w:pPr>
              <w:jc w:val="center"/>
              <w:rPr>
                <w:rFonts w:ascii="Arial" w:hAnsi="Arial" w:cs="Arial"/>
                <w:sz w:val="20"/>
                <w:szCs w:val="20"/>
              </w:rPr>
            </w:pPr>
            <w:r>
              <w:rPr>
                <w:rFonts w:ascii="Arial" w:hAnsi="Arial" w:cs="Arial"/>
                <w:sz w:val="20"/>
                <w:szCs w:val="20"/>
              </w:rPr>
              <w:t>0</w:t>
            </w:r>
          </w:p>
        </w:tc>
        <w:tc>
          <w:tcPr>
            <w:tcW w:w="1014" w:type="dxa"/>
            <w:vAlign w:val="center"/>
          </w:tcPr>
          <w:p w:rsidR="00FD1525" w:rsidRDefault="00FD1525" w:rsidP="00632419">
            <w:pPr>
              <w:jc w:val="center"/>
              <w:rPr>
                <w:rFonts w:ascii="Arial" w:hAnsi="Arial" w:cs="Arial"/>
                <w:sz w:val="20"/>
                <w:szCs w:val="20"/>
              </w:rPr>
            </w:pPr>
            <w:r>
              <w:rPr>
                <w:rFonts w:ascii="Arial" w:hAnsi="Arial" w:cs="Arial"/>
                <w:sz w:val="20"/>
                <w:szCs w:val="20"/>
              </w:rPr>
              <w:t>0,2152</w:t>
            </w:r>
          </w:p>
        </w:tc>
        <w:tc>
          <w:tcPr>
            <w:tcW w:w="732" w:type="dxa"/>
          </w:tcPr>
          <w:p w:rsidR="00FD1525" w:rsidRDefault="00FD1525" w:rsidP="00632419">
            <w:pPr>
              <w:jc w:val="center"/>
              <w:rPr>
                <w:rFonts w:ascii="Arial" w:hAnsi="Arial" w:cs="Arial"/>
                <w:sz w:val="20"/>
                <w:szCs w:val="20"/>
              </w:rPr>
            </w:pPr>
            <w:r>
              <w:rPr>
                <w:rFonts w:ascii="Arial" w:hAnsi="Arial" w:cs="Arial"/>
                <w:sz w:val="20"/>
                <w:szCs w:val="20"/>
              </w:rPr>
              <w:t>6,3</w:t>
            </w:r>
          </w:p>
        </w:tc>
      </w:tr>
      <w:tr w:rsidR="00FD1525">
        <w:tc>
          <w:tcPr>
            <w:tcW w:w="1503" w:type="dxa"/>
            <w:vMerge/>
          </w:tcPr>
          <w:p w:rsidR="00FD1525" w:rsidRDefault="00FD1525" w:rsidP="00632419">
            <w:pPr>
              <w:rPr>
                <w:rFonts w:ascii="Arial" w:hAnsi="Arial" w:cs="Arial"/>
                <w:sz w:val="20"/>
                <w:szCs w:val="20"/>
              </w:rPr>
            </w:pPr>
          </w:p>
        </w:tc>
        <w:tc>
          <w:tcPr>
            <w:tcW w:w="1504" w:type="dxa"/>
            <w:vAlign w:val="bottom"/>
          </w:tcPr>
          <w:p w:rsidR="00FD1525" w:rsidRDefault="00FD1525" w:rsidP="00213657">
            <w:pPr>
              <w:rPr>
                <w:rFonts w:ascii="Arial" w:hAnsi="Arial" w:cs="Arial"/>
                <w:sz w:val="20"/>
                <w:szCs w:val="20"/>
              </w:rPr>
            </w:pPr>
            <w:r w:rsidRPr="0003329F">
              <w:rPr>
                <w:rFonts w:ascii="Arial" w:hAnsi="Arial" w:cs="Arial"/>
                <w:sz w:val="20"/>
                <w:szCs w:val="20"/>
              </w:rPr>
              <w:t>Nemčevec</w:t>
            </w:r>
          </w:p>
        </w:tc>
        <w:tc>
          <w:tcPr>
            <w:tcW w:w="1406" w:type="dxa"/>
          </w:tcPr>
          <w:p w:rsidR="00FD1525" w:rsidRDefault="00FD1525" w:rsidP="006C239A">
            <w:pPr>
              <w:jc w:val="center"/>
              <w:rPr>
                <w:rFonts w:ascii="Arial" w:hAnsi="Arial" w:cs="Arial"/>
                <w:sz w:val="20"/>
                <w:szCs w:val="20"/>
              </w:rPr>
            </w:pPr>
            <w:r>
              <w:rPr>
                <w:rFonts w:ascii="Arial" w:hAnsi="Arial" w:cs="Arial"/>
                <w:sz w:val="20"/>
                <w:szCs w:val="20"/>
              </w:rPr>
              <w:t>9,1463</w:t>
            </w:r>
          </w:p>
        </w:tc>
        <w:tc>
          <w:tcPr>
            <w:tcW w:w="1162" w:type="dxa"/>
          </w:tcPr>
          <w:p w:rsidR="00FD1525" w:rsidRDefault="00FD1525" w:rsidP="006C239A">
            <w:pPr>
              <w:jc w:val="center"/>
              <w:rPr>
                <w:rFonts w:ascii="Arial" w:hAnsi="Arial" w:cs="Arial"/>
                <w:sz w:val="20"/>
                <w:szCs w:val="20"/>
              </w:rPr>
            </w:pPr>
            <w:r>
              <w:rPr>
                <w:rFonts w:ascii="Arial" w:hAnsi="Arial" w:cs="Arial"/>
                <w:sz w:val="20"/>
                <w:szCs w:val="20"/>
              </w:rPr>
              <w:t>8,2598</w:t>
            </w:r>
          </w:p>
        </w:tc>
        <w:tc>
          <w:tcPr>
            <w:tcW w:w="874" w:type="dxa"/>
            <w:gridSpan w:val="2"/>
          </w:tcPr>
          <w:p w:rsidR="00FD1525" w:rsidRDefault="00FD1525" w:rsidP="00640D9A">
            <w:pPr>
              <w:jc w:val="center"/>
              <w:rPr>
                <w:rFonts w:ascii="Arial" w:hAnsi="Arial" w:cs="Arial"/>
                <w:sz w:val="20"/>
                <w:szCs w:val="20"/>
              </w:rPr>
            </w:pPr>
            <w:r>
              <w:rPr>
                <w:rFonts w:ascii="Arial" w:hAnsi="Arial" w:cs="Arial"/>
                <w:sz w:val="20"/>
                <w:szCs w:val="20"/>
              </w:rPr>
              <w:t>90,3</w:t>
            </w:r>
          </w:p>
        </w:tc>
        <w:tc>
          <w:tcPr>
            <w:tcW w:w="939" w:type="dxa"/>
          </w:tcPr>
          <w:p w:rsidR="00FD1525" w:rsidRDefault="00FD1525" w:rsidP="006C239A">
            <w:pPr>
              <w:jc w:val="center"/>
              <w:rPr>
                <w:rFonts w:ascii="Arial" w:hAnsi="Arial" w:cs="Arial"/>
                <w:sz w:val="20"/>
                <w:szCs w:val="20"/>
              </w:rPr>
            </w:pPr>
            <w:r>
              <w:rPr>
                <w:rFonts w:ascii="Arial" w:hAnsi="Arial" w:cs="Arial"/>
                <w:sz w:val="20"/>
                <w:szCs w:val="20"/>
              </w:rPr>
              <w:t>0</w:t>
            </w:r>
          </w:p>
        </w:tc>
        <w:tc>
          <w:tcPr>
            <w:tcW w:w="668" w:type="dxa"/>
          </w:tcPr>
          <w:p w:rsidR="00FD1525" w:rsidRDefault="00FD1525" w:rsidP="006C239A">
            <w:pPr>
              <w:jc w:val="center"/>
              <w:rPr>
                <w:rFonts w:ascii="Arial" w:hAnsi="Arial" w:cs="Arial"/>
                <w:sz w:val="20"/>
                <w:szCs w:val="20"/>
              </w:rPr>
            </w:pPr>
            <w:r>
              <w:rPr>
                <w:rFonts w:ascii="Arial" w:hAnsi="Arial" w:cs="Arial"/>
                <w:sz w:val="20"/>
                <w:szCs w:val="20"/>
              </w:rPr>
              <w:t>0</w:t>
            </w:r>
          </w:p>
        </w:tc>
        <w:tc>
          <w:tcPr>
            <w:tcW w:w="939" w:type="dxa"/>
            <w:vAlign w:val="center"/>
          </w:tcPr>
          <w:p w:rsidR="00FD1525" w:rsidRDefault="00FD1525" w:rsidP="006C239A">
            <w:pPr>
              <w:jc w:val="center"/>
              <w:rPr>
                <w:rFonts w:ascii="Arial" w:hAnsi="Arial" w:cs="Arial"/>
                <w:sz w:val="20"/>
                <w:szCs w:val="20"/>
              </w:rPr>
            </w:pPr>
            <w:r>
              <w:rPr>
                <w:rFonts w:ascii="Arial" w:hAnsi="Arial" w:cs="Arial"/>
                <w:sz w:val="20"/>
                <w:szCs w:val="20"/>
              </w:rPr>
              <w:t>0</w:t>
            </w:r>
          </w:p>
        </w:tc>
        <w:tc>
          <w:tcPr>
            <w:tcW w:w="757" w:type="dxa"/>
            <w:gridSpan w:val="2"/>
          </w:tcPr>
          <w:p w:rsidR="00FD1525" w:rsidRDefault="00FD1525" w:rsidP="006C239A">
            <w:pPr>
              <w:jc w:val="center"/>
              <w:rPr>
                <w:rFonts w:ascii="Arial" w:hAnsi="Arial" w:cs="Arial"/>
                <w:sz w:val="20"/>
                <w:szCs w:val="20"/>
              </w:rPr>
            </w:pPr>
            <w:r>
              <w:rPr>
                <w:rFonts w:ascii="Arial" w:hAnsi="Arial" w:cs="Arial"/>
                <w:sz w:val="20"/>
                <w:szCs w:val="20"/>
              </w:rPr>
              <w:t>0</w:t>
            </w:r>
          </w:p>
        </w:tc>
        <w:tc>
          <w:tcPr>
            <w:tcW w:w="939" w:type="dxa"/>
            <w:vAlign w:val="center"/>
          </w:tcPr>
          <w:p w:rsidR="00FD1525" w:rsidRDefault="00FD1525" w:rsidP="006C239A">
            <w:pPr>
              <w:jc w:val="center"/>
              <w:rPr>
                <w:rFonts w:ascii="Arial" w:hAnsi="Arial" w:cs="Arial"/>
                <w:sz w:val="20"/>
                <w:szCs w:val="20"/>
              </w:rPr>
            </w:pPr>
            <w:r>
              <w:rPr>
                <w:rFonts w:ascii="Arial" w:hAnsi="Arial" w:cs="Arial"/>
                <w:sz w:val="20"/>
                <w:szCs w:val="20"/>
              </w:rPr>
              <w:t>0</w:t>
            </w:r>
          </w:p>
        </w:tc>
        <w:tc>
          <w:tcPr>
            <w:tcW w:w="767" w:type="dxa"/>
          </w:tcPr>
          <w:p w:rsidR="00FD1525" w:rsidRDefault="00FD1525" w:rsidP="00FD1525">
            <w:pPr>
              <w:jc w:val="center"/>
              <w:rPr>
                <w:rFonts w:ascii="AmerType Md BT" w:hAnsi="AmerType Md BT" w:cs="Arial"/>
                <w:sz w:val="20"/>
                <w:szCs w:val="20"/>
              </w:rPr>
            </w:pPr>
            <w:r>
              <w:rPr>
                <w:rFonts w:ascii="AmerType Md BT" w:hAnsi="AmerType Md BT" w:cs="Arial"/>
                <w:sz w:val="20"/>
                <w:szCs w:val="20"/>
              </w:rPr>
              <w:t>0</w:t>
            </w:r>
          </w:p>
        </w:tc>
        <w:tc>
          <w:tcPr>
            <w:tcW w:w="933" w:type="dxa"/>
            <w:vAlign w:val="center"/>
          </w:tcPr>
          <w:p w:rsidR="00FD1525" w:rsidRDefault="00FD1525" w:rsidP="006C239A">
            <w:pPr>
              <w:jc w:val="center"/>
              <w:rPr>
                <w:rFonts w:ascii="Arial" w:hAnsi="Arial" w:cs="Arial"/>
                <w:sz w:val="20"/>
                <w:szCs w:val="20"/>
              </w:rPr>
            </w:pPr>
            <w:r>
              <w:rPr>
                <w:rFonts w:ascii="Arial" w:hAnsi="Arial" w:cs="Arial"/>
                <w:sz w:val="20"/>
                <w:szCs w:val="20"/>
              </w:rPr>
              <w:t>0</w:t>
            </w:r>
          </w:p>
        </w:tc>
        <w:tc>
          <w:tcPr>
            <w:tcW w:w="743" w:type="dxa"/>
            <w:gridSpan w:val="2"/>
          </w:tcPr>
          <w:p w:rsidR="00FD1525" w:rsidRDefault="00FD1525" w:rsidP="006C239A">
            <w:pPr>
              <w:jc w:val="center"/>
              <w:rPr>
                <w:rFonts w:ascii="Arial" w:hAnsi="Arial" w:cs="Arial"/>
                <w:sz w:val="20"/>
                <w:szCs w:val="20"/>
              </w:rPr>
            </w:pPr>
            <w:r>
              <w:rPr>
                <w:rFonts w:ascii="Arial" w:hAnsi="Arial" w:cs="Arial"/>
                <w:sz w:val="20"/>
                <w:szCs w:val="20"/>
              </w:rPr>
              <w:t>0</w:t>
            </w:r>
          </w:p>
        </w:tc>
        <w:tc>
          <w:tcPr>
            <w:tcW w:w="1014" w:type="dxa"/>
            <w:vAlign w:val="center"/>
          </w:tcPr>
          <w:p w:rsidR="00FD1525" w:rsidRDefault="00FD1525" w:rsidP="006C239A">
            <w:pPr>
              <w:jc w:val="center"/>
              <w:rPr>
                <w:rFonts w:ascii="Arial" w:hAnsi="Arial" w:cs="Arial"/>
                <w:sz w:val="20"/>
                <w:szCs w:val="20"/>
              </w:rPr>
            </w:pPr>
            <w:r>
              <w:rPr>
                <w:rFonts w:ascii="Arial" w:hAnsi="Arial" w:cs="Arial"/>
                <w:sz w:val="20"/>
                <w:szCs w:val="20"/>
              </w:rPr>
              <w:t>0,8865</w:t>
            </w:r>
          </w:p>
        </w:tc>
        <w:tc>
          <w:tcPr>
            <w:tcW w:w="732" w:type="dxa"/>
          </w:tcPr>
          <w:p w:rsidR="00FD1525" w:rsidRDefault="00FD1525" w:rsidP="006C239A">
            <w:pPr>
              <w:jc w:val="center"/>
              <w:rPr>
                <w:rFonts w:ascii="Arial" w:hAnsi="Arial" w:cs="Arial"/>
                <w:sz w:val="20"/>
                <w:szCs w:val="20"/>
              </w:rPr>
            </w:pPr>
            <w:r>
              <w:rPr>
                <w:rFonts w:ascii="Arial" w:hAnsi="Arial" w:cs="Arial"/>
                <w:sz w:val="20"/>
                <w:szCs w:val="20"/>
              </w:rPr>
              <w:t>9,7</w:t>
            </w:r>
          </w:p>
        </w:tc>
      </w:tr>
      <w:tr w:rsidR="00FD1525">
        <w:tc>
          <w:tcPr>
            <w:tcW w:w="1503" w:type="dxa"/>
            <w:vMerge/>
          </w:tcPr>
          <w:p w:rsidR="00FD1525" w:rsidRDefault="00FD1525" w:rsidP="00632419">
            <w:pPr>
              <w:rPr>
                <w:rFonts w:ascii="Arial" w:hAnsi="Arial" w:cs="Arial"/>
                <w:sz w:val="20"/>
                <w:szCs w:val="20"/>
              </w:rPr>
            </w:pPr>
          </w:p>
        </w:tc>
        <w:tc>
          <w:tcPr>
            <w:tcW w:w="1504" w:type="dxa"/>
            <w:vAlign w:val="bottom"/>
          </w:tcPr>
          <w:p w:rsidR="00FD1525" w:rsidRPr="0003329F" w:rsidRDefault="00FD1525" w:rsidP="00213657">
            <w:pPr>
              <w:rPr>
                <w:rFonts w:ascii="Arial" w:hAnsi="Arial" w:cs="Arial"/>
                <w:sz w:val="20"/>
                <w:szCs w:val="20"/>
              </w:rPr>
            </w:pPr>
            <w:r w:rsidRPr="0003329F">
              <w:rPr>
                <w:rFonts w:ascii="Arial" w:hAnsi="Arial" w:cs="Arial"/>
                <w:sz w:val="20"/>
                <w:szCs w:val="20"/>
              </w:rPr>
              <w:t>Pofuki</w:t>
            </w:r>
          </w:p>
        </w:tc>
        <w:tc>
          <w:tcPr>
            <w:tcW w:w="1406" w:type="dxa"/>
          </w:tcPr>
          <w:p w:rsidR="00FD1525" w:rsidRDefault="00FD1525" w:rsidP="00DD285D">
            <w:pPr>
              <w:jc w:val="center"/>
              <w:rPr>
                <w:rFonts w:ascii="Arial" w:hAnsi="Arial" w:cs="Arial"/>
                <w:sz w:val="20"/>
                <w:szCs w:val="20"/>
              </w:rPr>
            </w:pPr>
            <w:r>
              <w:rPr>
                <w:rFonts w:ascii="Arial" w:hAnsi="Arial" w:cs="Arial"/>
                <w:sz w:val="20"/>
                <w:szCs w:val="20"/>
              </w:rPr>
              <w:t>30,1290</w:t>
            </w:r>
          </w:p>
        </w:tc>
        <w:tc>
          <w:tcPr>
            <w:tcW w:w="1162" w:type="dxa"/>
          </w:tcPr>
          <w:p w:rsidR="00FD1525" w:rsidRDefault="00FD1525" w:rsidP="00632419">
            <w:pPr>
              <w:rPr>
                <w:rFonts w:ascii="Arial" w:hAnsi="Arial" w:cs="Arial"/>
                <w:sz w:val="20"/>
                <w:szCs w:val="20"/>
              </w:rPr>
            </w:pPr>
            <w:r>
              <w:rPr>
                <w:rFonts w:ascii="Arial" w:hAnsi="Arial" w:cs="Arial"/>
                <w:sz w:val="20"/>
                <w:szCs w:val="20"/>
              </w:rPr>
              <w:t>21,8012</w:t>
            </w:r>
          </w:p>
        </w:tc>
        <w:tc>
          <w:tcPr>
            <w:tcW w:w="874" w:type="dxa"/>
            <w:gridSpan w:val="2"/>
          </w:tcPr>
          <w:p w:rsidR="00FD1525" w:rsidRDefault="00FD1525" w:rsidP="00640D9A">
            <w:pPr>
              <w:jc w:val="center"/>
              <w:rPr>
                <w:rFonts w:ascii="Arial" w:hAnsi="Arial" w:cs="Arial"/>
                <w:sz w:val="20"/>
                <w:szCs w:val="20"/>
              </w:rPr>
            </w:pPr>
            <w:r>
              <w:rPr>
                <w:rFonts w:ascii="Arial" w:hAnsi="Arial" w:cs="Arial"/>
                <w:sz w:val="20"/>
                <w:szCs w:val="20"/>
              </w:rPr>
              <w:t>72,3</w:t>
            </w:r>
          </w:p>
        </w:tc>
        <w:tc>
          <w:tcPr>
            <w:tcW w:w="939" w:type="dxa"/>
          </w:tcPr>
          <w:p w:rsidR="00FD1525" w:rsidRDefault="00FD1525" w:rsidP="008C72A6">
            <w:pPr>
              <w:jc w:val="center"/>
              <w:rPr>
                <w:rFonts w:ascii="Arial" w:hAnsi="Arial" w:cs="Arial"/>
                <w:sz w:val="20"/>
                <w:szCs w:val="20"/>
              </w:rPr>
            </w:pPr>
            <w:r>
              <w:rPr>
                <w:rFonts w:ascii="Arial" w:hAnsi="Arial" w:cs="Arial"/>
                <w:sz w:val="20"/>
                <w:szCs w:val="20"/>
              </w:rPr>
              <w:t>0</w:t>
            </w:r>
          </w:p>
        </w:tc>
        <w:tc>
          <w:tcPr>
            <w:tcW w:w="668" w:type="dxa"/>
          </w:tcPr>
          <w:p w:rsidR="00FD1525" w:rsidRDefault="00FD1525" w:rsidP="008C72A6">
            <w:pPr>
              <w:jc w:val="center"/>
              <w:rPr>
                <w:rFonts w:ascii="Arial" w:hAnsi="Arial" w:cs="Arial"/>
                <w:sz w:val="20"/>
                <w:szCs w:val="20"/>
              </w:rPr>
            </w:pPr>
            <w:r>
              <w:rPr>
                <w:rFonts w:ascii="Arial" w:hAnsi="Arial" w:cs="Arial"/>
                <w:sz w:val="20"/>
                <w:szCs w:val="20"/>
              </w:rPr>
              <w:t>0</w:t>
            </w:r>
          </w:p>
        </w:tc>
        <w:tc>
          <w:tcPr>
            <w:tcW w:w="939" w:type="dxa"/>
            <w:vAlign w:val="center"/>
          </w:tcPr>
          <w:p w:rsidR="00FD1525" w:rsidRDefault="00FD1525" w:rsidP="00213657">
            <w:pPr>
              <w:jc w:val="center"/>
              <w:rPr>
                <w:rFonts w:ascii="Arial" w:hAnsi="Arial" w:cs="Arial"/>
                <w:sz w:val="20"/>
                <w:szCs w:val="20"/>
              </w:rPr>
            </w:pPr>
            <w:r>
              <w:rPr>
                <w:rFonts w:ascii="Arial" w:hAnsi="Arial" w:cs="Arial"/>
                <w:sz w:val="20"/>
                <w:szCs w:val="20"/>
              </w:rPr>
              <w:t>0,4276</w:t>
            </w:r>
          </w:p>
        </w:tc>
        <w:tc>
          <w:tcPr>
            <w:tcW w:w="757" w:type="dxa"/>
            <w:gridSpan w:val="2"/>
          </w:tcPr>
          <w:p w:rsidR="00FD1525" w:rsidRDefault="00FD1525" w:rsidP="00213657">
            <w:pPr>
              <w:jc w:val="center"/>
              <w:rPr>
                <w:rFonts w:ascii="Arial" w:hAnsi="Arial" w:cs="Arial"/>
                <w:sz w:val="20"/>
                <w:szCs w:val="20"/>
              </w:rPr>
            </w:pPr>
            <w:r>
              <w:rPr>
                <w:rFonts w:ascii="Arial" w:hAnsi="Arial" w:cs="Arial"/>
                <w:sz w:val="20"/>
                <w:szCs w:val="20"/>
              </w:rPr>
              <w:t>1,4</w:t>
            </w:r>
          </w:p>
        </w:tc>
        <w:tc>
          <w:tcPr>
            <w:tcW w:w="939" w:type="dxa"/>
          </w:tcPr>
          <w:p w:rsidR="00FD1525" w:rsidRDefault="00FD1525" w:rsidP="00213657">
            <w:pPr>
              <w:jc w:val="center"/>
              <w:rPr>
                <w:rFonts w:ascii="Arial" w:hAnsi="Arial" w:cs="Arial"/>
                <w:sz w:val="20"/>
                <w:szCs w:val="20"/>
              </w:rPr>
            </w:pPr>
            <w:r>
              <w:rPr>
                <w:rFonts w:ascii="Arial" w:hAnsi="Arial" w:cs="Arial"/>
                <w:sz w:val="20"/>
                <w:szCs w:val="20"/>
              </w:rPr>
              <w:t>4,9183</w:t>
            </w:r>
          </w:p>
        </w:tc>
        <w:tc>
          <w:tcPr>
            <w:tcW w:w="767" w:type="dxa"/>
          </w:tcPr>
          <w:p w:rsidR="00FD1525" w:rsidRDefault="00FD1525" w:rsidP="00FD1525">
            <w:pPr>
              <w:jc w:val="center"/>
              <w:rPr>
                <w:rFonts w:ascii="AmerType Md BT" w:hAnsi="AmerType Md BT" w:cs="Arial"/>
                <w:sz w:val="20"/>
                <w:szCs w:val="20"/>
              </w:rPr>
            </w:pPr>
            <w:r>
              <w:rPr>
                <w:rFonts w:ascii="AmerType Md BT" w:hAnsi="AmerType Md BT" w:cs="Arial"/>
                <w:sz w:val="20"/>
                <w:szCs w:val="20"/>
              </w:rPr>
              <w:t>16,3</w:t>
            </w:r>
          </w:p>
        </w:tc>
        <w:tc>
          <w:tcPr>
            <w:tcW w:w="933" w:type="dxa"/>
            <w:vAlign w:val="center"/>
          </w:tcPr>
          <w:p w:rsidR="00FD1525" w:rsidRDefault="00FD1525" w:rsidP="00213657">
            <w:pPr>
              <w:jc w:val="center"/>
              <w:rPr>
                <w:rFonts w:ascii="Arial" w:hAnsi="Arial" w:cs="Arial"/>
                <w:sz w:val="20"/>
                <w:szCs w:val="20"/>
              </w:rPr>
            </w:pPr>
            <w:r>
              <w:rPr>
                <w:rFonts w:ascii="Arial" w:hAnsi="Arial" w:cs="Arial"/>
                <w:sz w:val="20"/>
                <w:szCs w:val="20"/>
              </w:rPr>
              <w:t>0,4100</w:t>
            </w:r>
          </w:p>
        </w:tc>
        <w:tc>
          <w:tcPr>
            <w:tcW w:w="743" w:type="dxa"/>
            <w:gridSpan w:val="2"/>
          </w:tcPr>
          <w:p w:rsidR="00FD1525" w:rsidRDefault="00FD1525" w:rsidP="00632419">
            <w:pPr>
              <w:jc w:val="center"/>
              <w:rPr>
                <w:rFonts w:ascii="Arial" w:hAnsi="Arial" w:cs="Arial"/>
                <w:sz w:val="20"/>
                <w:szCs w:val="20"/>
              </w:rPr>
            </w:pPr>
            <w:r>
              <w:rPr>
                <w:rFonts w:ascii="Arial" w:hAnsi="Arial" w:cs="Arial"/>
                <w:sz w:val="20"/>
                <w:szCs w:val="20"/>
              </w:rPr>
              <w:t>1,3</w:t>
            </w:r>
          </w:p>
        </w:tc>
        <w:tc>
          <w:tcPr>
            <w:tcW w:w="1014" w:type="dxa"/>
            <w:vAlign w:val="center"/>
          </w:tcPr>
          <w:p w:rsidR="00FD1525" w:rsidRDefault="00FD1525" w:rsidP="00632419">
            <w:pPr>
              <w:jc w:val="center"/>
              <w:rPr>
                <w:rFonts w:ascii="Arial" w:hAnsi="Arial" w:cs="Arial"/>
                <w:sz w:val="20"/>
                <w:szCs w:val="20"/>
              </w:rPr>
            </w:pPr>
            <w:r>
              <w:rPr>
                <w:rFonts w:ascii="Arial" w:hAnsi="Arial" w:cs="Arial"/>
                <w:sz w:val="20"/>
                <w:szCs w:val="20"/>
              </w:rPr>
              <w:t>2,5719</w:t>
            </w:r>
          </w:p>
        </w:tc>
        <w:tc>
          <w:tcPr>
            <w:tcW w:w="732" w:type="dxa"/>
          </w:tcPr>
          <w:p w:rsidR="00FD1525" w:rsidRDefault="00FD1525" w:rsidP="00632419">
            <w:pPr>
              <w:jc w:val="center"/>
              <w:rPr>
                <w:rFonts w:ascii="Arial" w:hAnsi="Arial" w:cs="Arial"/>
                <w:sz w:val="20"/>
                <w:szCs w:val="20"/>
              </w:rPr>
            </w:pPr>
            <w:r>
              <w:rPr>
                <w:rFonts w:ascii="Arial" w:hAnsi="Arial" w:cs="Arial"/>
                <w:sz w:val="20"/>
                <w:szCs w:val="20"/>
              </w:rPr>
              <w:t>8,5</w:t>
            </w:r>
          </w:p>
        </w:tc>
      </w:tr>
      <w:tr w:rsidR="00FD1525">
        <w:tc>
          <w:tcPr>
            <w:tcW w:w="1503" w:type="dxa"/>
            <w:vMerge/>
          </w:tcPr>
          <w:p w:rsidR="00FD1525" w:rsidRDefault="00FD1525" w:rsidP="00632419">
            <w:pPr>
              <w:rPr>
                <w:rFonts w:ascii="Arial" w:hAnsi="Arial" w:cs="Arial"/>
                <w:sz w:val="20"/>
                <w:szCs w:val="20"/>
              </w:rPr>
            </w:pPr>
          </w:p>
        </w:tc>
        <w:tc>
          <w:tcPr>
            <w:tcW w:w="1504" w:type="dxa"/>
          </w:tcPr>
          <w:p w:rsidR="00FD1525" w:rsidRDefault="00FD1525" w:rsidP="00632419">
            <w:pPr>
              <w:rPr>
                <w:rFonts w:ascii="Arial" w:hAnsi="Arial" w:cs="Arial"/>
                <w:sz w:val="20"/>
                <w:szCs w:val="20"/>
              </w:rPr>
            </w:pPr>
            <w:r>
              <w:rPr>
                <w:rFonts w:ascii="Arial" w:hAnsi="Arial" w:cs="Arial"/>
                <w:sz w:val="20"/>
                <w:szCs w:val="20"/>
              </w:rPr>
              <w:t>Štrigovec</w:t>
            </w:r>
          </w:p>
        </w:tc>
        <w:tc>
          <w:tcPr>
            <w:tcW w:w="1406" w:type="dxa"/>
          </w:tcPr>
          <w:p w:rsidR="00FD1525" w:rsidRDefault="00FD1525" w:rsidP="00B23D6D">
            <w:pPr>
              <w:jc w:val="center"/>
              <w:rPr>
                <w:rFonts w:ascii="Arial" w:hAnsi="Arial" w:cs="Arial"/>
                <w:sz w:val="20"/>
                <w:szCs w:val="20"/>
              </w:rPr>
            </w:pPr>
            <w:r>
              <w:rPr>
                <w:rFonts w:ascii="Arial" w:hAnsi="Arial" w:cs="Arial"/>
                <w:sz w:val="20"/>
                <w:szCs w:val="20"/>
              </w:rPr>
              <w:t>7,9189</w:t>
            </w:r>
          </w:p>
        </w:tc>
        <w:tc>
          <w:tcPr>
            <w:tcW w:w="1162" w:type="dxa"/>
          </w:tcPr>
          <w:p w:rsidR="00FD1525" w:rsidRDefault="00FD1525" w:rsidP="00632419">
            <w:pPr>
              <w:rPr>
                <w:rFonts w:ascii="Arial" w:hAnsi="Arial" w:cs="Arial"/>
                <w:sz w:val="20"/>
                <w:szCs w:val="20"/>
              </w:rPr>
            </w:pPr>
            <w:r>
              <w:rPr>
                <w:rFonts w:ascii="Arial" w:hAnsi="Arial" w:cs="Arial"/>
                <w:sz w:val="20"/>
                <w:szCs w:val="20"/>
              </w:rPr>
              <w:t>6,7066</w:t>
            </w:r>
          </w:p>
        </w:tc>
        <w:tc>
          <w:tcPr>
            <w:tcW w:w="874" w:type="dxa"/>
            <w:gridSpan w:val="2"/>
          </w:tcPr>
          <w:p w:rsidR="00FD1525" w:rsidRDefault="00FD1525" w:rsidP="00640D9A">
            <w:pPr>
              <w:jc w:val="center"/>
              <w:rPr>
                <w:rFonts w:ascii="Arial" w:hAnsi="Arial" w:cs="Arial"/>
                <w:sz w:val="20"/>
                <w:szCs w:val="20"/>
              </w:rPr>
            </w:pPr>
            <w:r>
              <w:rPr>
                <w:rFonts w:ascii="Arial" w:hAnsi="Arial" w:cs="Arial"/>
                <w:sz w:val="20"/>
                <w:szCs w:val="20"/>
              </w:rPr>
              <w:t>84,6</w:t>
            </w:r>
          </w:p>
        </w:tc>
        <w:tc>
          <w:tcPr>
            <w:tcW w:w="939" w:type="dxa"/>
          </w:tcPr>
          <w:p w:rsidR="00FD1525" w:rsidRDefault="00FD1525" w:rsidP="008C72A6">
            <w:pPr>
              <w:jc w:val="center"/>
              <w:rPr>
                <w:rFonts w:ascii="Arial" w:hAnsi="Arial" w:cs="Arial"/>
                <w:sz w:val="20"/>
                <w:szCs w:val="20"/>
              </w:rPr>
            </w:pPr>
            <w:r>
              <w:rPr>
                <w:rFonts w:ascii="Arial" w:hAnsi="Arial" w:cs="Arial"/>
                <w:sz w:val="20"/>
                <w:szCs w:val="20"/>
              </w:rPr>
              <w:t>0</w:t>
            </w:r>
          </w:p>
        </w:tc>
        <w:tc>
          <w:tcPr>
            <w:tcW w:w="668" w:type="dxa"/>
          </w:tcPr>
          <w:p w:rsidR="00FD1525" w:rsidRDefault="00FD1525" w:rsidP="008C72A6">
            <w:pPr>
              <w:jc w:val="center"/>
              <w:rPr>
                <w:rFonts w:ascii="Arial" w:hAnsi="Arial" w:cs="Arial"/>
                <w:sz w:val="20"/>
                <w:szCs w:val="20"/>
              </w:rPr>
            </w:pPr>
            <w:r>
              <w:rPr>
                <w:rFonts w:ascii="Arial" w:hAnsi="Arial" w:cs="Arial"/>
                <w:sz w:val="20"/>
                <w:szCs w:val="20"/>
              </w:rPr>
              <w:t>0</w:t>
            </w:r>
          </w:p>
        </w:tc>
        <w:tc>
          <w:tcPr>
            <w:tcW w:w="939" w:type="dxa"/>
            <w:vAlign w:val="center"/>
          </w:tcPr>
          <w:p w:rsidR="00FD1525" w:rsidRDefault="00FD1525" w:rsidP="00632419">
            <w:pPr>
              <w:jc w:val="center"/>
              <w:rPr>
                <w:rFonts w:ascii="Arial" w:hAnsi="Arial" w:cs="Arial"/>
                <w:sz w:val="20"/>
                <w:szCs w:val="20"/>
              </w:rPr>
            </w:pPr>
            <w:r>
              <w:rPr>
                <w:rFonts w:ascii="Arial" w:hAnsi="Arial" w:cs="Arial"/>
                <w:sz w:val="20"/>
                <w:szCs w:val="20"/>
              </w:rPr>
              <w:t>0</w:t>
            </w:r>
          </w:p>
        </w:tc>
        <w:tc>
          <w:tcPr>
            <w:tcW w:w="757" w:type="dxa"/>
            <w:gridSpan w:val="2"/>
          </w:tcPr>
          <w:p w:rsidR="00FD1525" w:rsidRDefault="00FD1525" w:rsidP="00632419">
            <w:pPr>
              <w:jc w:val="center"/>
              <w:rPr>
                <w:rFonts w:ascii="Arial" w:hAnsi="Arial" w:cs="Arial"/>
                <w:sz w:val="20"/>
                <w:szCs w:val="20"/>
              </w:rPr>
            </w:pPr>
            <w:r>
              <w:rPr>
                <w:rFonts w:ascii="Arial" w:hAnsi="Arial" w:cs="Arial"/>
                <w:sz w:val="20"/>
                <w:szCs w:val="20"/>
              </w:rPr>
              <w:t>0</w:t>
            </w:r>
          </w:p>
        </w:tc>
        <w:tc>
          <w:tcPr>
            <w:tcW w:w="939" w:type="dxa"/>
            <w:vAlign w:val="center"/>
          </w:tcPr>
          <w:p w:rsidR="00FD1525" w:rsidRDefault="00FD1525" w:rsidP="00632419">
            <w:pPr>
              <w:jc w:val="center"/>
              <w:rPr>
                <w:rFonts w:ascii="Arial" w:hAnsi="Arial" w:cs="Arial"/>
                <w:sz w:val="20"/>
                <w:szCs w:val="20"/>
              </w:rPr>
            </w:pPr>
            <w:r>
              <w:rPr>
                <w:rFonts w:ascii="Arial" w:hAnsi="Arial" w:cs="Arial"/>
                <w:sz w:val="20"/>
                <w:szCs w:val="20"/>
              </w:rPr>
              <w:t>0</w:t>
            </w:r>
          </w:p>
        </w:tc>
        <w:tc>
          <w:tcPr>
            <w:tcW w:w="767" w:type="dxa"/>
          </w:tcPr>
          <w:p w:rsidR="00FD1525" w:rsidRDefault="00FD1525" w:rsidP="00FD1525">
            <w:pPr>
              <w:jc w:val="center"/>
              <w:rPr>
                <w:rFonts w:ascii="AmerType Md BT" w:hAnsi="AmerType Md BT" w:cs="Arial"/>
                <w:sz w:val="20"/>
                <w:szCs w:val="20"/>
              </w:rPr>
            </w:pPr>
            <w:r>
              <w:rPr>
                <w:rFonts w:ascii="AmerType Md BT" w:hAnsi="AmerType Md BT" w:cs="Arial"/>
                <w:sz w:val="20"/>
                <w:szCs w:val="20"/>
              </w:rPr>
              <w:t>0</w:t>
            </w:r>
          </w:p>
        </w:tc>
        <w:tc>
          <w:tcPr>
            <w:tcW w:w="933" w:type="dxa"/>
          </w:tcPr>
          <w:p w:rsidR="00FD1525" w:rsidRDefault="00FD1525" w:rsidP="00632419">
            <w:pPr>
              <w:jc w:val="center"/>
              <w:rPr>
                <w:rFonts w:ascii="Arial" w:hAnsi="Arial" w:cs="Arial"/>
                <w:sz w:val="20"/>
                <w:szCs w:val="20"/>
              </w:rPr>
            </w:pPr>
            <w:r>
              <w:rPr>
                <w:rFonts w:ascii="Arial" w:hAnsi="Arial" w:cs="Arial"/>
                <w:sz w:val="20"/>
                <w:szCs w:val="20"/>
              </w:rPr>
              <w:t>0,5396</w:t>
            </w:r>
          </w:p>
        </w:tc>
        <w:tc>
          <w:tcPr>
            <w:tcW w:w="743" w:type="dxa"/>
            <w:gridSpan w:val="2"/>
          </w:tcPr>
          <w:p w:rsidR="00FD1525" w:rsidRDefault="00FD1525" w:rsidP="00632419">
            <w:pPr>
              <w:jc w:val="center"/>
              <w:rPr>
                <w:rFonts w:ascii="Arial" w:hAnsi="Arial" w:cs="Arial"/>
                <w:sz w:val="20"/>
                <w:szCs w:val="20"/>
              </w:rPr>
            </w:pPr>
            <w:r>
              <w:rPr>
                <w:rFonts w:ascii="Arial" w:hAnsi="Arial" w:cs="Arial"/>
                <w:sz w:val="20"/>
                <w:szCs w:val="20"/>
              </w:rPr>
              <w:t>6,8</w:t>
            </w:r>
          </w:p>
        </w:tc>
        <w:tc>
          <w:tcPr>
            <w:tcW w:w="1014" w:type="dxa"/>
            <w:vAlign w:val="center"/>
          </w:tcPr>
          <w:p w:rsidR="00FD1525" w:rsidRDefault="00FD1525" w:rsidP="00632419">
            <w:pPr>
              <w:jc w:val="center"/>
              <w:rPr>
                <w:rFonts w:ascii="Arial" w:hAnsi="Arial" w:cs="Arial"/>
                <w:sz w:val="20"/>
                <w:szCs w:val="20"/>
              </w:rPr>
            </w:pPr>
            <w:r>
              <w:rPr>
                <w:rFonts w:ascii="Arial" w:hAnsi="Arial" w:cs="Arial"/>
                <w:sz w:val="20"/>
                <w:szCs w:val="20"/>
              </w:rPr>
              <w:t>0,6727</w:t>
            </w:r>
          </w:p>
        </w:tc>
        <w:tc>
          <w:tcPr>
            <w:tcW w:w="732" w:type="dxa"/>
          </w:tcPr>
          <w:p w:rsidR="00FD1525" w:rsidRDefault="00FD1525" w:rsidP="00632419">
            <w:pPr>
              <w:jc w:val="center"/>
              <w:rPr>
                <w:rFonts w:ascii="Arial" w:hAnsi="Arial" w:cs="Arial"/>
                <w:sz w:val="20"/>
                <w:szCs w:val="20"/>
              </w:rPr>
            </w:pPr>
            <w:r>
              <w:rPr>
                <w:rFonts w:ascii="Arial" w:hAnsi="Arial" w:cs="Arial"/>
                <w:sz w:val="20"/>
                <w:szCs w:val="20"/>
              </w:rPr>
              <w:t>8,4</w:t>
            </w:r>
          </w:p>
        </w:tc>
      </w:tr>
      <w:tr w:rsidR="00FD1525">
        <w:tc>
          <w:tcPr>
            <w:tcW w:w="1503" w:type="dxa"/>
            <w:vMerge/>
          </w:tcPr>
          <w:p w:rsidR="00FD1525" w:rsidRDefault="00FD1525" w:rsidP="00632419">
            <w:pPr>
              <w:rPr>
                <w:rFonts w:ascii="Arial" w:hAnsi="Arial" w:cs="Arial"/>
                <w:sz w:val="20"/>
                <w:szCs w:val="20"/>
              </w:rPr>
            </w:pPr>
          </w:p>
        </w:tc>
        <w:tc>
          <w:tcPr>
            <w:tcW w:w="1504" w:type="dxa"/>
            <w:vAlign w:val="bottom"/>
          </w:tcPr>
          <w:p w:rsidR="00FD1525" w:rsidRPr="008641E2" w:rsidRDefault="00FD1525" w:rsidP="00213657">
            <w:pPr>
              <w:rPr>
                <w:rFonts w:ascii="Arial" w:hAnsi="Arial" w:cs="Arial"/>
                <w:b/>
                <w:bCs/>
                <w:sz w:val="20"/>
                <w:szCs w:val="20"/>
              </w:rPr>
            </w:pPr>
            <w:r w:rsidRPr="008641E2">
              <w:rPr>
                <w:rFonts w:ascii="Arial" w:hAnsi="Arial" w:cs="Arial"/>
                <w:sz w:val="20"/>
              </w:rPr>
              <w:t>Vukšinec R.</w:t>
            </w:r>
          </w:p>
        </w:tc>
        <w:tc>
          <w:tcPr>
            <w:tcW w:w="1406" w:type="dxa"/>
          </w:tcPr>
          <w:p w:rsidR="00FD1525" w:rsidRDefault="00FD1525" w:rsidP="00213657">
            <w:pPr>
              <w:jc w:val="center"/>
              <w:rPr>
                <w:rFonts w:ascii="Arial" w:hAnsi="Arial" w:cs="Arial"/>
                <w:sz w:val="20"/>
                <w:szCs w:val="20"/>
              </w:rPr>
            </w:pPr>
            <w:r>
              <w:rPr>
                <w:rFonts w:ascii="Arial" w:hAnsi="Arial" w:cs="Arial"/>
                <w:sz w:val="20"/>
                <w:szCs w:val="20"/>
              </w:rPr>
              <w:t>3,7440</w:t>
            </w:r>
          </w:p>
        </w:tc>
        <w:tc>
          <w:tcPr>
            <w:tcW w:w="1162" w:type="dxa"/>
          </w:tcPr>
          <w:p w:rsidR="00FD1525" w:rsidRDefault="00FD1525" w:rsidP="00213657">
            <w:pPr>
              <w:rPr>
                <w:rFonts w:ascii="Arial" w:hAnsi="Arial" w:cs="Arial"/>
                <w:sz w:val="20"/>
                <w:szCs w:val="20"/>
              </w:rPr>
            </w:pPr>
            <w:r>
              <w:rPr>
                <w:rFonts w:ascii="Arial" w:hAnsi="Arial" w:cs="Arial"/>
                <w:sz w:val="20"/>
                <w:szCs w:val="20"/>
              </w:rPr>
              <w:t>3,524</w:t>
            </w:r>
          </w:p>
        </w:tc>
        <w:tc>
          <w:tcPr>
            <w:tcW w:w="874" w:type="dxa"/>
            <w:gridSpan w:val="2"/>
          </w:tcPr>
          <w:p w:rsidR="00FD1525" w:rsidRDefault="00FD1525" w:rsidP="00640D9A">
            <w:pPr>
              <w:jc w:val="center"/>
              <w:rPr>
                <w:rFonts w:ascii="Arial" w:hAnsi="Arial" w:cs="Arial"/>
                <w:sz w:val="20"/>
                <w:szCs w:val="20"/>
              </w:rPr>
            </w:pPr>
            <w:r>
              <w:rPr>
                <w:rFonts w:ascii="Arial" w:hAnsi="Arial" w:cs="Arial"/>
                <w:sz w:val="20"/>
                <w:szCs w:val="20"/>
              </w:rPr>
              <w:t>94,1</w:t>
            </w:r>
          </w:p>
        </w:tc>
        <w:tc>
          <w:tcPr>
            <w:tcW w:w="939" w:type="dxa"/>
          </w:tcPr>
          <w:p w:rsidR="00FD1525" w:rsidRDefault="00FD1525" w:rsidP="008C72A6">
            <w:pPr>
              <w:jc w:val="center"/>
              <w:rPr>
                <w:rFonts w:ascii="Arial" w:hAnsi="Arial" w:cs="Arial"/>
                <w:sz w:val="20"/>
                <w:szCs w:val="20"/>
              </w:rPr>
            </w:pPr>
            <w:r>
              <w:rPr>
                <w:rFonts w:ascii="Arial" w:hAnsi="Arial" w:cs="Arial"/>
                <w:sz w:val="20"/>
                <w:szCs w:val="20"/>
              </w:rPr>
              <w:t>0</w:t>
            </w:r>
          </w:p>
        </w:tc>
        <w:tc>
          <w:tcPr>
            <w:tcW w:w="668" w:type="dxa"/>
          </w:tcPr>
          <w:p w:rsidR="00FD1525" w:rsidRDefault="00FD1525" w:rsidP="008C72A6">
            <w:pPr>
              <w:jc w:val="center"/>
              <w:rPr>
                <w:rFonts w:ascii="Arial" w:hAnsi="Arial" w:cs="Arial"/>
                <w:sz w:val="20"/>
                <w:szCs w:val="20"/>
              </w:rPr>
            </w:pPr>
            <w:r>
              <w:rPr>
                <w:rFonts w:ascii="Arial" w:hAnsi="Arial" w:cs="Arial"/>
                <w:sz w:val="20"/>
                <w:szCs w:val="20"/>
              </w:rPr>
              <w:t>0</w:t>
            </w:r>
          </w:p>
        </w:tc>
        <w:tc>
          <w:tcPr>
            <w:tcW w:w="939" w:type="dxa"/>
            <w:vAlign w:val="center"/>
          </w:tcPr>
          <w:p w:rsidR="00FD1525" w:rsidRDefault="00FD1525" w:rsidP="00213657">
            <w:pPr>
              <w:jc w:val="center"/>
              <w:rPr>
                <w:rFonts w:ascii="Arial" w:hAnsi="Arial" w:cs="Arial"/>
                <w:sz w:val="20"/>
                <w:szCs w:val="20"/>
              </w:rPr>
            </w:pPr>
            <w:r>
              <w:rPr>
                <w:rFonts w:ascii="Arial" w:hAnsi="Arial" w:cs="Arial"/>
                <w:sz w:val="20"/>
                <w:szCs w:val="20"/>
              </w:rPr>
              <w:t>0,0287</w:t>
            </w:r>
          </w:p>
        </w:tc>
        <w:tc>
          <w:tcPr>
            <w:tcW w:w="757" w:type="dxa"/>
            <w:gridSpan w:val="2"/>
          </w:tcPr>
          <w:p w:rsidR="00FD1525" w:rsidRDefault="00FD1525" w:rsidP="00213657">
            <w:pPr>
              <w:jc w:val="center"/>
              <w:rPr>
                <w:rFonts w:ascii="Arial" w:hAnsi="Arial" w:cs="Arial"/>
                <w:sz w:val="20"/>
                <w:szCs w:val="20"/>
              </w:rPr>
            </w:pPr>
            <w:r>
              <w:rPr>
                <w:rFonts w:ascii="Arial" w:hAnsi="Arial" w:cs="Arial"/>
                <w:sz w:val="20"/>
                <w:szCs w:val="20"/>
              </w:rPr>
              <w:t>0,7</w:t>
            </w:r>
          </w:p>
        </w:tc>
        <w:tc>
          <w:tcPr>
            <w:tcW w:w="939" w:type="dxa"/>
          </w:tcPr>
          <w:p w:rsidR="00FD1525" w:rsidRDefault="00FD1525" w:rsidP="00213657">
            <w:pPr>
              <w:jc w:val="center"/>
              <w:rPr>
                <w:rFonts w:ascii="Arial" w:hAnsi="Arial" w:cs="Arial"/>
                <w:sz w:val="20"/>
                <w:szCs w:val="20"/>
              </w:rPr>
            </w:pPr>
            <w:r>
              <w:rPr>
                <w:rFonts w:ascii="Arial" w:hAnsi="Arial" w:cs="Arial"/>
                <w:sz w:val="20"/>
                <w:szCs w:val="20"/>
              </w:rPr>
              <w:t>0</w:t>
            </w:r>
          </w:p>
        </w:tc>
        <w:tc>
          <w:tcPr>
            <w:tcW w:w="767" w:type="dxa"/>
          </w:tcPr>
          <w:p w:rsidR="00FD1525" w:rsidRDefault="00FD1525" w:rsidP="00FD1525">
            <w:pPr>
              <w:jc w:val="center"/>
              <w:rPr>
                <w:rFonts w:ascii="AmerType Md BT" w:hAnsi="AmerType Md BT" w:cs="Arial"/>
                <w:sz w:val="20"/>
                <w:szCs w:val="20"/>
              </w:rPr>
            </w:pPr>
            <w:r>
              <w:rPr>
                <w:rFonts w:ascii="AmerType Md BT" w:hAnsi="AmerType Md BT" w:cs="Arial"/>
                <w:sz w:val="20"/>
                <w:szCs w:val="20"/>
              </w:rPr>
              <w:t>0</w:t>
            </w:r>
          </w:p>
        </w:tc>
        <w:tc>
          <w:tcPr>
            <w:tcW w:w="933" w:type="dxa"/>
            <w:vAlign w:val="center"/>
          </w:tcPr>
          <w:p w:rsidR="00FD1525" w:rsidRDefault="00FD1525" w:rsidP="00213657">
            <w:pPr>
              <w:jc w:val="center"/>
              <w:rPr>
                <w:rFonts w:ascii="Arial" w:hAnsi="Arial" w:cs="Arial"/>
                <w:sz w:val="20"/>
                <w:szCs w:val="20"/>
              </w:rPr>
            </w:pPr>
            <w:r>
              <w:rPr>
                <w:rFonts w:ascii="Arial" w:hAnsi="Arial" w:cs="Arial"/>
                <w:sz w:val="20"/>
                <w:szCs w:val="20"/>
              </w:rPr>
              <w:t>0</w:t>
            </w:r>
          </w:p>
        </w:tc>
        <w:tc>
          <w:tcPr>
            <w:tcW w:w="743" w:type="dxa"/>
            <w:gridSpan w:val="2"/>
          </w:tcPr>
          <w:p w:rsidR="00FD1525" w:rsidRDefault="00FD1525" w:rsidP="00213657">
            <w:pPr>
              <w:jc w:val="center"/>
              <w:rPr>
                <w:rFonts w:ascii="Arial" w:hAnsi="Arial" w:cs="Arial"/>
                <w:sz w:val="20"/>
                <w:szCs w:val="20"/>
              </w:rPr>
            </w:pPr>
            <w:r>
              <w:rPr>
                <w:rFonts w:ascii="Arial" w:hAnsi="Arial" w:cs="Arial"/>
                <w:sz w:val="20"/>
                <w:szCs w:val="20"/>
              </w:rPr>
              <w:t>0</w:t>
            </w:r>
          </w:p>
        </w:tc>
        <w:tc>
          <w:tcPr>
            <w:tcW w:w="1014" w:type="dxa"/>
            <w:vAlign w:val="center"/>
          </w:tcPr>
          <w:p w:rsidR="00FD1525" w:rsidRDefault="00FD1525" w:rsidP="00213657">
            <w:pPr>
              <w:jc w:val="center"/>
              <w:rPr>
                <w:rFonts w:ascii="Arial" w:hAnsi="Arial" w:cs="Arial"/>
                <w:sz w:val="20"/>
                <w:szCs w:val="20"/>
              </w:rPr>
            </w:pPr>
            <w:r>
              <w:rPr>
                <w:rFonts w:ascii="Arial" w:hAnsi="Arial" w:cs="Arial"/>
                <w:sz w:val="20"/>
                <w:szCs w:val="20"/>
              </w:rPr>
              <w:t>0,1913</w:t>
            </w:r>
          </w:p>
        </w:tc>
        <w:tc>
          <w:tcPr>
            <w:tcW w:w="732" w:type="dxa"/>
          </w:tcPr>
          <w:p w:rsidR="00FD1525" w:rsidRDefault="00FD1525" w:rsidP="00213657">
            <w:pPr>
              <w:jc w:val="center"/>
              <w:rPr>
                <w:rFonts w:ascii="Arial" w:hAnsi="Arial" w:cs="Arial"/>
                <w:sz w:val="20"/>
                <w:szCs w:val="20"/>
              </w:rPr>
            </w:pPr>
            <w:r>
              <w:rPr>
                <w:rFonts w:ascii="Arial" w:hAnsi="Arial" w:cs="Arial"/>
                <w:sz w:val="20"/>
                <w:szCs w:val="20"/>
              </w:rPr>
              <w:t>5,1</w:t>
            </w:r>
          </w:p>
        </w:tc>
      </w:tr>
      <w:tr w:rsidR="00FD1525">
        <w:tc>
          <w:tcPr>
            <w:tcW w:w="3007" w:type="dxa"/>
            <w:gridSpan w:val="2"/>
          </w:tcPr>
          <w:p w:rsidR="00FD1525" w:rsidRDefault="00FD1525" w:rsidP="00632419">
            <w:pPr>
              <w:jc w:val="center"/>
              <w:rPr>
                <w:rFonts w:ascii="AmerType Md BT" w:hAnsi="AmerType Md BT" w:cs="Arial"/>
                <w:sz w:val="20"/>
                <w:szCs w:val="20"/>
              </w:rPr>
            </w:pPr>
            <w:r>
              <w:rPr>
                <w:rFonts w:ascii="AmerType Md BT" w:hAnsi="AmerType Md BT" w:cs="Arial"/>
                <w:sz w:val="20"/>
                <w:szCs w:val="20"/>
              </w:rPr>
              <w:t>ukupno</w:t>
            </w:r>
          </w:p>
        </w:tc>
        <w:tc>
          <w:tcPr>
            <w:tcW w:w="1406" w:type="dxa"/>
          </w:tcPr>
          <w:p w:rsidR="00FD1525" w:rsidRDefault="00FD1525" w:rsidP="00632419">
            <w:pPr>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=SUM(ABOVE) </w:instrText>
            </w:r>
            <w:r>
              <w:rPr>
                <w:rFonts w:ascii="Arial" w:hAnsi="Arial" w:cs="Arial"/>
                <w:sz w:val="20"/>
                <w:szCs w:val="20"/>
              </w:rPr>
              <w:fldChar w:fldCharType="separate"/>
            </w:r>
            <w:r>
              <w:rPr>
                <w:rFonts w:ascii="Arial" w:hAnsi="Arial" w:cs="Arial"/>
                <w:noProof/>
                <w:sz w:val="20"/>
                <w:szCs w:val="20"/>
              </w:rPr>
              <w:t>244,6138</w:t>
            </w:r>
            <w:r>
              <w:rPr>
                <w:rFonts w:ascii="Arial" w:hAnsi="Arial" w:cs="Arial"/>
                <w:sz w:val="20"/>
                <w:szCs w:val="20"/>
              </w:rPr>
              <w:fldChar w:fldCharType="end"/>
            </w:r>
          </w:p>
        </w:tc>
        <w:tc>
          <w:tcPr>
            <w:tcW w:w="1162" w:type="dxa"/>
          </w:tcPr>
          <w:p w:rsidR="00FD1525" w:rsidRDefault="00FD1525" w:rsidP="0063241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=SUM(ABOVE) </w:instrText>
            </w:r>
            <w:r>
              <w:rPr>
                <w:rFonts w:ascii="Arial" w:hAnsi="Arial" w:cs="Arial"/>
                <w:sz w:val="20"/>
                <w:szCs w:val="20"/>
              </w:rPr>
              <w:fldChar w:fldCharType="separate"/>
            </w:r>
            <w:r>
              <w:rPr>
                <w:rFonts w:ascii="Arial" w:hAnsi="Arial" w:cs="Arial"/>
                <w:noProof/>
                <w:sz w:val="20"/>
                <w:szCs w:val="20"/>
              </w:rPr>
              <w:t>204,0611</w:t>
            </w:r>
            <w:r>
              <w:rPr>
                <w:rFonts w:ascii="Arial" w:hAnsi="Arial" w:cs="Arial"/>
                <w:sz w:val="20"/>
                <w:szCs w:val="20"/>
              </w:rPr>
              <w:fldChar w:fldCharType="end"/>
            </w:r>
          </w:p>
        </w:tc>
        <w:tc>
          <w:tcPr>
            <w:tcW w:w="874" w:type="dxa"/>
            <w:gridSpan w:val="2"/>
          </w:tcPr>
          <w:p w:rsidR="00FD1525" w:rsidRDefault="00FD1525" w:rsidP="00640D9A">
            <w:pPr>
              <w:jc w:val="center"/>
              <w:rPr>
                <w:rFonts w:ascii="Arial" w:hAnsi="Arial" w:cs="Arial"/>
                <w:sz w:val="20"/>
                <w:szCs w:val="20"/>
              </w:rPr>
            </w:pPr>
            <w:r>
              <w:rPr>
                <w:rFonts w:ascii="Arial" w:hAnsi="Arial" w:cs="Arial"/>
                <w:sz w:val="20"/>
                <w:szCs w:val="20"/>
              </w:rPr>
              <w:t>83,4</w:t>
            </w:r>
          </w:p>
        </w:tc>
        <w:tc>
          <w:tcPr>
            <w:tcW w:w="939" w:type="dxa"/>
          </w:tcPr>
          <w:p w:rsidR="00FD1525" w:rsidRDefault="00FD1525" w:rsidP="008C72A6">
            <w:pPr>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=SUM(ABOVE) </w:instrText>
            </w:r>
            <w:r>
              <w:rPr>
                <w:rFonts w:ascii="Arial" w:hAnsi="Arial" w:cs="Arial"/>
                <w:sz w:val="20"/>
                <w:szCs w:val="20"/>
              </w:rPr>
              <w:fldChar w:fldCharType="separate"/>
            </w:r>
            <w:r>
              <w:rPr>
                <w:rFonts w:ascii="Arial" w:hAnsi="Arial" w:cs="Arial"/>
                <w:noProof/>
                <w:sz w:val="20"/>
                <w:szCs w:val="20"/>
              </w:rPr>
              <w:t>0,1204</w:t>
            </w:r>
            <w:r>
              <w:rPr>
                <w:rFonts w:ascii="Arial" w:hAnsi="Arial" w:cs="Arial"/>
                <w:sz w:val="20"/>
                <w:szCs w:val="20"/>
              </w:rPr>
              <w:fldChar w:fldCharType="end"/>
            </w:r>
          </w:p>
        </w:tc>
        <w:tc>
          <w:tcPr>
            <w:tcW w:w="668" w:type="dxa"/>
          </w:tcPr>
          <w:p w:rsidR="00FD1525" w:rsidRDefault="00FD1525" w:rsidP="008C72A6">
            <w:pPr>
              <w:jc w:val="center"/>
              <w:rPr>
                <w:rFonts w:ascii="Arial" w:hAnsi="Arial" w:cs="Arial"/>
                <w:sz w:val="20"/>
                <w:szCs w:val="20"/>
              </w:rPr>
            </w:pPr>
            <w:r>
              <w:rPr>
                <w:rFonts w:ascii="Arial" w:hAnsi="Arial" w:cs="Arial"/>
                <w:sz w:val="20"/>
                <w:szCs w:val="20"/>
              </w:rPr>
              <w:t>0,04</w:t>
            </w:r>
          </w:p>
        </w:tc>
        <w:tc>
          <w:tcPr>
            <w:tcW w:w="939" w:type="dxa"/>
          </w:tcPr>
          <w:p w:rsidR="00FD1525" w:rsidRDefault="00FD1525" w:rsidP="00632419">
            <w:pPr>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=SUM(ABOVE) </w:instrText>
            </w:r>
            <w:r>
              <w:rPr>
                <w:rFonts w:ascii="Arial" w:hAnsi="Arial" w:cs="Arial"/>
                <w:sz w:val="20"/>
                <w:szCs w:val="20"/>
              </w:rPr>
              <w:fldChar w:fldCharType="separate"/>
            </w:r>
            <w:r>
              <w:rPr>
                <w:rFonts w:ascii="Arial" w:hAnsi="Arial" w:cs="Arial"/>
                <w:noProof/>
                <w:sz w:val="20"/>
                <w:szCs w:val="20"/>
              </w:rPr>
              <w:t>3,7268</w:t>
            </w:r>
            <w:r>
              <w:rPr>
                <w:rFonts w:ascii="Arial" w:hAnsi="Arial" w:cs="Arial"/>
                <w:sz w:val="20"/>
                <w:szCs w:val="20"/>
              </w:rPr>
              <w:fldChar w:fldCharType="end"/>
            </w:r>
          </w:p>
        </w:tc>
        <w:tc>
          <w:tcPr>
            <w:tcW w:w="757" w:type="dxa"/>
            <w:gridSpan w:val="2"/>
          </w:tcPr>
          <w:p w:rsidR="00FD1525" w:rsidRDefault="00FD1525" w:rsidP="00632419">
            <w:pPr>
              <w:jc w:val="center"/>
              <w:rPr>
                <w:rFonts w:ascii="Arial" w:hAnsi="Arial" w:cs="Arial"/>
                <w:sz w:val="20"/>
                <w:szCs w:val="20"/>
              </w:rPr>
            </w:pPr>
            <w:r>
              <w:rPr>
                <w:rFonts w:ascii="Arial" w:hAnsi="Arial" w:cs="Arial"/>
                <w:sz w:val="20"/>
                <w:szCs w:val="20"/>
              </w:rPr>
              <w:t>1,5</w:t>
            </w:r>
          </w:p>
        </w:tc>
        <w:tc>
          <w:tcPr>
            <w:tcW w:w="939" w:type="dxa"/>
          </w:tcPr>
          <w:p w:rsidR="00FD1525" w:rsidRDefault="00FD1525" w:rsidP="00632419">
            <w:pPr>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=SUM(ABOVE) </w:instrText>
            </w:r>
            <w:r>
              <w:rPr>
                <w:rFonts w:ascii="Arial" w:hAnsi="Arial" w:cs="Arial"/>
                <w:sz w:val="20"/>
                <w:szCs w:val="20"/>
              </w:rPr>
              <w:fldChar w:fldCharType="separate"/>
            </w:r>
            <w:r>
              <w:rPr>
                <w:rFonts w:ascii="Arial" w:hAnsi="Arial" w:cs="Arial"/>
                <w:noProof/>
                <w:sz w:val="20"/>
                <w:szCs w:val="20"/>
              </w:rPr>
              <w:t>16,0873</w:t>
            </w:r>
            <w:r>
              <w:rPr>
                <w:rFonts w:ascii="Arial" w:hAnsi="Arial" w:cs="Arial"/>
                <w:sz w:val="20"/>
                <w:szCs w:val="20"/>
              </w:rPr>
              <w:fldChar w:fldCharType="end"/>
            </w:r>
          </w:p>
        </w:tc>
        <w:tc>
          <w:tcPr>
            <w:tcW w:w="767" w:type="dxa"/>
          </w:tcPr>
          <w:p w:rsidR="00FD1525" w:rsidRDefault="00FD1525" w:rsidP="00632419">
            <w:pPr>
              <w:jc w:val="center"/>
              <w:rPr>
                <w:rFonts w:ascii="Arial" w:hAnsi="Arial" w:cs="Arial"/>
                <w:sz w:val="20"/>
                <w:szCs w:val="20"/>
              </w:rPr>
            </w:pPr>
            <w:r>
              <w:rPr>
                <w:rFonts w:ascii="Arial" w:hAnsi="Arial" w:cs="Arial"/>
                <w:sz w:val="20"/>
                <w:szCs w:val="20"/>
              </w:rPr>
              <w:t>6,5</w:t>
            </w:r>
          </w:p>
        </w:tc>
        <w:tc>
          <w:tcPr>
            <w:tcW w:w="933" w:type="dxa"/>
          </w:tcPr>
          <w:p w:rsidR="00FD1525" w:rsidRDefault="00FD1525" w:rsidP="00632419">
            <w:pPr>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=SUM(ABOVE) </w:instrText>
            </w:r>
            <w:r>
              <w:rPr>
                <w:rFonts w:ascii="Arial" w:hAnsi="Arial" w:cs="Arial"/>
                <w:sz w:val="20"/>
                <w:szCs w:val="20"/>
              </w:rPr>
              <w:fldChar w:fldCharType="separate"/>
            </w:r>
            <w:r>
              <w:rPr>
                <w:rFonts w:ascii="Arial" w:hAnsi="Arial" w:cs="Arial"/>
                <w:noProof/>
                <w:sz w:val="20"/>
                <w:szCs w:val="20"/>
              </w:rPr>
              <w:t>4,1755</w:t>
            </w:r>
            <w:r>
              <w:rPr>
                <w:rFonts w:ascii="Arial" w:hAnsi="Arial" w:cs="Arial"/>
                <w:sz w:val="20"/>
                <w:szCs w:val="20"/>
              </w:rPr>
              <w:fldChar w:fldCharType="end"/>
            </w:r>
          </w:p>
        </w:tc>
        <w:tc>
          <w:tcPr>
            <w:tcW w:w="743" w:type="dxa"/>
            <w:gridSpan w:val="2"/>
          </w:tcPr>
          <w:p w:rsidR="00FD1525" w:rsidRDefault="00FD1525" w:rsidP="00632419">
            <w:pPr>
              <w:jc w:val="center"/>
              <w:rPr>
                <w:rFonts w:ascii="Arial" w:hAnsi="Arial" w:cs="Arial"/>
                <w:sz w:val="20"/>
                <w:szCs w:val="20"/>
              </w:rPr>
            </w:pPr>
            <w:r>
              <w:rPr>
                <w:rFonts w:ascii="Arial" w:hAnsi="Arial" w:cs="Arial"/>
                <w:sz w:val="20"/>
                <w:szCs w:val="20"/>
              </w:rPr>
              <w:t>1,7</w:t>
            </w:r>
          </w:p>
        </w:tc>
        <w:tc>
          <w:tcPr>
            <w:tcW w:w="1014" w:type="dxa"/>
          </w:tcPr>
          <w:p w:rsidR="00FD1525" w:rsidRDefault="00FD1525" w:rsidP="00632419">
            <w:pPr>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=SUM(ABOVE) </w:instrText>
            </w:r>
            <w:r>
              <w:rPr>
                <w:rFonts w:ascii="Arial" w:hAnsi="Arial" w:cs="Arial"/>
                <w:sz w:val="20"/>
                <w:szCs w:val="20"/>
              </w:rPr>
              <w:fldChar w:fldCharType="separate"/>
            </w:r>
            <w:r>
              <w:rPr>
                <w:rFonts w:ascii="Arial" w:hAnsi="Arial" w:cs="Arial"/>
                <w:noProof/>
                <w:sz w:val="20"/>
                <w:szCs w:val="20"/>
              </w:rPr>
              <w:t>17,5648</w:t>
            </w:r>
            <w:r>
              <w:rPr>
                <w:rFonts w:ascii="Arial" w:hAnsi="Arial" w:cs="Arial"/>
                <w:sz w:val="20"/>
                <w:szCs w:val="20"/>
              </w:rPr>
              <w:fldChar w:fldCharType="end"/>
            </w:r>
          </w:p>
        </w:tc>
        <w:tc>
          <w:tcPr>
            <w:tcW w:w="732" w:type="dxa"/>
          </w:tcPr>
          <w:p w:rsidR="00FD1525" w:rsidRDefault="00FD1525" w:rsidP="00632419">
            <w:pPr>
              <w:jc w:val="center"/>
              <w:rPr>
                <w:rFonts w:ascii="Arial" w:hAnsi="Arial" w:cs="Arial"/>
                <w:sz w:val="20"/>
                <w:szCs w:val="20"/>
              </w:rPr>
            </w:pPr>
            <w:r>
              <w:rPr>
                <w:rFonts w:ascii="Arial" w:hAnsi="Arial" w:cs="Arial"/>
                <w:sz w:val="20"/>
                <w:szCs w:val="20"/>
              </w:rPr>
              <w:t>7,1</w:t>
            </w:r>
          </w:p>
        </w:tc>
      </w:tr>
    </w:tbl>
    <w:p w:rsidR="007C5863" w:rsidRDefault="007C5863" w:rsidP="007C5863">
      <w:pPr>
        <w:rPr>
          <w:rFonts w:ascii="Arial" w:hAnsi="Arial" w:cs="Arial"/>
        </w:rPr>
      </w:pPr>
    </w:p>
    <w:p w:rsidR="007C5863" w:rsidRDefault="007C5863">
      <w:pPr>
        <w:rPr>
          <w:rFonts w:ascii="Arial" w:hAnsi="Arial" w:cs="Arial"/>
        </w:rPr>
      </w:pPr>
    </w:p>
    <w:p w:rsidR="007C5863" w:rsidRDefault="007C5863">
      <w:pPr>
        <w:rPr>
          <w:rFonts w:ascii="Arial" w:hAnsi="Arial" w:cs="Arial"/>
        </w:rPr>
      </w:pPr>
    </w:p>
    <w:p w:rsidR="007C5863" w:rsidRDefault="007C5863">
      <w:pPr>
        <w:rPr>
          <w:rFonts w:ascii="Arial" w:hAnsi="Arial" w:cs="Arial"/>
        </w:rPr>
      </w:pPr>
    </w:p>
    <w:p w:rsidR="007C5863" w:rsidRDefault="007C5863">
      <w:pPr>
        <w:rPr>
          <w:rFonts w:ascii="Arial" w:hAnsi="Arial" w:cs="Arial"/>
        </w:rPr>
        <w:sectPr w:rsidR="007C5863" w:rsidSect="007C5863">
          <w:pgSz w:w="16838" w:h="11906" w:orient="landscape"/>
          <w:pgMar w:top="1412" w:right="1264" w:bottom="1412" w:left="1412" w:header="720" w:footer="720" w:gutter="0"/>
          <w:cols w:space="720"/>
          <w:docGrid w:linePitch="360"/>
        </w:sectPr>
      </w:pPr>
    </w:p>
    <w:p w:rsidR="00012172" w:rsidRDefault="00012172">
      <w:pPr>
        <w:pStyle w:val="Naslov3"/>
      </w:pPr>
      <w:bookmarkStart w:id="49" w:name="_Toc95140598"/>
      <w:r>
        <w:t>2.3.3. Unapređenje uređenja naselja i komunalne infrastrukture</w:t>
      </w:r>
      <w:bookmarkEnd w:id="49"/>
      <w:r>
        <w:t xml:space="preserve"> </w:t>
      </w:r>
    </w:p>
    <w:p w:rsidR="00012172" w:rsidRDefault="00012172">
      <w:pPr>
        <w:rPr>
          <w:rFonts w:ascii="Arial" w:hAnsi="Arial" w:cs="Arial"/>
          <w:sz w:val="22"/>
          <w:szCs w:val="22"/>
        </w:rPr>
      </w:pPr>
    </w:p>
    <w:p w:rsidR="00012172" w:rsidRDefault="00012172">
      <w:pPr>
        <w:jc w:val="both"/>
        <w:rPr>
          <w:rFonts w:ascii="Arial" w:hAnsi="Arial" w:cs="Arial"/>
          <w:sz w:val="22"/>
        </w:rPr>
      </w:pPr>
      <w:r>
        <w:rPr>
          <w:rFonts w:ascii="Arial" w:hAnsi="Arial" w:cs="Arial"/>
          <w:sz w:val="22"/>
        </w:rPr>
        <w:t xml:space="preserve">Prilikom uređenja naselja osobitu pažnju treba posvetiti oblikovanju središta naselja, kako bi ostala u skladu s lokalnom graditeljskom baštinom. Novogradnju je potrebno usmjeravati u neizgrađene dijelove unutar naselja koji su već opremljeni komunalnom infrastrukturom i objektima društvenog standarda. </w:t>
      </w:r>
    </w:p>
    <w:p w:rsidR="00012172" w:rsidRDefault="00012172">
      <w:pPr>
        <w:rPr>
          <w:rFonts w:ascii="Arial" w:hAnsi="Arial" w:cs="Arial"/>
          <w:sz w:val="22"/>
          <w:szCs w:val="22"/>
        </w:rPr>
      </w:pPr>
    </w:p>
    <w:p w:rsidR="00012172" w:rsidRDefault="00012172">
      <w:pPr>
        <w:rPr>
          <w:rFonts w:ascii="Arial" w:hAnsi="Arial" w:cs="Arial"/>
          <w:b/>
          <w:bCs/>
          <w:sz w:val="22"/>
        </w:rPr>
      </w:pPr>
      <w:r>
        <w:rPr>
          <w:rFonts w:ascii="Arial" w:hAnsi="Arial" w:cs="Arial"/>
          <w:b/>
          <w:bCs/>
          <w:sz w:val="22"/>
        </w:rPr>
        <w:t>Promet</w:t>
      </w:r>
    </w:p>
    <w:p w:rsidR="00012172" w:rsidRPr="00165BAC" w:rsidRDefault="00012172">
      <w:pPr>
        <w:jc w:val="both"/>
        <w:rPr>
          <w:rFonts w:ascii="Arial" w:hAnsi="Arial" w:cs="Arial"/>
          <w:sz w:val="22"/>
          <w:szCs w:val="22"/>
        </w:rPr>
      </w:pPr>
      <w:r>
        <w:rPr>
          <w:rFonts w:ascii="Arial" w:hAnsi="Arial" w:cs="Arial"/>
          <w:sz w:val="22"/>
        </w:rPr>
        <w:t>Treba predvidjeti proširenje kolnika i rekonstrukciju trase na kritičnim mjestima  gdje god je to moguće. Asfaltiranje lokalnih cesta te svih ulica u naseljima uz opremanje pješačkim stazama u naseljima na dijelovima dionica s frekventnim pješačkim prometom</w:t>
      </w:r>
      <w:r>
        <w:rPr>
          <w:rFonts w:ascii="Arial" w:hAnsi="Arial" w:cs="Arial"/>
          <w:sz w:val="22"/>
          <w:szCs w:val="22"/>
        </w:rPr>
        <w:t xml:space="preserve">. </w:t>
      </w:r>
      <w:r>
        <w:rPr>
          <w:rFonts w:ascii="Arial" w:hAnsi="Arial" w:cs="Arial"/>
          <w:sz w:val="22"/>
          <w:szCs w:val="22"/>
          <w:lang w:val="en-AU"/>
        </w:rPr>
        <w:t>Poljske</w:t>
      </w:r>
      <w:r w:rsidRPr="00165BAC">
        <w:rPr>
          <w:rFonts w:ascii="Arial" w:hAnsi="Arial" w:cs="Arial"/>
          <w:sz w:val="22"/>
          <w:szCs w:val="22"/>
        </w:rPr>
        <w:t xml:space="preserve"> </w:t>
      </w:r>
      <w:r>
        <w:rPr>
          <w:rFonts w:ascii="Arial" w:hAnsi="Arial" w:cs="Arial"/>
          <w:sz w:val="22"/>
          <w:szCs w:val="22"/>
          <w:lang w:val="en-AU"/>
        </w:rPr>
        <w:t>puteve</w:t>
      </w:r>
      <w:r w:rsidRPr="00165BAC">
        <w:rPr>
          <w:rFonts w:ascii="Arial" w:hAnsi="Arial" w:cs="Arial"/>
          <w:sz w:val="22"/>
          <w:szCs w:val="22"/>
        </w:rPr>
        <w:t xml:space="preserve"> </w:t>
      </w:r>
      <w:r>
        <w:rPr>
          <w:rFonts w:ascii="Arial" w:hAnsi="Arial" w:cs="Arial"/>
          <w:sz w:val="22"/>
          <w:szCs w:val="22"/>
          <w:lang w:val="en-AU"/>
        </w:rPr>
        <w:t>i</w:t>
      </w:r>
      <w:r w:rsidRPr="00165BAC">
        <w:rPr>
          <w:rFonts w:ascii="Arial" w:hAnsi="Arial" w:cs="Arial"/>
          <w:sz w:val="22"/>
          <w:szCs w:val="22"/>
        </w:rPr>
        <w:t xml:space="preserve"> </w:t>
      </w:r>
      <w:r>
        <w:rPr>
          <w:rFonts w:ascii="Arial" w:hAnsi="Arial" w:cs="Arial"/>
          <w:sz w:val="22"/>
          <w:szCs w:val="22"/>
          <w:lang w:val="en-AU"/>
        </w:rPr>
        <w:t>nerazvrstane</w:t>
      </w:r>
      <w:r w:rsidRPr="00165BAC">
        <w:rPr>
          <w:rFonts w:ascii="Arial" w:hAnsi="Arial" w:cs="Arial"/>
          <w:sz w:val="22"/>
          <w:szCs w:val="22"/>
        </w:rPr>
        <w:t xml:space="preserve"> </w:t>
      </w:r>
      <w:r>
        <w:rPr>
          <w:rFonts w:ascii="Arial" w:hAnsi="Arial" w:cs="Arial"/>
          <w:sz w:val="22"/>
          <w:szCs w:val="22"/>
          <w:lang w:val="en-AU"/>
        </w:rPr>
        <w:t>ceste</w:t>
      </w:r>
      <w:r w:rsidRPr="00165BAC">
        <w:rPr>
          <w:rFonts w:ascii="Arial" w:hAnsi="Arial" w:cs="Arial"/>
          <w:sz w:val="22"/>
          <w:szCs w:val="22"/>
        </w:rPr>
        <w:t xml:space="preserve"> </w:t>
      </w:r>
      <w:r>
        <w:rPr>
          <w:rFonts w:ascii="Arial" w:hAnsi="Arial" w:cs="Arial"/>
          <w:sz w:val="22"/>
          <w:szCs w:val="22"/>
          <w:lang w:val="en-AU"/>
        </w:rPr>
        <w:t>potrebno</w:t>
      </w:r>
      <w:r w:rsidRPr="00165BAC">
        <w:rPr>
          <w:rFonts w:ascii="Arial" w:hAnsi="Arial" w:cs="Arial"/>
          <w:sz w:val="22"/>
          <w:szCs w:val="22"/>
        </w:rPr>
        <w:t xml:space="preserve"> </w:t>
      </w:r>
      <w:r>
        <w:rPr>
          <w:rFonts w:ascii="Arial" w:hAnsi="Arial" w:cs="Arial"/>
          <w:sz w:val="22"/>
          <w:szCs w:val="22"/>
          <w:lang w:val="en-AU"/>
        </w:rPr>
        <w:t>je</w:t>
      </w:r>
      <w:r w:rsidRPr="00165BAC">
        <w:rPr>
          <w:rFonts w:ascii="Arial" w:hAnsi="Arial" w:cs="Arial"/>
          <w:sz w:val="22"/>
          <w:szCs w:val="22"/>
        </w:rPr>
        <w:t xml:space="preserve"> </w:t>
      </w:r>
      <w:r>
        <w:rPr>
          <w:rFonts w:ascii="Arial" w:hAnsi="Arial" w:cs="Arial"/>
          <w:sz w:val="22"/>
          <w:szCs w:val="22"/>
          <w:lang w:val="en-AU"/>
        </w:rPr>
        <w:t>redovito</w:t>
      </w:r>
      <w:r w:rsidRPr="00165BAC">
        <w:rPr>
          <w:rFonts w:ascii="Arial" w:hAnsi="Arial" w:cs="Arial"/>
          <w:sz w:val="22"/>
          <w:szCs w:val="22"/>
        </w:rPr>
        <w:t xml:space="preserve"> </w:t>
      </w:r>
      <w:r>
        <w:rPr>
          <w:rFonts w:ascii="Arial" w:hAnsi="Arial" w:cs="Arial"/>
          <w:sz w:val="22"/>
          <w:szCs w:val="22"/>
          <w:lang w:val="en-AU"/>
        </w:rPr>
        <w:t>odr</w:t>
      </w:r>
      <w:r w:rsidRPr="00165BAC">
        <w:rPr>
          <w:rFonts w:ascii="Arial" w:hAnsi="Arial" w:cs="Arial"/>
          <w:sz w:val="22"/>
          <w:szCs w:val="22"/>
        </w:rPr>
        <w:t>ž</w:t>
      </w:r>
      <w:r>
        <w:rPr>
          <w:rFonts w:ascii="Arial" w:hAnsi="Arial" w:cs="Arial"/>
          <w:sz w:val="22"/>
          <w:szCs w:val="22"/>
          <w:lang w:val="en-AU"/>
        </w:rPr>
        <w:t>avati</w:t>
      </w:r>
      <w:r w:rsidRPr="00165BAC">
        <w:rPr>
          <w:rFonts w:ascii="Arial" w:hAnsi="Arial" w:cs="Arial"/>
          <w:sz w:val="22"/>
          <w:szCs w:val="22"/>
        </w:rPr>
        <w:t>.</w:t>
      </w:r>
    </w:p>
    <w:p w:rsidR="00012172" w:rsidRDefault="00012172">
      <w:pPr>
        <w:jc w:val="both"/>
        <w:rPr>
          <w:rFonts w:ascii="Arial" w:hAnsi="Arial" w:cs="Arial"/>
          <w:sz w:val="22"/>
          <w:szCs w:val="22"/>
        </w:rPr>
      </w:pPr>
    </w:p>
    <w:p w:rsidR="00012172" w:rsidRPr="00165BAC" w:rsidRDefault="00012172">
      <w:pPr>
        <w:jc w:val="both"/>
        <w:rPr>
          <w:b/>
          <w:szCs w:val="22"/>
        </w:rPr>
      </w:pPr>
    </w:p>
    <w:p w:rsidR="00012172" w:rsidRPr="00640D9A" w:rsidRDefault="00012172" w:rsidP="00640D9A">
      <w:pPr>
        <w:rPr>
          <w:rFonts w:ascii="Arial" w:hAnsi="Arial" w:cs="Arial"/>
          <w:b/>
          <w:bCs/>
          <w:sz w:val="22"/>
        </w:rPr>
      </w:pPr>
      <w:r w:rsidRPr="00640D9A">
        <w:rPr>
          <w:rFonts w:ascii="Arial" w:hAnsi="Arial" w:cs="Arial"/>
          <w:b/>
          <w:bCs/>
          <w:sz w:val="22"/>
        </w:rPr>
        <w:t>Razvoj komunalne infrastrukture</w:t>
      </w:r>
    </w:p>
    <w:p w:rsidR="00012172" w:rsidRDefault="00012172">
      <w:pPr>
        <w:jc w:val="both"/>
        <w:rPr>
          <w:b/>
          <w:szCs w:val="22"/>
        </w:rPr>
      </w:pPr>
    </w:p>
    <w:p w:rsidR="00012172" w:rsidRDefault="00012172">
      <w:pPr>
        <w:rPr>
          <w:rFonts w:ascii="Arial" w:hAnsi="Arial" w:cs="Arial"/>
          <w:sz w:val="22"/>
          <w:szCs w:val="22"/>
        </w:rPr>
      </w:pPr>
      <w:r>
        <w:rPr>
          <w:rFonts w:ascii="Arial" w:hAnsi="Arial" w:cs="Arial"/>
          <w:sz w:val="22"/>
          <w:szCs w:val="22"/>
          <w:lang w:val="de-DE"/>
        </w:rPr>
        <w:t>Vodoopskrba</w:t>
      </w:r>
    </w:p>
    <w:p w:rsidR="00012172" w:rsidRDefault="00012172">
      <w:pPr>
        <w:jc w:val="both"/>
        <w:rPr>
          <w:rFonts w:ascii="Arial" w:hAnsi="Arial" w:cs="Arial"/>
          <w:sz w:val="22"/>
          <w:szCs w:val="22"/>
        </w:rPr>
      </w:pPr>
      <w:r>
        <w:rPr>
          <w:rFonts w:ascii="Arial" w:hAnsi="Arial" w:cs="Arial"/>
          <w:sz w:val="22"/>
          <w:szCs w:val="22"/>
          <w:lang w:val="de-DE"/>
        </w:rPr>
        <w:t>Na</w:t>
      </w:r>
      <w:r>
        <w:rPr>
          <w:rFonts w:ascii="Arial" w:hAnsi="Arial" w:cs="Arial"/>
          <w:sz w:val="22"/>
          <w:szCs w:val="22"/>
        </w:rPr>
        <w:t xml:space="preserve"> </w:t>
      </w:r>
      <w:r>
        <w:rPr>
          <w:rFonts w:ascii="Arial" w:hAnsi="Arial" w:cs="Arial"/>
          <w:sz w:val="22"/>
          <w:szCs w:val="22"/>
          <w:lang w:val="de-DE"/>
        </w:rPr>
        <w:t>podru</w:t>
      </w:r>
      <w:r>
        <w:rPr>
          <w:rFonts w:ascii="Arial" w:hAnsi="Arial" w:cs="Arial"/>
          <w:sz w:val="22"/>
          <w:szCs w:val="22"/>
        </w:rPr>
        <w:t>č</w:t>
      </w:r>
      <w:r>
        <w:rPr>
          <w:rFonts w:ascii="Arial" w:hAnsi="Arial" w:cs="Arial"/>
          <w:sz w:val="22"/>
          <w:szCs w:val="22"/>
          <w:lang w:val="de-DE"/>
        </w:rPr>
        <w:t>ju</w:t>
      </w:r>
      <w:r>
        <w:rPr>
          <w:rFonts w:ascii="Arial" w:hAnsi="Arial" w:cs="Arial"/>
          <w:sz w:val="22"/>
          <w:szCs w:val="22"/>
        </w:rPr>
        <w:t xml:space="preserve"> </w:t>
      </w:r>
      <w:r>
        <w:rPr>
          <w:rFonts w:ascii="Arial" w:hAnsi="Arial" w:cs="Arial"/>
          <w:sz w:val="22"/>
          <w:szCs w:val="22"/>
          <w:lang w:val="de-DE"/>
        </w:rPr>
        <w:t>op</w:t>
      </w:r>
      <w:r>
        <w:rPr>
          <w:rFonts w:ascii="Arial" w:hAnsi="Arial" w:cs="Arial"/>
          <w:sz w:val="22"/>
          <w:szCs w:val="22"/>
        </w:rPr>
        <w:t>ć</w:t>
      </w:r>
      <w:r>
        <w:rPr>
          <w:rFonts w:ascii="Arial" w:hAnsi="Arial" w:cs="Arial"/>
          <w:sz w:val="22"/>
          <w:szCs w:val="22"/>
          <w:lang w:val="de-DE"/>
        </w:rPr>
        <w:t>ine</w:t>
      </w:r>
      <w:r>
        <w:rPr>
          <w:rFonts w:ascii="Arial" w:hAnsi="Arial" w:cs="Arial"/>
          <w:sz w:val="22"/>
          <w:szCs w:val="22"/>
        </w:rPr>
        <w:t xml:space="preserve"> </w:t>
      </w:r>
      <w:r>
        <w:rPr>
          <w:rFonts w:ascii="Arial" w:hAnsi="Arial" w:cs="Arial"/>
          <w:sz w:val="22"/>
          <w:szCs w:val="22"/>
          <w:lang w:val="de-DE"/>
        </w:rPr>
        <w:t>u</w:t>
      </w:r>
      <w:r>
        <w:rPr>
          <w:rFonts w:ascii="Arial" w:hAnsi="Arial" w:cs="Arial"/>
          <w:sz w:val="22"/>
          <w:szCs w:val="22"/>
        </w:rPr>
        <w:t xml:space="preserve"> </w:t>
      </w:r>
      <w:r>
        <w:rPr>
          <w:rFonts w:ascii="Arial" w:hAnsi="Arial" w:cs="Arial"/>
          <w:sz w:val="22"/>
          <w:szCs w:val="22"/>
          <w:lang w:val="de-DE"/>
        </w:rPr>
        <w:t>tijeku</w:t>
      </w:r>
      <w:r>
        <w:rPr>
          <w:rFonts w:ascii="Arial" w:hAnsi="Arial" w:cs="Arial"/>
          <w:sz w:val="22"/>
          <w:szCs w:val="22"/>
        </w:rPr>
        <w:t xml:space="preserve"> </w:t>
      </w:r>
      <w:r>
        <w:rPr>
          <w:rFonts w:ascii="Arial" w:hAnsi="Arial" w:cs="Arial"/>
          <w:sz w:val="22"/>
          <w:szCs w:val="22"/>
          <w:lang w:val="de-DE"/>
        </w:rPr>
        <w:t>je</w:t>
      </w:r>
      <w:r>
        <w:rPr>
          <w:rFonts w:ascii="Arial" w:hAnsi="Arial" w:cs="Arial"/>
          <w:sz w:val="22"/>
          <w:szCs w:val="22"/>
        </w:rPr>
        <w:t xml:space="preserve"> </w:t>
      </w:r>
      <w:r>
        <w:rPr>
          <w:rFonts w:ascii="Arial" w:hAnsi="Arial" w:cs="Arial"/>
          <w:sz w:val="22"/>
          <w:szCs w:val="22"/>
          <w:lang w:val="de-DE"/>
        </w:rPr>
        <w:t>uspostava</w:t>
      </w:r>
      <w:r>
        <w:rPr>
          <w:rFonts w:ascii="Arial" w:hAnsi="Arial" w:cs="Arial"/>
          <w:sz w:val="22"/>
          <w:szCs w:val="22"/>
        </w:rPr>
        <w:t xml:space="preserve"> </w:t>
      </w:r>
      <w:r>
        <w:rPr>
          <w:rFonts w:ascii="Arial" w:hAnsi="Arial" w:cs="Arial"/>
          <w:sz w:val="22"/>
          <w:szCs w:val="22"/>
          <w:lang w:val="de-DE"/>
        </w:rPr>
        <w:t>sustava</w:t>
      </w:r>
      <w:r>
        <w:rPr>
          <w:rFonts w:ascii="Arial" w:hAnsi="Arial" w:cs="Arial"/>
          <w:sz w:val="22"/>
          <w:szCs w:val="22"/>
        </w:rPr>
        <w:t xml:space="preserve"> </w:t>
      </w:r>
      <w:r>
        <w:rPr>
          <w:rFonts w:ascii="Arial" w:hAnsi="Arial" w:cs="Arial"/>
          <w:sz w:val="22"/>
          <w:szCs w:val="22"/>
          <w:lang w:val="de-DE"/>
        </w:rPr>
        <w:t>javne</w:t>
      </w:r>
      <w:r>
        <w:rPr>
          <w:rFonts w:ascii="Arial" w:hAnsi="Arial" w:cs="Arial"/>
          <w:sz w:val="22"/>
          <w:szCs w:val="22"/>
        </w:rPr>
        <w:t xml:space="preserve"> </w:t>
      </w:r>
      <w:r>
        <w:rPr>
          <w:rFonts w:ascii="Arial" w:hAnsi="Arial" w:cs="Arial"/>
          <w:sz w:val="22"/>
          <w:szCs w:val="22"/>
          <w:lang w:val="de-DE"/>
        </w:rPr>
        <w:t>vodoopskrbe</w:t>
      </w:r>
      <w:r>
        <w:rPr>
          <w:rFonts w:ascii="Arial" w:hAnsi="Arial" w:cs="Arial"/>
          <w:sz w:val="22"/>
          <w:szCs w:val="22"/>
        </w:rPr>
        <w:t xml:space="preserve">. </w:t>
      </w:r>
      <w:r>
        <w:rPr>
          <w:rFonts w:ascii="Arial" w:hAnsi="Arial" w:cs="Arial"/>
          <w:sz w:val="22"/>
          <w:szCs w:val="22"/>
          <w:lang w:val="de-DE"/>
        </w:rPr>
        <w:t>Cilj</w:t>
      </w:r>
      <w:r>
        <w:rPr>
          <w:rFonts w:ascii="Arial" w:hAnsi="Arial" w:cs="Arial"/>
          <w:sz w:val="22"/>
          <w:szCs w:val="22"/>
        </w:rPr>
        <w:t xml:space="preserve"> </w:t>
      </w:r>
      <w:r>
        <w:rPr>
          <w:rFonts w:ascii="Arial" w:hAnsi="Arial" w:cs="Arial"/>
          <w:sz w:val="22"/>
          <w:szCs w:val="22"/>
          <w:lang w:val="de-DE"/>
        </w:rPr>
        <w:t>je</w:t>
      </w:r>
      <w:r>
        <w:rPr>
          <w:rFonts w:ascii="Arial" w:hAnsi="Arial" w:cs="Arial"/>
          <w:sz w:val="22"/>
          <w:szCs w:val="22"/>
        </w:rPr>
        <w:t xml:space="preserve"> izgradnja magistralne  vodoopskrbne mreže i povezivanje svih naselja u jedinstveni prsten te povezivanje sa vodoopskrbnim sustavom susjednih općina, odnosno Varaždinske županije. Krajnji cilj je daljnji razvoj sekundarne vodoopskrbne mreže.</w:t>
      </w:r>
    </w:p>
    <w:p w:rsidR="00012172" w:rsidRDefault="00012172">
      <w:pPr>
        <w:rPr>
          <w:rFonts w:ascii="Arial" w:hAnsi="Arial" w:cs="Arial"/>
          <w:sz w:val="22"/>
          <w:szCs w:val="22"/>
        </w:rPr>
      </w:pPr>
    </w:p>
    <w:p w:rsidR="00012172" w:rsidRDefault="00012172">
      <w:pPr>
        <w:pStyle w:val="StandardWeb"/>
        <w:spacing w:before="0" w:beforeAutospacing="0" w:after="0" w:afterAutospacing="0"/>
        <w:rPr>
          <w:rFonts w:ascii="Arial" w:hAnsi="Arial" w:cs="Arial"/>
          <w:sz w:val="22"/>
          <w:szCs w:val="22"/>
        </w:rPr>
      </w:pPr>
      <w:r>
        <w:rPr>
          <w:rFonts w:ascii="Arial" w:hAnsi="Arial" w:cs="Arial"/>
          <w:sz w:val="22"/>
          <w:szCs w:val="22"/>
          <w:lang w:val="de-DE"/>
        </w:rPr>
        <w:t>Odvodnja</w:t>
      </w:r>
    </w:p>
    <w:p w:rsidR="00012172" w:rsidRDefault="00012172">
      <w:pPr>
        <w:jc w:val="both"/>
        <w:rPr>
          <w:rFonts w:ascii="Arial" w:hAnsi="Arial" w:cs="Arial"/>
          <w:sz w:val="22"/>
          <w:szCs w:val="22"/>
        </w:rPr>
      </w:pPr>
      <w:r>
        <w:rPr>
          <w:rFonts w:ascii="Arial" w:hAnsi="Arial" w:cs="Arial"/>
          <w:sz w:val="22"/>
          <w:szCs w:val="22"/>
        </w:rPr>
        <w:t>Usporedo s razvojem vodoopskrbe potrebno je rješavati pitanje zbrinjavanja otpadnih voda te osigurati priključenje svih domaćinstava i privrednih subjekata na sustav odvodnje.</w:t>
      </w:r>
      <w:r>
        <w:rPr>
          <w:szCs w:val="22"/>
        </w:rPr>
        <w:t xml:space="preserve"> </w:t>
      </w:r>
      <w:r>
        <w:rPr>
          <w:rFonts w:ascii="Arial" w:hAnsi="Arial" w:cs="Arial"/>
          <w:sz w:val="22"/>
          <w:szCs w:val="22"/>
        </w:rPr>
        <w:t>Komunalnim mjerama odrediti zabranu ispuštanja otpadnih voda u vodotoke i kanale, te kontrolirati provođenje istih.</w:t>
      </w:r>
    </w:p>
    <w:p w:rsidR="00012172" w:rsidRDefault="00012172">
      <w:pPr>
        <w:pStyle w:val="Tijeloteksta2"/>
        <w:ind w:left="0" w:firstLine="0"/>
        <w:rPr>
          <w:sz w:val="22"/>
        </w:rPr>
      </w:pPr>
      <w:r>
        <w:rPr>
          <w:sz w:val="22"/>
        </w:rPr>
        <w:t>Trenutno je Studija zaštite voda Koprivničko-križevačke županije u izradi i  trebala bi tijekom godine biti usvojena. Studija će predložiti osnovna koncepcijska rješenja odvodnje i pročišćavanja otpadnih voda svih gradova i naseljenih mjesta, te definirati uvjeti ispuštanja vode u prijemnike. Predstavljati će koncepcijsku osnovu za planiranje, razvitak, pogon i održavanje sustava odvodnje te za sustavno provođenje zaštite voda cijelog područja Koprivničko-križevačke županije.</w:t>
      </w:r>
    </w:p>
    <w:p w:rsidR="00012172" w:rsidRDefault="00012172">
      <w:pPr>
        <w:jc w:val="both"/>
        <w:rPr>
          <w:sz w:val="22"/>
          <w:szCs w:val="22"/>
        </w:rPr>
      </w:pPr>
    </w:p>
    <w:p w:rsidR="00012172" w:rsidRDefault="00012172">
      <w:pPr>
        <w:rPr>
          <w:rFonts w:ascii="Arial" w:hAnsi="Arial" w:cs="Arial"/>
          <w:sz w:val="22"/>
          <w:szCs w:val="22"/>
        </w:rPr>
      </w:pPr>
    </w:p>
    <w:p w:rsidR="00012172" w:rsidRDefault="00012172">
      <w:pPr>
        <w:rPr>
          <w:rFonts w:ascii="Arial" w:hAnsi="Arial" w:cs="Arial"/>
          <w:sz w:val="22"/>
          <w:szCs w:val="22"/>
        </w:rPr>
      </w:pPr>
      <w:r>
        <w:rPr>
          <w:rFonts w:ascii="Arial" w:hAnsi="Arial" w:cs="Arial"/>
          <w:sz w:val="22"/>
          <w:szCs w:val="22"/>
          <w:lang w:val="en-AU"/>
        </w:rPr>
        <w:t>Elektroopskrba</w:t>
      </w:r>
    </w:p>
    <w:p w:rsidR="00012172" w:rsidRDefault="00012172">
      <w:pPr>
        <w:jc w:val="both"/>
        <w:rPr>
          <w:rFonts w:ascii="Arial" w:hAnsi="Arial" w:cs="Arial"/>
          <w:sz w:val="22"/>
          <w:szCs w:val="22"/>
        </w:rPr>
      </w:pPr>
      <w:r>
        <w:rPr>
          <w:rFonts w:ascii="Arial" w:hAnsi="Arial" w:cs="Arial"/>
          <w:sz w:val="22"/>
          <w:szCs w:val="22"/>
          <w:lang w:val="en-AU"/>
        </w:rPr>
        <w:t>Energetske</w:t>
      </w:r>
      <w:r>
        <w:rPr>
          <w:rFonts w:ascii="Arial" w:hAnsi="Arial" w:cs="Arial"/>
          <w:sz w:val="22"/>
          <w:szCs w:val="22"/>
        </w:rPr>
        <w:t xml:space="preserve"> </w:t>
      </w:r>
      <w:r>
        <w:rPr>
          <w:rFonts w:ascii="Arial" w:hAnsi="Arial" w:cs="Arial"/>
          <w:sz w:val="22"/>
          <w:szCs w:val="22"/>
          <w:lang w:val="en-AU"/>
        </w:rPr>
        <w:t>potrebe</w:t>
      </w:r>
      <w:r>
        <w:rPr>
          <w:rFonts w:ascii="Arial" w:hAnsi="Arial" w:cs="Arial"/>
          <w:sz w:val="22"/>
          <w:szCs w:val="22"/>
        </w:rPr>
        <w:t xml:space="preserve"> </w:t>
      </w:r>
      <w:r>
        <w:rPr>
          <w:rFonts w:ascii="Arial" w:hAnsi="Arial" w:cs="Arial"/>
          <w:sz w:val="22"/>
          <w:szCs w:val="22"/>
          <w:lang w:val="en-AU"/>
        </w:rPr>
        <w:t>od</w:t>
      </w:r>
      <w:r>
        <w:rPr>
          <w:rFonts w:ascii="Arial" w:hAnsi="Arial" w:cs="Arial"/>
          <w:sz w:val="22"/>
          <w:szCs w:val="22"/>
        </w:rPr>
        <w:t xml:space="preserve"> </w:t>
      </w:r>
      <w:r>
        <w:rPr>
          <w:rFonts w:ascii="Arial" w:hAnsi="Arial" w:cs="Arial"/>
          <w:sz w:val="22"/>
          <w:szCs w:val="22"/>
          <w:lang w:val="en-AU"/>
        </w:rPr>
        <w:t>op</w:t>
      </w:r>
      <w:r>
        <w:rPr>
          <w:rFonts w:ascii="Arial" w:hAnsi="Arial" w:cs="Arial"/>
          <w:sz w:val="22"/>
          <w:szCs w:val="22"/>
        </w:rPr>
        <w:t>ć</w:t>
      </w:r>
      <w:r>
        <w:rPr>
          <w:rFonts w:ascii="Arial" w:hAnsi="Arial" w:cs="Arial"/>
          <w:sz w:val="22"/>
          <w:szCs w:val="22"/>
          <w:lang w:val="en-AU"/>
        </w:rPr>
        <w:t>inskog</w:t>
      </w:r>
      <w:r>
        <w:rPr>
          <w:rFonts w:ascii="Arial" w:hAnsi="Arial" w:cs="Arial"/>
          <w:sz w:val="22"/>
          <w:szCs w:val="22"/>
        </w:rPr>
        <w:t xml:space="preserve"> </w:t>
      </w:r>
      <w:r>
        <w:rPr>
          <w:rFonts w:ascii="Arial" w:hAnsi="Arial" w:cs="Arial"/>
          <w:sz w:val="22"/>
          <w:szCs w:val="22"/>
          <w:lang w:val="en-AU"/>
        </w:rPr>
        <w:t>zna</w:t>
      </w:r>
      <w:r>
        <w:rPr>
          <w:rFonts w:ascii="Arial" w:hAnsi="Arial" w:cs="Arial"/>
          <w:sz w:val="22"/>
          <w:szCs w:val="22"/>
        </w:rPr>
        <w:t>č</w:t>
      </w:r>
      <w:r>
        <w:rPr>
          <w:rFonts w:ascii="Arial" w:hAnsi="Arial" w:cs="Arial"/>
          <w:sz w:val="22"/>
          <w:szCs w:val="22"/>
          <w:lang w:val="en-AU"/>
        </w:rPr>
        <w:t>aja</w:t>
      </w:r>
      <w:r>
        <w:rPr>
          <w:rFonts w:ascii="Arial" w:hAnsi="Arial" w:cs="Arial"/>
          <w:sz w:val="22"/>
          <w:szCs w:val="22"/>
        </w:rPr>
        <w:t xml:space="preserve"> </w:t>
      </w:r>
      <w:r>
        <w:rPr>
          <w:rFonts w:ascii="Arial" w:hAnsi="Arial" w:cs="Arial"/>
          <w:sz w:val="22"/>
          <w:szCs w:val="22"/>
          <w:lang w:val="en-AU"/>
        </w:rPr>
        <w:t>sastoje</w:t>
      </w:r>
      <w:r>
        <w:rPr>
          <w:rFonts w:ascii="Arial" w:hAnsi="Arial" w:cs="Arial"/>
          <w:sz w:val="22"/>
          <w:szCs w:val="22"/>
        </w:rPr>
        <w:t xml:space="preserve"> </w:t>
      </w:r>
      <w:r>
        <w:rPr>
          <w:rFonts w:ascii="Arial" w:hAnsi="Arial" w:cs="Arial"/>
          <w:sz w:val="22"/>
          <w:szCs w:val="22"/>
          <w:lang w:val="en-AU"/>
        </w:rPr>
        <w:t>se</w:t>
      </w:r>
      <w:r>
        <w:rPr>
          <w:rFonts w:ascii="Arial" w:hAnsi="Arial" w:cs="Arial"/>
          <w:sz w:val="22"/>
          <w:szCs w:val="22"/>
        </w:rPr>
        <w:t xml:space="preserve">, </w:t>
      </w:r>
      <w:r>
        <w:rPr>
          <w:rFonts w:ascii="Arial" w:hAnsi="Arial" w:cs="Arial"/>
          <w:sz w:val="22"/>
          <w:szCs w:val="22"/>
          <w:lang w:val="en-AU"/>
        </w:rPr>
        <w:t>izme</w:t>
      </w:r>
      <w:r>
        <w:rPr>
          <w:rFonts w:ascii="Arial" w:hAnsi="Arial" w:cs="Arial"/>
          <w:sz w:val="22"/>
          <w:szCs w:val="22"/>
        </w:rPr>
        <w:t>đ</w:t>
      </w:r>
      <w:r>
        <w:rPr>
          <w:rFonts w:ascii="Arial" w:hAnsi="Arial" w:cs="Arial"/>
          <w:sz w:val="22"/>
          <w:szCs w:val="22"/>
          <w:lang w:val="en-AU"/>
        </w:rPr>
        <w:t>u</w:t>
      </w:r>
      <w:r>
        <w:rPr>
          <w:rFonts w:ascii="Arial" w:hAnsi="Arial" w:cs="Arial"/>
          <w:sz w:val="22"/>
          <w:szCs w:val="22"/>
        </w:rPr>
        <w:t xml:space="preserve"> </w:t>
      </w:r>
      <w:r>
        <w:rPr>
          <w:rFonts w:ascii="Arial" w:hAnsi="Arial" w:cs="Arial"/>
          <w:sz w:val="22"/>
          <w:szCs w:val="22"/>
          <w:lang w:val="en-AU"/>
        </w:rPr>
        <w:t>ostalog</w:t>
      </w:r>
      <w:r>
        <w:rPr>
          <w:rFonts w:ascii="Arial" w:hAnsi="Arial" w:cs="Arial"/>
          <w:sz w:val="22"/>
          <w:szCs w:val="22"/>
        </w:rPr>
        <w:t xml:space="preserve">, </w:t>
      </w:r>
      <w:r>
        <w:rPr>
          <w:rFonts w:ascii="Arial" w:hAnsi="Arial" w:cs="Arial"/>
          <w:sz w:val="22"/>
          <w:szCs w:val="22"/>
          <w:lang w:val="en-AU"/>
        </w:rPr>
        <w:t>od</w:t>
      </w:r>
      <w:r>
        <w:rPr>
          <w:rFonts w:ascii="Arial" w:hAnsi="Arial" w:cs="Arial"/>
          <w:sz w:val="22"/>
          <w:szCs w:val="22"/>
        </w:rPr>
        <w:t xml:space="preserve"> </w:t>
      </w:r>
      <w:r>
        <w:rPr>
          <w:rFonts w:ascii="Arial" w:hAnsi="Arial" w:cs="Arial"/>
          <w:sz w:val="22"/>
          <w:szCs w:val="22"/>
          <w:lang w:val="en-AU"/>
        </w:rPr>
        <w:t>osiguranja</w:t>
      </w:r>
      <w:r>
        <w:rPr>
          <w:rFonts w:ascii="Arial" w:hAnsi="Arial" w:cs="Arial"/>
          <w:sz w:val="22"/>
          <w:szCs w:val="22"/>
        </w:rPr>
        <w:t xml:space="preserve"> </w:t>
      </w:r>
      <w:r>
        <w:rPr>
          <w:rFonts w:ascii="Arial" w:hAnsi="Arial" w:cs="Arial"/>
          <w:sz w:val="22"/>
          <w:szCs w:val="22"/>
          <w:lang w:val="en-AU"/>
        </w:rPr>
        <w:t>kvalitetne</w:t>
      </w:r>
      <w:r>
        <w:rPr>
          <w:rFonts w:ascii="Arial" w:hAnsi="Arial" w:cs="Arial"/>
          <w:sz w:val="22"/>
          <w:szCs w:val="22"/>
        </w:rPr>
        <w:t xml:space="preserve"> </w:t>
      </w:r>
      <w:r>
        <w:rPr>
          <w:rFonts w:ascii="Arial" w:hAnsi="Arial" w:cs="Arial"/>
          <w:sz w:val="22"/>
          <w:szCs w:val="22"/>
          <w:lang w:val="en-AU"/>
        </w:rPr>
        <w:t>usluge</w:t>
      </w:r>
      <w:r>
        <w:rPr>
          <w:rFonts w:ascii="Arial" w:hAnsi="Arial" w:cs="Arial"/>
          <w:sz w:val="22"/>
          <w:szCs w:val="22"/>
        </w:rPr>
        <w:t xml:space="preserve"> </w:t>
      </w:r>
      <w:r>
        <w:rPr>
          <w:rFonts w:ascii="Arial" w:hAnsi="Arial" w:cs="Arial"/>
          <w:sz w:val="22"/>
          <w:szCs w:val="22"/>
          <w:lang w:val="en-AU"/>
        </w:rPr>
        <w:t>opskrbe</w:t>
      </w:r>
      <w:r>
        <w:rPr>
          <w:rFonts w:ascii="Arial" w:hAnsi="Arial" w:cs="Arial"/>
          <w:sz w:val="22"/>
          <w:szCs w:val="22"/>
        </w:rPr>
        <w:t xml:space="preserve"> </w:t>
      </w:r>
      <w:r>
        <w:rPr>
          <w:rFonts w:ascii="Arial" w:hAnsi="Arial" w:cs="Arial"/>
          <w:sz w:val="22"/>
          <w:szCs w:val="22"/>
          <w:lang w:val="en-AU"/>
        </w:rPr>
        <w:t>elektri</w:t>
      </w:r>
      <w:r>
        <w:rPr>
          <w:rFonts w:ascii="Arial" w:hAnsi="Arial" w:cs="Arial"/>
          <w:sz w:val="22"/>
          <w:szCs w:val="22"/>
        </w:rPr>
        <w:t>č</w:t>
      </w:r>
      <w:r>
        <w:rPr>
          <w:rFonts w:ascii="Arial" w:hAnsi="Arial" w:cs="Arial"/>
          <w:sz w:val="22"/>
          <w:szCs w:val="22"/>
          <w:lang w:val="en-AU"/>
        </w:rPr>
        <w:t>nom</w:t>
      </w:r>
      <w:r>
        <w:rPr>
          <w:rFonts w:ascii="Arial" w:hAnsi="Arial" w:cs="Arial"/>
          <w:sz w:val="22"/>
          <w:szCs w:val="22"/>
        </w:rPr>
        <w:t xml:space="preserve"> </w:t>
      </w:r>
      <w:r>
        <w:rPr>
          <w:rFonts w:ascii="Arial" w:hAnsi="Arial" w:cs="Arial"/>
          <w:sz w:val="22"/>
          <w:szCs w:val="22"/>
          <w:lang w:val="en-AU"/>
        </w:rPr>
        <w:t>energijom</w:t>
      </w:r>
      <w:r>
        <w:rPr>
          <w:rFonts w:ascii="Arial" w:hAnsi="Arial" w:cs="Arial"/>
          <w:sz w:val="22"/>
          <w:szCs w:val="22"/>
        </w:rPr>
        <w:t xml:space="preserve"> </w:t>
      </w:r>
      <w:r>
        <w:rPr>
          <w:rFonts w:ascii="Arial" w:hAnsi="Arial" w:cs="Arial"/>
          <w:sz w:val="22"/>
          <w:szCs w:val="22"/>
          <w:lang w:val="en-AU"/>
        </w:rPr>
        <w:t>za</w:t>
      </w:r>
      <w:r>
        <w:rPr>
          <w:rFonts w:ascii="Arial" w:hAnsi="Arial" w:cs="Arial"/>
          <w:sz w:val="22"/>
          <w:szCs w:val="22"/>
        </w:rPr>
        <w:t xml:space="preserve"> </w:t>
      </w:r>
      <w:r>
        <w:rPr>
          <w:rFonts w:ascii="Arial" w:hAnsi="Arial" w:cs="Arial"/>
          <w:sz w:val="22"/>
          <w:szCs w:val="22"/>
          <w:lang w:val="en-AU"/>
        </w:rPr>
        <w:t>sva</w:t>
      </w:r>
      <w:r>
        <w:rPr>
          <w:rFonts w:ascii="Arial" w:hAnsi="Arial" w:cs="Arial"/>
          <w:sz w:val="22"/>
          <w:szCs w:val="22"/>
        </w:rPr>
        <w:t xml:space="preserve"> </w:t>
      </w:r>
      <w:r>
        <w:rPr>
          <w:rFonts w:ascii="Arial" w:hAnsi="Arial" w:cs="Arial"/>
          <w:sz w:val="22"/>
          <w:szCs w:val="22"/>
          <w:lang w:val="en-AU"/>
        </w:rPr>
        <w:t>doma</w:t>
      </w:r>
      <w:r>
        <w:rPr>
          <w:rFonts w:ascii="Arial" w:hAnsi="Arial" w:cs="Arial"/>
          <w:sz w:val="22"/>
          <w:szCs w:val="22"/>
        </w:rPr>
        <w:t>ć</w:t>
      </w:r>
      <w:r>
        <w:rPr>
          <w:rFonts w:ascii="Arial" w:hAnsi="Arial" w:cs="Arial"/>
          <w:sz w:val="22"/>
          <w:szCs w:val="22"/>
          <w:lang w:val="en-AU"/>
        </w:rPr>
        <w:t>instva</w:t>
      </w:r>
      <w:r>
        <w:rPr>
          <w:rFonts w:ascii="Arial" w:hAnsi="Arial" w:cs="Arial"/>
          <w:sz w:val="22"/>
          <w:szCs w:val="22"/>
        </w:rPr>
        <w:t xml:space="preserve"> </w:t>
      </w:r>
      <w:r>
        <w:rPr>
          <w:rFonts w:ascii="Arial" w:hAnsi="Arial" w:cs="Arial"/>
          <w:sz w:val="22"/>
          <w:szCs w:val="22"/>
          <w:lang w:val="en-AU"/>
        </w:rPr>
        <w:t>na</w:t>
      </w:r>
      <w:r>
        <w:rPr>
          <w:rFonts w:ascii="Arial" w:hAnsi="Arial" w:cs="Arial"/>
          <w:sz w:val="22"/>
          <w:szCs w:val="22"/>
        </w:rPr>
        <w:t xml:space="preserve"> </w:t>
      </w:r>
      <w:r>
        <w:rPr>
          <w:rFonts w:ascii="Arial" w:hAnsi="Arial" w:cs="Arial"/>
          <w:sz w:val="22"/>
          <w:szCs w:val="22"/>
          <w:lang w:val="en-AU"/>
        </w:rPr>
        <w:t>podru</w:t>
      </w:r>
      <w:r>
        <w:rPr>
          <w:rFonts w:ascii="Arial" w:hAnsi="Arial" w:cs="Arial"/>
          <w:sz w:val="22"/>
          <w:szCs w:val="22"/>
        </w:rPr>
        <w:t>č</w:t>
      </w:r>
      <w:r>
        <w:rPr>
          <w:rFonts w:ascii="Arial" w:hAnsi="Arial" w:cs="Arial"/>
          <w:sz w:val="22"/>
          <w:szCs w:val="22"/>
          <w:lang w:val="en-AU"/>
        </w:rPr>
        <w:t>ju</w:t>
      </w:r>
      <w:r>
        <w:rPr>
          <w:rFonts w:ascii="Arial" w:hAnsi="Arial" w:cs="Arial"/>
          <w:sz w:val="22"/>
          <w:szCs w:val="22"/>
        </w:rPr>
        <w:t xml:space="preserve"> </w:t>
      </w:r>
      <w:r>
        <w:rPr>
          <w:rFonts w:ascii="Arial" w:hAnsi="Arial" w:cs="Arial"/>
          <w:sz w:val="22"/>
          <w:szCs w:val="22"/>
          <w:lang w:val="en-AU"/>
        </w:rPr>
        <w:t>op</w:t>
      </w:r>
      <w:r>
        <w:rPr>
          <w:rFonts w:ascii="Arial" w:hAnsi="Arial" w:cs="Arial"/>
          <w:sz w:val="22"/>
          <w:szCs w:val="22"/>
        </w:rPr>
        <w:t>ć</w:t>
      </w:r>
      <w:r>
        <w:rPr>
          <w:rFonts w:ascii="Arial" w:hAnsi="Arial" w:cs="Arial"/>
          <w:sz w:val="22"/>
          <w:szCs w:val="22"/>
          <w:lang w:val="en-AU"/>
        </w:rPr>
        <w:t>ine</w:t>
      </w:r>
      <w:r>
        <w:rPr>
          <w:rFonts w:ascii="Arial" w:hAnsi="Arial" w:cs="Arial"/>
          <w:sz w:val="22"/>
          <w:szCs w:val="22"/>
        </w:rPr>
        <w:t xml:space="preserve">, </w:t>
      </w:r>
      <w:r>
        <w:rPr>
          <w:rFonts w:ascii="Arial" w:hAnsi="Arial" w:cs="Arial"/>
          <w:sz w:val="22"/>
          <w:szCs w:val="22"/>
          <w:lang w:val="en-AU"/>
        </w:rPr>
        <w:t>te</w:t>
      </w:r>
      <w:r>
        <w:rPr>
          <w:rFonts w:ascii="Arial" w:hAnsi="Arial" w:cs="Arial"/>
          <w:sz w:val="22"/>
          <w:szCs w:val="22"/>
        </w:rPr>
        <w:t xml:space="preserve"> </w:t>
      </w:r>
      <w:r>
        <w:rPr>
          <w:rFonts w:ascii="Arial" w:hAnsi="Arial" w:cs="Arial"/>
          <w:sz w:val="22"/>
          <w:szCs w:val="22"/>
          <w:lang w:val="en-AU"/>
        </w:rPr>
        <w:t>unutar</w:t>
      </w:r>
      <w:r>
        <w:rPr>
          <w:rFonts w:ascii="Arial" w:hAnsi="Arial" w:cs="Arial"/>
          <w:sz w:val="22"/>
          <w:szCs w:val="22"/>
        </w:rPr>
        <w:t xml:space="preserve"> </w:t>
      </w:r>
      <w:r>
        <w:rPr>
          <w:rFonts w:ascii="Arial" w:hAnsi="Arial" w:cs="Arial"/>
          <w:sz w:val="22"/>
          <w:szCs w:val="22"/>
          <w:lang w:val="en-AU"/>
        </w:rPr>
        <w:t>planiranih</w:t>
      </w:r>
      <w:r>
        <w:rPr>
          <w:rFonts w:ascii="Arial" w:hAnsi="Arial" w:cs="Arial"/>
          <w:sz w:val="22"/>
          <w:szCs w:val="22"/>
        </w:rPr>
        <w:t xml:space="preserve"> </w:t>
      </w:r>
      <w:r>
        <w:rPr>
          <w:rFonts w:ascii="Arial" w:hAnsi="Arial" w:cs="Arial"/>
          <w:sz w:val="22"/>
          <w:szCs w:val="22"/>
          <w:lang w:val="en-AU"/>
        </w:rPr>
        <w:t>gospodarskih</w:t>
      </w:r>
      <w:r>
        <w:rPr>
          <w:rFonts w:ascii="Arial" w:hAnsi="Arial" w:cs="Arial"/>
          <w:sz w:val="22"/>
          <w:szCs w:val="22"/>
        </w:rPr>
        <w:t xml:space="preserve"> </w:t>
      </w:r>
      <w:r>
        <w:rPr>
          <w:rFonts w:ascii="Arial" w:hAnsi="Arial" w:cs="Arial"/>
          <w:sz w:val="22"/>
          <w:szCs w:val="22"/>
          <w:lang w:val="en-AU"/>
        </w:rPr>
        <w:t>zona</w:t>
      </w:r>
      <w:r>
        <w:rPr>
          <w:rFonts w:ascii="Arial" w:hAnsi="Arial" w:cs="Arial"/>
          <w:sz w:val="22"/>
          <w:szCs w:val="22"/>
        </w:rPr>
        <w:t>.</w:t>
      </w:r>
    </w:p>
    <w:p w:rsidR="00012172" w:rsidRDefault="00012172">
      <w:pPr>
        <w:rPr>
          <w:rFonts w:ascii="Arial" w:hAnsi="Arial" w:cs="Arial"/>
          <w:sz w:val="22"/>
          <w:szCs w:val="22"/>
        </w:rPr>
      </w:pPr>
    </w:p>
    <w:p w:rsidR="00012172" w:rsidRDefault="00012172">
      <w:pPr>
        <w:rPr>
          <w:rFonts w:ascii="Arial" w:hAnsi="Arial" w:cs="Arial"/>
          <w:sz w:val="22"/>
          <w:szCs w:val="22"/>
        </w:rPr>
      </w:pPr>
      <w:r>
        <w:rPr>
          <w:rFonts w:ascii="Arial" w:hAnsi="Arial" w:cs="Arial"/>
          <w:sz w:val="22"/>
          <w:szCs w:val="22"/>
          <w:lang w:val="en-AU"/>
        </w:rPr>
        <w:t>Otpad</w:t>
      </w:r>
    </w:p>
    <w:p w:rsidR="00012172" w:rsidRDefault="00012172">
      <w:pPr>
        <w:jc w:val="both"/>
        <w:rPr>
          <w:rFonts w:ascii="Arial" w:hAnsi="Arial" w:cs="Arial"/>
          <w:sz w:val="22"/>
          <w:szCs w:val="22"/>
        </w:rPr>
      </w:pPr>
      <w:r>
        <w:rPr>
          <w:rFonts w:ascii="Arial" w:hAnsi="Arial" w:cs="Arial"/>
          <w:sz w:val="22"/>
          <w:szCs w:val="22"/>
        </w:rPr>
        <w:t xml:space="preserve">U svim naseljima organizirati prikupljanje i odvoženje otpada u skladu sa zakonskim propisima. Educirati ljude o važnosti selektiranja otpada, primarne reciklaže i dr. Omogućiti ljudima (na općinskoj ili županijskoj razini) predaju određenih vrsta otpada kao npr. starih guma, e-otpada, te s obzirom na intenzivnu stočarsku dijelatnost, potrebno je omogućiti organizirani odvoz i sanitarno uklanjanje animalnog otpada. </w:t>
      </w:r>
    </w:p>
    <w:p w:rsidR="00012172" w:rsidRDefault="00012172">
      <w:pPr>
        <w:jc w:val="both"/>
        <w:rPr>
          <w:rFonts w:ascii="Arial" w:hAnsi="Arial" w:cs="Arial"/>
          <w:sz w:val="22"/>
          <w:szCs w:val="22"/>
        </w:rPr>
      </w:pPr>
    </w:p>
    <w:p w:rsidR="00012172" w:rsidRDefault="00012172">
      <w:pPr>
        <w:jc w:val="both"/>
        <w:rPr>
          <w:rFonts w:ascii="Arial" w:hAnsi="Arial" w:cs="Arial"/>
          <w:sz w:val="22"/>
          <w:szCs w:val="22"/>
        </w:rPr>
      </w:pPr>
    </w:p>
    <w:p w:rsidR="00012172" w:rsidRDefault="00012172">
      <w:pPr>
        <w:jc w:val="both"/>
        <w:rPr>
          <w:rFonts w:ascii="Arial" w:hAnsi="Arial" w:cs="Arial"/>
          <w:sz w:val="22"/>
          <w:szCs w:val="22"/>
        </w:rPr>
      </w:pPr>
    </w:p>
    <w:p w:rsidR="00012172" w:rsidRDefault="00012172">
      <w:pPr>
        <w:jc w:val="both"/>
        <w:rPr>
          <w:rFonts w:ascii="Arial" w:hAnsi="Arial" w:cs="Arial"/>
          <w:sz w:val="22"/>
          <w:szCs w:val="22"/>
        </w:rPr>
      </w:pPr>
    </w:p>
    <w:p w:rsidR="00012172" w:rsidRDefault="00012172">
      <w:pPr>
        <w:jc w:val="both"/>
        <w:rPr>
          <w:rFonts w:ascii="Arial" w:hAnsi="Arial" w:cs="Arial"/>
          <w:sz w:val="22"/>
          <w:szCs w:val="22"/>
        </w:rPr>
      </w:pPr>
    </w:p>
    <w:p w:rsidR="00012172" w:rsidRDefault="00012172">
      <w:pPr>
        <w:jc w:val="both"/>
        <w:rPr>
          <w:rFonts w:ascii="Arial" w:hAnsi="Arial" w:cs="Arial"/>
          <w:sz w:val="22"/>
        </w:rPr>
      </w:pPr>
    </w:p>
    <w:p w:rsidR="00012172" w:rsidRDefault="00012172">
      <w:pPr>
        <w:jc w:val="both"/>
        <w:rPr>
          <w:rFonts w:ascii="Arial" w:hAnsi="Arial" w:cs="Arial"/>
          <w:sz w:val="22"/>
        </w:rPr>
      </w:pPr>
    </w:p>
    <w:p w:rsidR="00012172" w:rsidRDefault="00012172">
      <w:pPr>
        <w:pStyle w:val="Naslov1"/>
        <w:jc w:val="both"/>
      </w:pPr>
      <w:bookmarkStart w:id="50" w:name="_Toc95140599"/>
      <w:r>
        <w:t>3. PLAN PROSTORNOG UREĐENJA</w:t>
      </w:r>
      <w:bookmarkEnd w:id="50"/>
      <w:r>
        <w:t xml:space="preserve"> </w:t>
      </w:r>
    </w:p>
    <w:p w:rsidR="00012172" w:rsidRDefault="00012172">
      <w:pPr>
        <w:rPr>
          <w:rFonts w:ascii="Arial" w:hAnsi="Arial" w:cs="Arial"/>
          <w:sz w:val="22"/>
          <w:szCs w:val="22"/>
        </w:rPr>
      </w:pPr>
      <w:r>
        <w:rPr>
          <w:rFonts w:ascii="Arial" w:hAnsi="Arial" w:cs="Arial"/>
          <w:sz w:val="22"/>
          <w:szCs w:val="22"/>
        </w:rPr>
        <w:t xml:space="preserve">               </w:t>
      </w:r>
    </w:p>
    <w:p w:rsidR="00012172" w:rsidRDefault="00012172">
      <w:pPr>
        <w:pStyle w:val="Naslov2"/>
      </w:pPr>
      <w:bookmarkStart w:id="51" w:name="_Toc95140600"/>
      <w:r>
        <w:t>3.1. Prikaz prostornog razvoja na području općine u odnosu na prostornu i gospodarsku strukturu županije</w:t>
      </w:r>
      <w:bookmarkEnd w:id="51"/>
      <w:r>
        <w:t xml:space="preserve"> </w:t>
      </w:r>
    </w:p>
    <w:p w:rsidR="00012172" w:rsidRDefault="00012172">
      <w:pPr>
        <w:rPr>
          <w:rFonts w:ascii="Arial" w:hAnsi="Arial" w:cs="Arial"/>
          <w:sz w:val="22"/>
          <w:szCs w:val="22"/>
        </w:rPr>
      </w:pPr>
    </w:p>
    <w:p w:rsidR="00012172" w:rsidRDefault="00012172">
      <w:pPr>
        <w:rPr>
          <w:rFonts w:ascii="Arial" w:hAnsi="Arial" w:cs="Arial"/>
          <w:sz w:val="22"/>
          <w:szCs w:val="22"/>
        </w:rPr>
      </w:pPr>
    </w:p>
    <w:p w:rsidR="00012172" w:rsidRDefault="00012172">
      <w:pPr>
        <w:rPr>
          <w:rFonts w:ascii="Arial" w:hAnsi="Arial" w:cs="Arial"/>
          <w:sz w:val="22"/>
          <w:szCs w:val="22"/>
        </w:rPr>
      </w:pPr>
      <w:r>
        <w:rPr>
          <w:rFonts w:ascii="Arial" w:hAnsi="Arial" w:cs="Arial"/>
          <w:sz w:val="22"/>
          <w:szCs w:val="22"/>
        </w:rPr>
        <w:t>Prostorni razvoj općine  Gornja Rijeka u odnosu na prostornu strukturu Koprivničko-križevačke županije karakterizira:</w:t>
      </w:r>
    </w:p>
    <w:p w:rsidR="00012172" w:rsidRDefault="00012172">
      <w:pPr>
        <w:numPr>
          <w:ilvl w:val="0"/>
          <w:numId w:val="9"/>
        </w:numPr>
        <w:jc w:val="both"/>
        <w:rPr>
          <w:rFonts w:ascii="Arial" w:hAnsi="Arial" w:cs="Arial"/>
          <w:sz w:val="22"/>
          <w:szCs w:val="22"/>
        </w:rPr>
      </w:pPr>
      <w:r>
        <w:rPr>
          <w:rFonts w:ascii="Arial" w:hAnsi="Arial" w:cs="Arial"/>
          <w:sz w:val="22"/>
          <w:szCs w:val="22"/>
        </w:rPr>
        <w:t xml:space="preserve">Gornja Rijeka kao centralno naselje općine ima ulogu područnog razvojnog središta Koprivničko-križevačke županije. </w:t>
      </w:r>
    </w:p>
    <w:p w:rsidR="00012172" w:rsidRDefault="00012172">
      <w:pPr>
        <w:numPr>
          <w:ilvl w:val="0"/>
          <w:numId w:val="9"/>
        </w:numPr>
        <w:jc w:val="both"/>
        <w:rPr>
          <w:rFonts w:ascii="Arial" w:hAnsi="Arial" w:cs="Arial"/>
          <w:sz w:val="22"/>
          <w:szCs w:val="22"/>
        </w:rPr>
      </w:pPr>
      <w:r>
        <w:rPr>
          <w:rFonts w:ascii="Arial" w:hAnsi="Arial" w:cs="Arial"/>
          <w:sz w:val="22"/>
          <w:szCs w:val="22"/>
        </w:rPr>
        <w:t>Demografska struktura nepovoljna je u odnosu na dobno-spolnu i obrazovnu strukturu te obujam radnog kontingenta.</w:t>
      </w:r>
    </w:p>
    <w:p w:rsidR="00012172" w:rsidRDefault="00012172">
      <w:pPr>
        <w:numPr>
          <w:ilvl w:val="0"/>
          <w:numId w:val="9"/>
        </w:numPr>
        <w:jc w:val="both"/>
        <w:rPr>
          <w:rFonts w:ascii="Arial" w:hAnsi="Arial" w:cs="Arial"/>
          <w:sz w:val="22"/>
          <w:szCs w:val="22"/>
        </w:rPr>
      </w:pPr>
      <w:r>
        <w:rPr>
          <w:rFonts w:ascii="Arial" w:hAnsi="Arial" w:cs="Arial"/>
          <w:sz w:val="22"/>
          <w:szCs w:val="22"/>
        </w:rPr>
        <w:t xml:space="preserve">Od prirodnih resursa stratešku važnost imaju vodni resursi, poljoprivredno zemljište, i Kalnički </w:t>
      </w:r>
    </w:p>
    <w:p w:rsidR="00012172" w:rsidRDefault="00012172">
      <w:pPr>
        <w:jc w:val="both"/>
        <w:rPr>
          <w:rFonts w:ascii="Arial" w:hAnsi="Arial" w:cs="Arial"/>
          <w:sz w:val="22"/>
          <w:szCs w:val="22"/>
        </w:rPr>
      </w:pPr>
    </w:p>
    <w:p w:rsidR="00012172" w:rsidRDefault="00012172">
      <w:pPr>
        <w:jc w:val="both"/>
        <w:rPr>
          <w:rFonts w:ascii="Arial" w:hAnsi="Arial" w:cs="Arial"/>
          <w:sz w:val="22"/>
          <w:szCs w:val="22"/>
        </w:rPr>
      </w:pPr>
    </w:p>
    <w:p w:rsidR="00012172" w:rsidRDefault="00012172">
      <w:pPr>
        <w:rPr>
          <w:rFonts w:ascii="Arial" w:hAnsi="Arial" w:cs="Arial"/>
          <w:sz w:val="22"/>
          <w:szCs w:val="22"/>
        </w:rPr>
      </w:pPr>
    </w:p>
    <w:p w:rsidR="00012172" w:rsidRDefault="00012172">
      <w:pPr>
        <w:rPr>
          <w:rFonts w:ascii="Arial" w:hAnsi="Arial" w:cs="Arial"/>
          <w:b/>
          <w:bCs/>
          <w:i/>
          <w:iCs/>
          <w:sz w:val="28"/>
          <w:szCs w:val="28"/>
        </w:rPr>
      </w:pPr>
    </w:p>
    <w:p w:rsidR="00012172" w:rsidRDefault="00012172">
      <w:pPr>
        <w:pStyle w:val="Naslov2"/>
        <w:rPr>
          <w:sz w:val="22"/>
        </w:rPr>
      </w:pPr>
      <w:bookmarkStart w:id="52" w:name="_Toc95140601"/>
      <w:r>
        <w:rPr>
          <w:sz w:val="22"/>
        </w:rPr>
        <w:t>3.2. Organizacija prostora i osnovna namjena i korištenje površina</w:t>
      </w:r>
      <w:bookmarkEnd w:id="52"/>
      <w:r>
        <w:rPr>
          <w:sz w:val="22"/>
        </w:rPr>
        <w:t xml:space="preserve"> </w:t>
      </w:r>
    </w:p>
    <w:p w:rsidR="00012172" w:rsidRDefault="00012172">
      <w:pPr>
        <w:rPr>
          <w:rFonts w:ascii="Arial" w:hAnsi="Arial" w:cs="Arial"/>
          <w:sz w:val="22"/>
          <w:szCs w:val="22"/>
        </w:rPr>
      </w:pPr>
    </w:p>
    <w:p w:rsidR="00012172" w:rsidRDefault="00012172">
      <w:pPr>
        <w:jc w:val="both"/>
        <w:rPr>
          <w:rFonts w:ascii="Arial" w:hAnsi="Arial" w:cs="Arial"/>
          <w:sz w:val="22"/>
          <w:szCs w:val="22"/>
        </w:rPr>
      </w:pPr>
      <w:r>
        <w:rPr>
          <w:rFonts w:ascii="Arial" w:hAnsi="Arial" w:cs="Arial"/>
          <w:sz w:val="22"/>
          <w:szCs w:val="22"/>
        </w:rPr>
        <w:t>Organizacijom prostora određuju se osnovne kategorije korištenja prostora, a prostornim se planom na temelju postojećeg stanja u prostoru te predviđanjem budućih aktivnosti utvrđuje osnovna namjena površina koja u okviru prostornog plana ima usmjeravajuće-razvojni karakter.</w:t>
      </w:r>
    </w:p>
    <w:p w:rsidR="00012172" w:rsidRDefault="00012172">
      <w:pPr>
        <w:pStyle w:val="StandardWeb"/>
        <w:spacing w:before="0" w:beforeAutospacing="0" w:after="0" w:afterAutospacing="0"/>
        <w:rPr>
          <w:rFonts w:ascii="Arial" w:hAnsi="Arial" w:cs="Arial"/>
          <w:sz w:val="22"/>
          <w:szCs w:val="22"/>
        </w:rPr>
      </w:pPr>
    </w:p>
    <w:p w:rsidR="00012172" w:rsidRDefault="00012172">
      <w:pPr>
        <w:jc w:val="both"/>
        <w:rPr>
          <w:rFonts w:ascii="Arial" w:hAnsi="Arial" w:cs="Arial"/>
          <w:sz w:val="22"/>
          <w:szCs w:val="22"/>
        </w:rPr>
      </w:pPr>
      <w:r>
        <w:rPr>
          <w:rFonts w:ascii="Arial" w:hAnsi="Arial" w:cs="Arial"/>
          <w:sz w:val="22"/>
          <w:szCs w:val="22"/>
        </w:rPr>
        <w:t>Planom se odgovara na danas sve zahtjevniji zadatak u pogledu korištenja prostora kako bi se postigli standardi europskih zemalja, a koji idu ka sve temeljitijem usklađivanju aktivnosti zaštite prirodne i kulturne baštine i planova razvoja. Namjena površina je, prije svega, uvjetovana prirodnim karakteristikama prostora (šume, vode, obradive površine) te postojećim izgrađenim strukturama (naseljima, privrednim objektima, infrastrukturom). U Prostornom planu se evidentiraju temeljna obilježja i vrijednosti prostora dok se Planom namjene površina određuju pretpostavke za nesmetan i uravnotežen razvitak pojedinih kategorija korištenja prostora.</w:t>
      </w:r>
    </w:p>
    <w:p w:rsidR="00012172" w:rsidRDefault="00012172">
      <w:pPr>
        <w:rPr>
          <w:rFonts w:ascii="Arial" w:hAnsi="Arial" w:cs="Arial"/>
          <w:sz w:val="22"/>
          <w:szCs w:val="22"/>
        </w:rPr>
      </w:pPr>
    </w:p>
    <w:p w:rsidR="00012172" w:rsidRDefault="00012172">
      <w:pPr>
        <w:rPr>
          <w:rFonts w:ascii="Arial" w:hAnsi="Arial" w:cs="Arial"/>
          <w:sz w:val="22"/>
          <w:szCs w:val="22"/>
        </w:rPr>
      </w:pPr>
    </w:p>
    <w:p w:rsidR="00012172" w:rsidRDefault="00012172">
      <w:pPr>
        <w:rPr>
          <w:rFonts w:ascii="Arial" w:hAnsi="Arial" w:cs="Arial"/>
          <w:sz w:val="22"/>
          <w:szCs w:val="22"/>
          <w:lang w:eastAsia="en-US"/>
        </w:rPr>
      </w:pPr>
      <w:r>
        <w:rPr>
          <w:rFonts w:ascii="Arial" w:hAnsi="Arial" w:cs="Arial"/>
          <w:sz w:val="22"/>
          <w:szCs w:val="22"/>
          <w:lang w:eastAsia="en-US"/>
        </w:rPr>
        <w:t>Površine građevinskih područja:</w:t>
      </w:r>
    </w:p>
    <w:p w:rsidR="00012172" w:rsidRDefault="00012172">
      <w:pPr>
        <w:ind w:left="705"/>
        <w:rPr>
          <w:rFonts w:ascii="Arial" w:hAnsi="Arial" w:cs="Arial"/>
          <w:sz w:val="22"/>
          <w:szCs w:val="22"/>
          <w:lang w:eastAsia="en-US"/>
        </w:rPr>
      </w:pPr>
      <w:r>
        <w:rPr>
          <w:rFonts w:ascii="Arial" w:hAnsi="Arial" w:cs="Arial"/>
          <w:sz w:val="22"/>
          <w:szCs w:val="22"/>
          <w:lang w:eastAsia="en-US"/>
        </w:rPr>
        <w:t>a) Zona mješovite-pretežito stambene namjene- gradnja u naseljima i izdvojenim dijelovima naselja</w:t>
      </w:r>
    </w:p>
    <w:p w:rsidR="00012172" w:rsidRDefault="00012172">
      <w:pPr>
        <w:ind w:left="705"/>
        <w:rPr>
          <w:rFonts w:ascii="Arial" w:hAnsi="Arial" w:cs="Arial"/>
          <w:sz w:val="22"/>
          <w:szCs w:val="22"/>
          <w:lang w:eastAsia="en-US"/>
        </w:rPr>
      </w:pPr>
      <w:r>
        <w:rPr>
          <w:rFonts w:ascii="Arial" w:hAnsi="Arial" w:cs="Arial"/>
          <w:sz w:val="22"/>
          <w:szCs w:val="22"/>
          <w:lang w:eastAsia="en-US"/>
        </w:rPr>
        <w:tab/>
      </w:r>
      <w:r>
        <w:rPr>
          <w:rFonts w:ascii="Arial" w:hAnsi="Arial" w:cs="Arial"/>
          <w:sz w:val="22"/>
          <w:szCs w:val="22"/>
          <w:lang w:eastAsia="en-US"/>
        </w:rPr>
        <w:tab/>
        <w:t>- izgrađeni dio građevinskog područja</w:t>
      </w:r>
    </w:p>
    <w:p w:rsidR="00012172" w:rsidRDefault="00012172">
      <w:pPr>
        <w:ind w:left="705"/>
        <w:rPr>
          <w:rFonts w:ascii="Arial" w:hAnsi="Arial" w:cs="Arial"/>
          <w:sz w:val="22"/>
          <w:szCs w:val="22"/>
          <w:lang w:eastAsia="en-US"/>
        </w:rPr>
      </w:pPr>
      <w:r>
        <w:rPr>
          <w:rFonts w:ascii="Arial" w:hAnsi="Arial" w:cs="Arial"/>
          <w:sz w:val="22"/>
          <w:szCs w:val="22"/>
          <w:lang w:eastAsia="en-US"/>
        </w:rPr>
        <w:tab/>
      </w:r>
      <w:r>
        <w:rPr>
          <w:rFonts w:ascii="Arial" w:hAnsi="Arial" w:cs="Arial"/>
          <w:sz w:val="22"/>
          <w:szCs w:val="22"/>
          <w:lang w:eastAsia="en-US"/>
        </w:rPr>
        <w:tab/>
        <w:t>- neizgrađeni dio građevinskog područja</w:t>
      </w:r>
    </w:p>
    <w:p w:rsidR="00012172" w:rsidRDefault="00012172">
      <w:pPr>
        <w:ind w:left="705"/>
        <w:rPr>
          <w:rFonts w:ascii="Arial" w:hAnsi="Arial" w:cs="Arial"/>
          <w:sz w:val="22"/>
          <w:szCs w:val="22"/>
          <w:lang w:eastAsia="en-US"/>
        </w:rPr>
      </w:pPr>
      <w:r>
        <w:rPr>
          <w:rFonts w:ascii="Arial" w:hAnsi="Arial" w:cs="Arial"/>
          <w:sz w:val="22"/>
          <w:szCs w:val="22"/>
          <w:lang w:eastAsia="en-US"/>
        </w:rPr>
        <w:t>b) Zone javnih i društvenih sadržaja</w:t>
      </w:r>
    </w:p>
    <w:p w:rsidR="00012172" w:rsidRDefault="00012172">
      <w:pPr>
        <w:ind w:left="705"/>
        <w:rPr>
          <w:rFonts w:ascii="Arial" w:hAnsi="Arial" w:cs="Arial"/>
          <w:sz w:val="22"/>
          <w:szCs w:val="22"/>
          <w:lang w:eastAsia="en-US"/>
        </w:rPr>
      </w:pPr>
      <w:r>
        <w:rPr>
          <w:rFonts w:ascii="Arial" w:hAnsi="Arial" w:cs="Arial"/>
          <w:sz w:val="22"/>
          <w:szCs w:val="22"/>
          <w:lang w:eastAsia="en-US"/>
        </w:rPr>
        <w:t>c) Zone zelenila, športa i rekreacije</w:t>
      </w:r>
    </w:p>
    <w:p w:rsidR="00012172" w:rsidRDefault="00012172">
      <w:pPr>
        <w:ind w:left="705"/>
        <w:rPr>
          <w:rFonts w:ascii="Arial" w:hAnsi="Arial" w:cs="Arial"/>
          <w:sz w:val="22"/>
          <w:szCs w:val="22"/>
          <w:lang w:eastAsia="en-US"/>
        </w:rPr>
      </w:pPr>
      <w:r>
        <w:rPr>
          <w:rFonts w:ascii="Arial" w:hAnsi="Arial" w:cs="Arial"/>
          <w:sz w:val="22"/>
          <w:szCs w:val="22"/>
          <w:lang w:eastAsia="en-US"/>
        </w:rPr>
        <w:t>d) Zone gospodarske namjene</w:t>
      </w:r>
    </w:p>
    <w:p w:rsidR="00012172" w:rsidRDefault="00012172">
      <w:pPr>
        <w:ind w:left="705"/>
        <w:rPr>
          <w:rFonts w:ascii="Arial" w:hAnsi="Arial" w:cs="Arial"/>
          <w:sz w:val="22"/>
          <w:szCs w:val="22"/>
          <w:lang w:eastAsia="en-US"/>
        </w:rPr>
      </w:pPr>
      <w:r>
        <w:rPr>
          <w:rFonts w:ascii="Arial" w:hAnsi="Arial" w:cs="Arial"/>
          <w:sz w:val="22"/>
          <w:szCs w:val="22"/>
          <w:lang w:eastAsia="en-US"/>
        </w:rPr>
        <w:t xml:space="preserve">e) Turistička namjena (dvorac </w:t>
      </w:r>
      <w:r>
        <w:rPr>
          <w:rFonts w:ascii="Arial" w:hAnsi="Arial" w:cs="Arial"/>
          <w:bCs/>
          <w:sz w:val="22"/>
        </w:rPr>
        <w:t>Erd</w:t>
      </w:r>
      <w:r>
        <w:rPr>
          <w:rFonts w:ascii="Arial" w:hAnsi="Arial" w:cs="Arial"/>
          <w:bCs/>
          <w:sz w:val="22"/>
        </w:rPr>
        <w:sym w:font="Times New Roman" w:char="00F6"/>
      </w:r>
      <w:r>
        <w:rPr>
          <w:rFonts w:ascii="Arial" w:hAnsi="Arial" w:cs="Arial"/>
          <w:bCs/>
          <w:sz w:val="22"/>
        </w:rPr>
        <w:t>dy-Rubido i njegova okolica</w:t>
      </w:r>
      <w:r>
        <w:rPr>
          <w:rFonts w:ascii="Arial" w:hAnsi="Arial" w:cs="Arial"/>
          <w:b/>
          <w:sz w:val="22"/>
        </w:rPr>
        <w:t>)</w:t>
      </w:r>
    </w:p>
    <w:p w:rsidR="00012172" w:rsidRDefault="00012172">
      <w:pPr>
        <w:rPr>
          <w:color w:val="0000FF"/>
          <w:szCs w:val="22"/>
          <w:lang w:eastAsia="en-US"/>
        </w:rPr>
      </w:pPr>
    </w:p>
    <w:p w:rsidR="00012172" w:rsidRDefault="00012172">
      <w:pPr>
        <w:pStyle w:val="StandardWeb"/>
        <w:spacing w:before="0" w:beforeAutospacing="0" w:after="0" w:afterAutospacing="0"/>
        <w:rPr>
          <w:szCs w:val="22"/>
          <w:lang w:eastAsia="en-US"/>
        </w:rPr>
      </w:pPr>
    </w:p>
    <w:p w:rsidR="00012172" w:rsidRDefault="00012172">
      <w:pPr>
        <w:rPr>
          <w:rFonts w:ascii="Arial" w:hAnsi="Arial" w:cs="Arial"/>
          <w:sz w:val="22"/>
          <w:szCs w:val="22"/>
          <w:lang w:eastAsia="en-US"/>
        </w:rPr>
      </w:pPr>
      <w:r>
        <w:rPr>
          <w:rFonts w:ascii="Arial" w:hAnsi="Arial" w:cs="Arial"/>
          <w:sz w:val="22"/>
          <w:szCs w:val="22"/>
          <w:lang w:eastAsia="en-US"/>
        </w:rPr>
        <w:t>Zona specifične namjene:</w:t>
      </w:r>
    </w:p>
    <w:p w:rsidR="00012172" w:rsidRDefault="00012172">
      <w:pPr>
        <w:rPr>
          <w:rFonts w:ascii="Arial" w:hAnsi="Arial" w:cs="Arial"/>
          <w:sz w:val="22"/>
          <w:szCs w:val="22"/>
          <w:lang w:eastAsia="en-US"/>
        </w:rPr>
      </w:pPr>
      <w:r>
        <w:rPr>
          <w:rFonts w:ascii="Arial" w:hAnsi="Arial" w:cs="Arial"/>
          <w:sz w:val="22"/>
          <w:szCs w:val="22"/>
          <w:lang w:eastAsia="en-US"/>
        </w:rPr>
        <w:tab/>
        <w:t xml:space="preserve">a) Vinogradi </w:t>
      </w:r>
    </w:p>
    <w:p w:rsidR="00012172" w:rsidRDefault="00012172">
      <w:pPr>
        <w:rPr>
          <w:rFonts w:ascii="Arial" w:hAnsi="Arial" w:cs="Arial"/>
          <w:sz w:val="22"/>
          <w:szCs w:val="22"/>
          <w:lang w:eastAsia="en-US"/>
        </w:rPr>
      </w:pPr>
    </w:p>
    <w:p w:rsidR="00012172" w:rsidRDefault="00012172">
      <w:pPr>
        <w:rPr>
          <w:rFonts w:ascii="Arial" w:hAnsi="Arial" w:cs="Arial"/>
          <w:sz w:val="22"/>
          <w:szCs w:val="22"/>
          <w:lang w:eastAsia="en-US"/>
        </w:rPr>
      </w:pPr>
    </w:p>
    <w:p w:rsidR="00012172" w:rsidRDefault="00012172">
      <w:pPr>
        <w:rPr>
          <w:rFonts w:ascii="Arial" w:hAnsi="Arial" w:cs="Arial"/>
          <w:sz w:val="22"/>
          <w:szCs w:val="22"/>
          <w:lang w:eastAsia="en-US"/>
        </w:rPr>
      </w:pPr>
      <w:r>
        <w:rPr>
          <w:rFonts w:ascii="Arial" w:hAnsi="Arial" w:cs="Arial"/>
          <w:sz w:val="22"/>
          <w:szCs w:val="22"/>
          <w:lang w:eastAsia="en-US"/>
        </w:rPr>
        <w:t>Izgrađene površine izvan građevinskog područja naselja:</w:t>
      </w:r>
    </w:p>
    <w:p w:rsidR="00012172" w:rsidRDefault="00012172" w:rsidP="00012172">
      <w:pPr>
        <w:numPr>
          <w:ilvl w:val="0"/>
          <w:numId w:val="13"/>
        </w:numPr>
        <w:tabs>
          <w:tab w:val="clear" w:pos="1413"/>
          <w:tab w:val="num" w:pos="900"/>
        </w:tabs>
        <w:rPr>
          <w:rFonts w:ascii="Arial" w:hAnsi="Arial" w:cs="Arial"/>
          <w:sz w:val="22"/>
          <w:szCs w:val="22"/>
          <w:lang w:eastAsia="en-US"/>
        </w:rPr>
      </w:pPr>
      <w:r>
        <w:rPr>
          <w:rFonts w:ascii="Arial" w:hAnsi="Arial" w:cs="Arial"/>
          <w:sz w:val="22"/>
          <w:szCs w:val="22"/>
          <w:lang w:eastAsia="en-US"/>
        </w:rPr>
        <w:t>površine gospodarske namjene (I1) – industrija, malo i srednje poduzetništvo</w:t>
      </w:r>
    </w:p>
    <w:p w:rsidR="00012172" w:rsidRDefault="00012172" w:rsidP="00012172">
      <w:pPr>
        <w:numPr>
          <w:ilvl w:val="0"/>
          <w:numId w:val="13"/>
        </w:numPr>
        <w:tabs>
          <w:tab w:val="clear" w:pos="1413"/>
          <w:tab w:val="num" w:pos="900"/>
        </w:tabs>
        <w:ind w:left="900" w:hanging="192"/>
        <w:rPr>
          <w:rFonts w:ascii="Arial" w:hAnsi="Arial" w:cs="Arial"/>
          <w:sz w:val="22"/>
          <w:szCs w:val="22"/>
          <w:lang w:eastAsia="en-US"/>
        </w:rPr>
      </w:pPr>
      <w:r>
        <w:rPr>
          <w:rFonts w:ascii="Arial" w:hAnsi="Arial" w:cs="Arial"/>
          <w:sz w:val="22"/>
          <w:szCs w:val="22"/>
          <w:lang w:eastAsia="en-US"/>
        </w:rPr>
        <w:t>površine gospodarske namjene (I3)– građevine u funkciji obavljanja poljoprivredne djelatnosti – farme, tovilišta</w:t>
      </w:r>
    </w:p>
    <w:p w:rsidR="00012172" w:rsidRDefault="00012172" w:rsidP="00012172">
      <w:pPr>
        <w:numPr>
          <w:ilvl w:val="0"/>
          <w:numId w:val="13"/>
        </w:numPr>
        <w:tabs>
          <w:tab w:val="clear" w:pos="1413"/>
          <w:tab w:val="num" w:pos="900"/>
        </w:tabs>
        <w:rPr>
          <w:rFonts w:ascii="Arial" w:hAnsi="Arial" w:cs="Arial"/>
          <w:sz w:val="22"/>
          <w:szCs w:val="22"/>
          <w:lang w:eastAsia="en-US"/>
        </w:rPr>
      </w:pPr>
      <w:r>
        <w:rPr>
          <w:rFonts w:ascii="Arial" w:hAnsi="Arial" w:cs="Arial"/>
          <w:sz w:val="22"/>
          <w:szCs w:val="22"/>
          <w:lang w:eastAsia="en-US"/>
        </w:rPr>
        <w:t>groblje</w:t>
      </w:r>
    </w:p>
    <w:p w:rsidR="00012172" w:rsidRDefault="00012172" w:rsidP="00012172">
      <w:pPr>
        <w:numPr>
          <w:ilvl w:val="0"/>
          <w:numId w:val="13"/>
        </w:numPr>
        <w:tabs>
          <w:tab w:val="clear" w:pos="1413"/>
          <w:tab w:val="num" w:pos="900"/>
        </w:tabs>
        <w:rPr>
          <w:rFonts w:ascii="Arial" w:hAnsi="Arial" w:cs="Arial"/>
          <w:sz w:val="22"/>
          <w:szCs w:val="22"/>
          <w:lang w:eastAsia="en-US"/>
        </w:rPr>
      </w:pPr>
      <w:r>
        <w:rPr>
          <w:rFonts w:ascii="Arial" w:hAnsi="Arial" w:cs="Arial"/>
          <w:sz w:val="22"/>
          <w:szCs w:val="22"/>
          <w:lang w:eastAsia="en-US"/>
        </w:rPr>
        <w:t>športsko-rekreacijske, lovne i turističko-ugostiteljske površine</w:t>
      </w:r>
    </w:p>
    <w:p w:rsidR="00012172" w:rsidRDefault="00012172">
      <w:pPr>
        <w:pStyle w:val="StandardWeb"/>
        <w:spacing w:before="0" w:beforeAutospacing="0" w:after="0" w:afterAutospacing="0"/>
        <w:rPr>
          <w:szCs w:val="22"/>
          <w:lang w:eastAsia="en-US"/>
        </w:rPr>
      </w:pPr>
    </w:p>
    <w:p w:rsidR="00012172" w:rsidRDefault="00012172">
      <w:pPr>
        <w:rPr>
          <w:rFonts w:ascii="Arial" w:hAnsi="Arial" w:cs="Arial"/>
          <w:sz w:val="22"/>
          <w:szCs w:val="22"/>
          <w:lang w:eastAsia="en-US"/>
        </w:rPr>
      </w:pPr>
      <w:r>
        <w:rPr>
          <w:rFonts w:ascii="Arial" w:hAnsi="Arial" w:cs="Arial"/>
          <w:sz w:val="22"/>
          <w:szCs w:val="22"/>
          <w:lang w:eastAsia="en-US"/>
        </w:rPr>
        <w:t>Površine infrastrukturnih sustava</w:t>
      </w:r>
    </w:p>
    <w:p w:rsidR="00012172" w:rsidRDefault="00012172" w:rsidP="00012172">
      <w:pPr>
        <w:numPr>
          <w:ilvl w:val="0"/>
          <w:numId w:val="13"/>
        </w:numPr>
        <w:tabs>
          <w:tab w:val="clear" w:pos="1413"/>
          <w:tab w:val="num" w:pos="900"/>
        </w:tabs>
        <w:rPr>
          <w:rFonts w:ascii="Arial" w:hAnsi="Arial" w:cs="Arial"/>
          <w:sz w:val="22"/>
          <w:szCs w:val="22"/>
          <w:lang w:eastAsia="en-US"/>
        </w:rPr>
      </w:pPr>
      <w:r>
        <w:rPr>
          <w:rFonts w:ascii="Arial" w:hAnsi="Arial" w:cs="Arial"/>
          <w:sz w:val="22"/>
          <w:szCs w:val="22"/>
          <w:lang w:eastAsia="en-US"/>
        </w:rPr>
        <w:t>cestovne građevine</w:t>
      </w:r>
    </w:p>
    <w:p w:rsidR="00012172" w:rsidRDefault="00012172" w:rsidP="00012172">
      <w:pPr>
        <w:numPr>
          <w:ilvl w:val="0"/>
          <w:numId w:val="13"/>
        </w:numPr>
        <w:tabs>
          <w:tab w:val="clear" w:pos="1413"/>
          <w:tab w:val="num" w:pos="900"/>
        </w:tabs>
        <w:rPr>
          <w:rFonts w:ascii="Arial" w:hAnsi="Arial" w:cs="Arial"/>
          <w:sz w:val="22"/>
          <w:szCs w:val="22"/>
          <w:lang w:eastAsia="en-US"/>
        </w:rPr>
      </w:pPr>
      <w:r>
        <w:rPr>
          <w:rFonts w:ascii="Arial" w:hAnsi="Arial" w:cs="Arial"/>
          <w:sz w:val="22"/>
          <w:szCs w:val="22"/>
          <w:lang w:eastAsia="en-US"/>
        </w:rPr>
        <w:t>elektroenergetske građevine</w:t>
      </w:r>
    </w:p>
    <w:p w:rsidR="00012172" w:rsidRDefault="00012172" w:rsidP="00012172">
      <w:pPr>
        <w:numPr>
          <w:ilvl w:val="0"/>
          <w:numId w:val="13"/>
        </w:numPr>
        <w:tabs>
          <w:tab w:val="clear" w:pos="1413"/>
          <w:tab w:val="num" w:pos="900"/>
        </w:tabs>
        <w:rPr>
          <w:rFonts w:ascii="Arial" w:hAnsi="Arial" w:cs="Arial"/>
          <w:sz w:val="22"/>
          <w:szCs w:val="22"/>
          <w:lang w:eastAsia="en-US"/>
        </w:rPr>
      </w:pPr>
      <w:r>
        <w:rPr>
          <w:rFonts w:ascii="Arial" w:hAnsi="Arial" w:cs="Arial"/>
          <w:sz w:val="22"/>
          <w:szCs w:val="22"/>
          <w:lang w:eastAsia="en-US"/>
        </w:rPr>
        <w:t>ostala komunalna infrastruktura (vodoopskrba, odvodnja, telekomunikacije i pošta)</w:t>
      </w:r>
    </w:p>
    <w:p w:rsidR="00012172" w:rsidRDefault="00012172">
      <w:pPr>
        <w:rPr>
          <w:rFonts w:ascii="Arial" w:hAnsi="Arial" w:cs="Arial"/>
          <w:color w:val="0000FF"/>
          <w:sz w:val="22"/>
          <w:szCs w:val="22"/>
        </w:rPr>
      </w:pPr>
    </w:p>
    <w:p w:rsidR="00012172" w:rsidRDefault="00012172">
      <w:pPr>
        <w:rPr>
          <w:rFonts w:ascii="Arial" w:hAnsi="Arial" w:cs="Arial"/>
          <w:sz w:val="22"/>
          <w:szCs w:val="22"/>
        </w:rPr>
      </w:pPr>
    </w:p>
    <w:p w:rsidR="00012172" w:rsidRDefault="00012172">
      <w:pPr>
        <w:pStyle w:val="Sadraj1"/>
        <w:rPr>
          <w:rFonts w:ascii="Arial" w:hAnsi="Arial" w:cs="Arial"/>
          <w:bCs w:val="0"/>
          <w:sz w:val="22"/>
          <w:szCs w:val="22"/>
        </w:rPr>
      </w:pPr>
      <w:r>
        <w:rPr>
          <w:rFonts w:ascii="Arial" w:hAnsi="Arial" w:cs="Arial"/>
          <w:bCs w:val="0"/>
          <w:sz w:val="22"/>
          <w:szCs w:val="22"/>
        </w:rPr>
        <w:t>a) Površine građevinskih područja</w:t>
      </w:r>
    </w:p>
    <w:p w:rsidR="00012172" w:rsidRDefault="00012172">
      <w:pPr>
        <w:rPr>
          <w:rFonts w:ascii="Arial" w:hAnsi="Arial" w:cs="Arial"/>
          <w:sz w:val="22"/>
          <w:szCs w:val="22"/>
        </w:rPr>
      </w:pPr>
    </w:p>
    <w:p w:rsidR="00012172" w:rsidRDefault="00012172">
      <w:pPr>
        <w:jc w:val="both"/>
        <w:rPr>
          <w:rFonts w:ascii="Arial" w:hAnsi="Arial" w:cs="Arial"/>
          <w:sz w:val="22"/>
          <w:szCs w:val="22"/>
        </w:rPr>
      </w:pPr>
      <w:r>
        <w:rPr>
          <w:rFonts w:ascii="Arial" w:hAnsi="Arial" w:cs="Arial"/>
          <w:sz w:val="22"/>
          <w:szCs w:val="22"/>
        </w:rPr>
        <w:t xml:space="preserve">Površine građevinskih područja podjeljene su na izgrađene površine i površine namjenjene za razvoj. Izgrađene površine su mješovitog karaktera, pretežito stambene. Građevinske parcele u ruralnim naseljima sastoje se od prednjeg stambenog dijela i stražnjeg, na kojem su smješteni gospodarski objekti. </w:t>
      </w:r>
    </w:p>
    <w:p w:rsidR="00012172" w:rsidRDefault="00012172">
      <w:pPr>
        <w:jc w:val="both"/>
        <w:rPr>
          <w:rFonts w:ascii="Arial" w:hAnsi="Arial" w:cs="Arial"/>
          <w:sz w:val="22"/>
          <w:szCs w:val="22"/>
        </w:rPr>
      </w:pPr>
    </w:p>
    <w:p w:rsidR="00012172" w:rsidRDefault="00012172">
      <w:pPr>
        <w:jc w:val="both"/>
        <w:rPr>
          <w:rFonts w:ascii="Arial" w:hAnsi="Arial" w:cs="Arial"/>
          <w:sz w:val="22"/>
          <w:szCs w:val="22"/>
        </w:rPr>
      </w:pPr>
      <w:r>
        <w:rPr>
          <w:rFonts w:ascii="Arial" w:hAnsi="Arial" w:cs="Arial"/>
          <w:sz w:val="22"/>
          <w:szCs w:val="22"/>
        </w:rPr>
        <w:t>Površine građevinskih područja detaljnije su prikazane na kartama građevinskih područja (1:5000).</w:t>
      </w:r>
    </w:p>
    <w:p w:rsidR="00012172" w:rsidRDefault="00012172">
      <w:pPr>
        <w:jc w:val="both"/>
        <w:rPr>
          <w:rFonts w:ascii="Arial" w:hAnsi="Arial" w:cs="Arial"/>
          <w:sz w:val="22"/>
          <w:szCs w:val="22"/>
        </w:rPr>
      </w:pPr>
      <w:r>
        <w:rPr>
          <w:rFonts w:ascii="Arial" w:hAnsi="Arial" w:cs="Arial"/>
          <w:sz w:val="22"/>
          <w:szCs w:val="22"/>
        </w:rPr>
        <w:t>U svim naseljima prema namjeni izdvojene su površine javne i društvene namjene, zelene površine, groblja, površine namijenjene gospodarskim djelatnostima, športsko-rekreacijske površine te površine infrastrukturnih sustava.</w:t>
      </w:r>
    </w:p>
    <w:p w:rsidR="00012172" w:rsidRDefault="00012172">
      <w:pPr>
        <w:jc w:val="both"/>
        <w:rPr>
          <w:color w:val="0000FF"/>
          <w:szCs w:val="22"/>
        </w:rPr>
      </w:pPr>
    </w:p>
    <w:p w:rsidR="00012172" w:rsidRPr="002B4042" w:rsidRDefault="00012172">
      <w:pPr>
        <w:jc w:val="both"/>
        <w:rPr>
          <w:rFonts w:ascii="Arial" w:hAnsi="Arial" w:cs="Arial"/>
          <w:b/>
          <w:sz w:val="22"/>
          <w:szCs w:val="22"/>
        </w:rPr>
      </w:pPr>
      <w:r w:rsidRPr="002B4042">
        <w:rPr>
          <w:rFonts w:ascii="Arial" w:hAnsi="Arial" w:cs="Arial"/>
          <w:b/>
          <w:sz w:val="22"/>
          <w:szCs w:val="22"/>
        </w:rPr>
        <w:t>Površine javne i društvene namjene</w:t>
      </w:r>
    </w:p>
    <w:p w:rsidR="00012172" w:rsidRPr="002B4042" w:rsidRDefault="00012172">
      <w:pPr>
        <w:jc w:val="both"/>
        <w:rPr>
          <w:rFonts w:ascii="Arial" w:hAnsi="Arial" w:cs="Arial"/>
          <w:b/>
          <w:sz w:val="22"/>
          <w:szCs w:val="22"/>
        </w:rPr>
      </w:pPr>
      <w:r w:rsidRPr="002B4042">
        <w:rPr>
          <w:rFonts w:ascii="Arial" w:hAnsi="Arial" w:cs="Arial"/>
          <w:b/>
          <w:sz w:val="22"/>
          <w:szCs w:val="22"/>
        </w:rPr>
        <w:t>Gornja Rijeka</w:t>
      </w:r>
    </w:p>
    <w:p w:rsidR="00012172" w:rsidRDefault="00012172">
      <w:pPr>
        <w:jc w:val="both"/>
        <w:rPr>
          <w:rFonts w:ascii="Arial" w:hAnsi="Arial" w:cs="Arial"/>
          <w:sz w:val="22"/>
          <w:szCs w:val="22"/>
        </w:rPr>
      </w:pPr>
      <w:r>
        <w:rPr>
          <w:rFonts w:ascii="Arial" w:hAnsi="Arial" w:cs="Arial"/>
          <w:sz w:val="22"/>
          <w:szCs w:val="22"/>
        </w:rPr>
        <w:t xml:space="preserve">- zgrada općine </w:t>
      </w:r>
    </w:p>
    <w:p w:rsidR="00012172" w:rsidRDefault="00012172">
      <w:pPr>
        <w:jc w:val="both"/>
        <w:rPr>
          <w:rFonts w:ascii="Arial" w:hAnsi="Arial" w:cs="Arial"/>
          <w:sz w:val="22"/>
          <w:szCs w:val="22"/>
        </w:rPr>
      </w:pPr>
      <w:r>
        <w:rPr>
          <w:rFonts w:ascii="Arial" w:hAnsi="Arial" w:cs="Arial"/>
          <w:sz w:val="22"/>
          <w:szCs w:val="22"/>
        </w:rPr>
        <w:t xml:space="preserve">- Vatrogasni dom </w:t>
      </w:r>
    </w:p>
    <w:p w:rsidR="00012172" w:rsidRDefault="00012172">
      <w:pPr>
        <w:jc w:val="both"/>
        <w:rPr>
          <w:rFonts w:ascii="Arial" w:hAnsi="Arial" w:cs="Arial"/>
          <w:sz w:val="22"/>
          <w:szCs w:val="22"/>
        </w:rPr>
      </w:pPr>
      <w:r>
        <w:rPr>
          <w:rFonts w:ascii="Arial" w:hAnsi="Arial" w:cs="Arial"/>
          <w:sz w:val="22"/>
          <w:szCs w:val="22"/>
        </w:rPr>
        <w:t>- župna crkva i župni dvor</w:t>
      </w:r>
    </w:p>
    <w:p w:rsidR="00012172" w:rsidRDefault="00012172">
      <w:pPr>
        <w:jc w:val="both"/>
        <w:rPr>
          <w:rFonts w:ascii="Arial" w:hAnsi="Arial" w:cs="Arial"/>
          <w:sz w:val="22"/>
          <w:szCs w:val="22"/>
        </w:rPr>
      </w:pPr>
      <w:r>
        <w:rPr>
          <w:rFonts w:ascii="Arial" w:hAnsi="Arial" w:cs="Arial"/>
          <w:sz w:val="22"/>
          <w:szCs w:val="22"/>
        </w:rPr>
        <w:t>- osnovna škola</w:t>
      </w:r>
    </w:p>
    <w:p w:rsidR="00012172" w:rsidRDefault="00012172">
      <w:pPr>
        <w:jc w:val="both"/>
        <w:rPr>
          <w:rFonts w:ascii="Arial" w:hAnsi="Arial" w:cs="Arial"/>
          <w:sz w:val="22"/>
          <w:szCs w:val="22"/>
        </w:rPr>
      </w:pPr>
      <w:r>
        <w:rPr>
          <w:rFonts w:ascii="Arial" w:hAnsi="Arial" w:cs="Arial"/>
          <w:sz w:val="22"/>
          <w:szCs w:val="22"/>
        </w:rPr>
        <w:t>-  veterinarska ambulanta</w:t>
      </w:r>
    </w:p>
    <w:p w:rsidR="00012172" w:rsidRDefault="00012172">
      <w:pPr>
        <w:jc w:val="both"/>
        <w:rPr>
          <w:rFonts w:ascii="Arial" w:hAnsi="Arial" w:cs="Arial"/>
          <w:sz w:val="22"/>
          <w:szCs w:val="22"/>
        </w:rPr>
      </w:pPr>
      <w:r>
        <w:rPr>
          <w:rFonts w:ascii="Arial" w:hAnsi="Arial" w:cs="Arial"/>
          <w:sz w:val="22"/>
          <w:szCs w:val="22"/>
        </w:rPr>
        <w:t>-  zubna i zdravstvena ambulanta</w:t>
      </w:r>
    </w:p>
    <w:p w:rsidR="00012172" w:rsidRDefault="00012172">
      <w:pPr>
        <w:jc w:val="both"/>
        <w:rPr>
          <w:b/>
          <w:szCs w:val="22"/>
        </w:rPr>
      </w:pPr>
    </w:p>
    <w:p w:rsidR="00BC2A4D" w:rsidRPr="00BC2A4D" w:rsidRDefault="00BC2A4D">
      <w:pPr>
        <w:jc w:val="both"/>
        <w:rPr>
          <w:rFonts w:ascii="Arial" w:hAnsi="Arial" w:cs="Arial"/>
          <w:b/>
          <w:sz w:val="22"/>
          <w:szCs w:val="22"/>
        </w:rPr>
      </w:pPr>
      <w:r w:rsidRPr="00BC2A4D">
        <w:rPr>
          <w:rFonts w:ascii="Arial" w:hAnsi="Arial" w:cs="Arial"/>
          <w:b/>
          <w:sz w:val="22"/>
          <w:szCs w:val="22"/>
        </w:rPr>
        <w:t>Pofuki</w:t>
      </w:r>
    </w:p>
    <w:p w:rsidR="00BC2A4D" w:rsidRPr="00BC2A4D" w:rsidRDefault="00BC2A4D">
      <w:pPr>
        <w:jc w:val="both"/>
        <w:rPr>
          <w:rFonts w:ascii="Arial" w:hAnsi="Arial" w:cs="Arial"/>
          <w:sz w:val="22"/>
          <w:szCs w:val="22"/>
        </w:rPr>
      </w:pPr>
      <w:r w:rsidRPr="00BC2A4D">
        <w:rPr>
          <w:rFonts w:ascii="Arial" w:hAnsi="Arial" w:cs="Arial"/>
          <w:sz w:val="22"/>
          <w:szCs w:val="22"/>
        </w:rPr>
        <w:t>- društveni dom</w:t>
      </w:r>
    </w:p>
    <w:p w:rsidR="00BC2A4D" w:rsidRPr="00BC2A4D" w:rsidRDefault="00BC2A4D">
      <w:pPr>
        <w:jc w:val="both"/>
        <w:rPr>
          <w:rFonts w:ascii="Arial" w:hAnsi="Arial" w:cs="Arial"/>
          <w:sz w:val="22"/>
          <w:szCs w:val="22"/>
        </w:rPr>
      </w:pPr>
      <w:r w:rsidRPr="00BC2A4D">
        <w:rPr>
          <w:rFonts w:ascii="Arial" w:hAnsi="Arial" w:cs="Arial"/>
          <w:sz w:val="22"/>
          <w:szCs w:val="22"/>
        </w:rPr>
        <w:t>- kapela</w:t>
      </w:r>
    </w:p>
    <w:p w:rsidR="00BC2A4D" w:rsidRDefault="00BC2A4D">
      <w:pPr>
        <w:jc w:val="both"/>
        <w:rPr>
          <w:b/>
          <w:szCs w:val="22"/>
        </w:rPr>
      </w:pPr>
    </w:p>
    <w:p w:rsidR="002B4042" w:rsidRPr="002B4042" w:rsidRDefault="002B4042">
      <w:pPr>
        <w:jc w:val="both"/>
        <w:rPr>
          <w:rFonts w:ascii="Arial" w:hAnsi="Arial" w:cs="Arial"/>
          <w:b/>
          <w:sz w:val="22"/>
          <w:szCs w:val="22"/>
        </w:rPr>
      </w:pPr>
      <w:r w:rsidRPr="002B4042">
        <w:rPr>
          <w:rFonts w:ascii="Arial" w:hAnsi="Arial" w:cs="Arial"/>
          <w:b/>
          <w:sz w:val="22"/>
          <w:szCs w:val="22"/>
        </w:rPr>
        <w:t>Kolarec</w:t>
      </w:r>
    </w:p>
    <w:p w:rsidR="002B4042" w:rsidRDefault="002B4042" w:rsidP="002B4042">
      <w:pPr>
        <w:jc w:val="both"/>
        <w:rPr>
          <w:rFonts w:ascii="Arial" w:hAnsi="Arial" w:cs="Arial"/>
          <w:sz w:val="22"/>
          <w:szCs w:val="22"/>
        </w:rPr>
      </w:pPr>
      <w:r>
        <w:rPr>
          <w:rFonts w:ascii="Arial" w:hAnsi="Arial" w:cs="Arial"/>
          <w:sz w:val="22"/>
          <w:szCs w:val="22"/>
        </w:rPr>
        <w:t xml:space="preserve">- Vatrogasni dom </w:t>
      </w:r>
    </w:p>
    <w:p w:rsidR="002B4042" w:rsidRDefault="002B4042" w:rsidP="002B4042">
      <w:pPr>
        <w:jc w:val="both"/>
        <w:rPr>
          <w:rFonts w:ascii="Arial" w:hAnsi="Arial" w:cs="Arial"/>
          <w:sz w:val="22"/>
          <w:szCs w:val="22"/>
        </w:rPr>
      </w:pPr>
      <w:r>
        <w:rPr>
          <w:rFonts w:ascii="Arial" w:hAnsi="Arial" w:cs="Arial"/>
          <w:sz w:val="22"/>
          <w:szCs w:val="22"/>
        </w:rPr>
        <w:t>- osnovna škola</w:t>
      </w:r>
    </w:p>
    <w:p w:rsidR="00012172" w:rsidRDefault="002B4042">
      <w:pPr>
        <w:rPr>
          <w:rFonts w:ascii="Arial" w:hAnsi="Arial" w:cs="Arial"/>
          <w:sz w:val="22"/>
          <w:szCs w:val="22"/>
        </w:rPr>
      </w:pPr>
      <w:r>
        <w:rPr>
          <w:rFonts w:ascii="Arial" w:hAnsi="Arial" w:cs="Arial"/>
          <w:sz w:val="22"/>
          <w:szCs w:val="22"/>
        </w:rPr>
        <w:t>- kapela</w:t>
      </w:r>
    </w:p>
    <w:p w:rsidR="002B4042" w:rsidRDefault="002B4042">
      <w:pPr>
        <w:rPr>
          <w:rFonts w:ascii="Arial" w:hAnsi="Arial" w:cs="Arial"/>
          <w:sz w:val="22"/>
          <w:szCs w:val="22"/>
        </w:rPr>
      </w:pPr>
    </w:p>
    <w:p w:rsidR="002B4042" w:rsidRPr="00BC2A4D" w:rsidRDefault="00BC2A4D">
      <w:pPr>
        <w:rPr>
          <w:rFonts w:ascii="Arial" w:hAnsi="Arial" w:cs="Arial"/>
          <w:b/>
          <w:sz w:val="22"/>
          <w:szCs w:val="22"/>
        </w:rPr>
      </w:pPr>
      <w:r w:rsidRPr="00BC2A4D">
        <w:rPr>
          <w:rFonts w:ascii="Arial" w:hAnsi="Arial" w:cs="Arial"/>
          <w:b/>
          <w:sz w:val="22"/>
          <w:szCs w:val="22"/>
        </w:rPr>
        <w:t>Fodrovec Riječki</w:t>
      </w:r>
    </w:p>
    <w:p w:rsidR="00BC2A4D" w:rsidRDefault="00BC2A4D" w:rsidP="00BC2A4D">
      <w:pPr>
        <w:rPr>
          <w:rFonts w:ascii="Arial" w:hAnsi="Arial" w:cs="Arial"/>
          <w:sz w:val="22"/>
          <w:szCs w:val="22"/>
        </w:rPr>
      </w:pPr>
      <w:r>
        <w:rPr>
          <w:rFonts w:ascii="Arial" w:hAnsi="Arial" w:cs="Arial"/>
          <w:sz w:val="22"/>
          <w:szCs w:val="22"/>
        </w:rPr>
        <w:t>- kapela</w:t>
      </w:r>
    </w:p>
    <w:p w:rsidR="00760B01" w:rsidRDefault="00760B01">
      <w:pPr>
        <w:rPr>
          <w:rFonts w:ascii="Arial" w:hAnsi="Arial" w:cs="Arial"/>
          <w:sz w:val="22"/>
          <w:szCs w:val="22"/>
        </w:rPr>
      </w:pPr>
    </w:p>
    <w:p w:rsidR="00E75E08" w:rsidRDefault="00E75E08">
      <w:pPr>
        <w:rPr>
          <w:rFonts w:ascii="Arial" w:hAnsi="Arial" w:cs="Arial"/>
          <w:sz w:val="22"/>
          <w:szCs w:val="22"/>
        </w:rPr>
      </w:pPr>
    </w:p>
    <w:p w:rsidR="00E75E08" w:rsidRDefault="00E75E08">
      <w:pPr>
        <w:rPr>
          <w:rFonts w:ascii="Arial" w:hAnsi="Arial" w:cs="Arial"/>
          <w:sz w:val="22"/>
          <w:szCs w:val="22"/>
        </w:rPr>
      </w:pPr>
    </w:p>
    <w:p w:rsidR="00E75E08" w:rsidRDefault="00E75E08">
      <w:pPr>
        <w:rPr>
          <w:rFonts w:ascii="Arial" w:hAnsi="Arial" w:cs="Arial"/>
          <w:sz w:val="22"/>
          <w:szCs w:val="22"/>
        </w:rPr>
      </w:pPr>
    </w:p>
    <w:p w:rsidR="00E75E08" w:rsidRDefault="00E75E08">
      <w:pPr>
        <w:rPr>
          <w:rFonts w:ascii="Arial" w:hAnsi="Arial" w:cs="Arial"/>
          <w:sz w:val="22"/>
          <w:szCs w:val="22"/>
        </w:rPr>
      </w:pPr>
    </w:p>
    <w:p w:rsidR="00E75E08" w:rsidRDefault="00E75E08">
      <w:pPr>
        <w:rPr>
          <w:rFonts w:ascii="Arial" w:hAnsi="Arial" w:cs="Arial"/>
          <w:sz w:val="22"/>
          <w:szCs w:val="22"/>
        </w:rPr>
      </w:pPr>
    </w:p>
    <w:p w:rsidR="00E75E08" w:rsidRDefault="00E75E08">
      <w:pPr>
        <w:rPr>
          <w:rFonts w:ascii="Arial" w:hAnsi="Arial" w:cs="Arial"/>
          <w:sz w:val="22"/>
          <w:szCs w:val="22"/>
        </w:rPr>
      </w:pPr>
    </w:p>
    <w:p w:rsidR="00E75E08" w:rsidRDefault="00E75E08">
      <w:pPr>
        <w:rPr>
          <w:rFonts w:ascii="Arial" w:hAnsi="Arial" w:cs="Arial"/>
          <w:sz w:val="22"/>
          <w:szCs w:val="22"/>
        </w:rPr>
      </w:pPr>
    </w:p>
    <w:p w:rsidR="00760B01" w:rsidRDefault="00760B01">
      <w:pPr>
        <w:rPr>
          <w:rFonts w:ascii="Arial" w:hAnsi="Arial" w:cs="Arial"/>
          <w:sz w:val="22"/>
          <w:szCs w:val="22"/>
        </w:rPr>
      </w:pPr>
    </w:p>
    <w:p w:rsidR="00760B01" w:rsidRDefault="00760B01">
      <w:pPr>
        <w:rPr>
          <w:rFonts w:ascii="Arial" w:hAnsi="Arial" w:cs="Arial"/>
          <w:sz w:val="22"/>
          <w:szCs w:val="22"/>
        </w:rPr>
      </w:pPr>
    </w:p>
    <w:p w:rsidR="00012172" w:rsidRDefault="00012172">
      <w:pPr>
        <w:pStyle w:val="Sadraj1"/>
        <w:rPr>
          <w:bCs w:val="0"/>
          <w:szCs w:val="22"/>
        </w:rPr>
      </w:pPr>
      <w:r>
        <w:rPr>
          <w:bCs w:val="0"/>
          <w:szCs w:val="22"/>
        </w:rPr>
        <w:t>b) Površine izvan građevinskih područja</w:t>
      </w:r>
    </w:p>
    <w:p w:rsidR="00012172" w:rsidRDefault="00012172">
      <w:pPr>
        <w:rPr>
          <w:rFonts w:ascii="Arial" w:hAnsi="Arial" w:cs="Arial"/>
          <w:sz w:val="22"/>
          <w:szCs w:val="22"/>
        </w:rPr>
      </w:pPr>
    </w:p>
    <w:p w:rsidR="00012172" w:rsidRDefault="00012172">
      <w:pPr>
        <w:rPr>
          <w:rFonts w:ascii="Arial" w:hAnsi="Arial" w:cs="Arial"/>
          <w:sz w:val="22"/>
          <w:szCs w:val="22"/>
        </w:rPr>
      </w:pPr>
    </w:p>
    <w:p w:rsidR="00012172" w:rsidRDefault="00012172">
      <w:pPr>
        <w:rPr>
          <w:rFonts w:ascii="Arial" w:hAnsi="Arial" w:cs="Arial"/>
          <w:b/>
          <w:sz w:val="22"/>
          <w:szCs w:val="22"/>
        </w:rPr>
      </w:pPr>
      <w:r>
        <w:rPr>
          <w:rFonts w:ascii="Arial" w:hAnsi="Arial" w:cs="Arial"/>
          <w:b/>
          <w:sz w:val="22"/>
          <w:szCs w:val="22"/>
        </w:rPr>
        <w:t>Gospodarska namjena – proizvodna (I1)</w:t>
      </w:r>
    </w:p>
    <w:p w:rsidR="00012172" w:rsidRDefault="00012172">
      <w:pPr>
        <w:jc w:val="both"/>
        <w:rPr>
          <w:rFonts w:ascii="Arial" w:hAnsi="Arial" w:cs="Arial"/>
          <w:sz w:val="22"/>
          <w:szCs w:val="22"/>
        </w:rPr>
      </w:pPr>
      <w:r>
        <w:rPr>
          <w:rFonts w:ascii="Arial" w:hAnsi="Arial" w:cs="Arial"/>
          <w:sz w:val="22"/>
          <w:szCs w:val="22"/>
        </w:rPr>
        <w:t xml:space="preserve">Izvan naselja planiraju se poduzetničke zone namjenjene pretežito industrijsko-obrtničkoj proizvodnji: u </w:t>
      </w:r>
      <w:r w:rsidR="00E75E08">
        <w:rPr>
          <w:rFonts w:ascii="Arial" w:hAnsi="Arial" w:cs="Arial"/>
          <w:sz w:val="22"/>
          <w:szCs w:val="22"/>
        </w:rPr>
        <w:t>Pofukima</w:t>
      </w:r>
      <w:r>
        <w:rPr>
          <w:rFonts w:ascii="Arial" w:hAnsi="Arial" w:cs="Arial"/>
          <w:sz w:val="22"/>
          <w:szCs w:val="22"/>
        </w:rPr>
        <w:t>i i Dropkovcu.</w:t>
      </w:r>
    </w:p>
    <w:p w:rsidR="00012172" w:rsidRDefault="00012172">
      <w:pPr>
        <w:pStyle w:val="StandardWeb"/>
        <w:spacing w:before="0" w:beforeAutospacing="0" w:after="0" w:afterAutospacing="0"/>
        <w:rPr>
          <w:szCs w:val="22"/>
        </w:rPr>
      </w:pPr>
    </w:p>
    <w:p w:rsidR="00012172" w:rsidRDefault="00012172">
      <w:pPr>
        <w:jc w:val="both"/>
        <w:rPr>
          <w:b/>
          <w:szCs w:val="22"/>
        </w:rPr>
      </w:pPr>
      <w:r>
        <w:rPr>
          <w:b/>
          <w:szCs w:val="22"/>
        </w:rPr>
        <w:t>Poljoprivredno tlo isključivo osnovne namjene – ostalo obradivo tlo P3</w:t>
      </w:r>
    </w:p>
    <w:p w:rsidR="00012172" w:rsidRDefault="00012172">
      <w:pPr>
        <w:rPr>
          <w:rFonts w:ascii="Arial" w:hAnsi="Arial" w:cs="Arial"/>
          <w:sz w:val="22"/>
          <w:szCs w:val="22"/>
        </w:rPr>
      </w:pPr>
    </w:p>
    <w:p w:rsidR="00012172" w:rsidRDefault="00012172">
      <w:pPr>
        <w:rPr>
          <w:rFonts w:ascii="Arial" w:hAnsi="Arial" w:cs="Arial"/>
          <w:sz w:val="22"/>
          <w:szCs w:val="22"/>
        </w:rPr>
      </w:pPr>
    </w:p>
    <w:p w:rsidR="00012172" w:rsidRDefault="00012172">
      <w:pPr>
        <w:rPr>
          <w:b/>
          <w:szCs w:val="22"/>
        </w:rPr>
      </w:pPr>
      <w:r>
        <w:rPr>
          <w:b/>
          <w:szCs w:val="22"/>
        </w:rPr>
        <w:t>Ostalo poljoprivredno tlo, šume i šumsko zemljište (PŠ)</w:t>
      </w:r>
    </w:p>
    <w:p w:rsidR="00012172" w:rsidRDefault="00012172">
      <w:pPr>
        <w:jc w:val="both"/>
        <w:rPr>
          <w:rFonts w:ascii="Arial" w:hAnsi="Arial" w:cs="Arial"/>
          <w:sz w:val="22"/>
          <w:szCs w:val="22"/>
        </w:rPr>
      </w:pPr>
      <w:r>
        <w:rPr>
          <w:rFonts w:ascii="Arial" w:hAnsi="Arial" w:cs="Arial"/>
          <w:sz w:val="22"/>
          <w:szCs w:val="22"/>
        </w:rPr>
        <w:t xml:space="preserve">Površine na kojima prevladavaju šumarci, livade i ostalo poljoprivredno zemljište bez velikih kompaktnih površina ubraja se u ostalo poljoprivredno tlo, šume i šumsko zemljište. </w:t>
      </w:r>
    </w:p>
    <w:p w:rsidR="00012172" w:rsidRDefault="00012172">
      <w:pPr>
        <w:jc w:val="both"/>
        <w:rPr>
          <w:rFonts w:ascii="Arial" w:hAnsi="Arial" w:cs="Arial"/>
          <w:b/>
          <w:sz w:val="22"/>
          <w:szCs w:val="22"/>
        </w:rPr>
      </w:pPr>
    </w:p>
    <w:p w:rsidR="00012172" w:rsidRDefault="00012172">
      <w:pPr>
        <w:jc w:val="both"/>
        <w:rPr>
          <w:rFonts w:ascii="Arial" w:hAnsi="Arial" w:cs="Arial"/>
          <w:b/>
          <w:sz w:val="22"/>
          <w:szCs w:val="22"/>
        </w:rPr>
      </w:pPr>
    </w:p>
    <w:p w:rsidR="00012172" w:rsidRDefault="00012172">
      <w:pPr>
        <w:jc w:val="both"/>
        <w:rPr>
          <w:rFonts w:ascii="Arial" w:hAnsi="Arial" w:cs="Arial"/>
          <w:b/>
          <w:sz w:val="22"/>
          <w:szCs w:val="22"/>
        </w:rPr>
      </w:pPr>
      <w:r>
        <w:rPr>
          <w:rFonts w:ascii="Arial" w:hAnsi="Arial" w:cs="Arial"/>
          <w:b/>
          <w:sz w:val="22"/>
          <w:szCs w:val="22"/>
        </w:rPr>
        <w:t>Površine za šport i rekreaciju</w:t>
      </w:r>
    </w:p>
    <w:p w:rsidR="00012172" w:rsidRDefault="00012172">
      <w:pPr>
        <w:jc w:val="both"/>
        <w:rPr>
          <w:rFonts w:ascii="Arial" w:hAnsi="Arial" w:cs="Arial"/>
          <w:sz w:val="22"/>
          <w:szCs w:val="22"/>
        </w:rPr>
      </w:pPr>
      <w:r>
        <w:rPr>
          <w:rFonts w:ascii="Arial" w:hAnsi="Arial" w:cs="Arial"/>
          <w:sz w:val="22"/>
          <w:szCs w:val="22"/>
        </w:rPr>
        <w:t xml:space="preserve">Pod rekreacijskim građevinama podrazumijevaju se građevine u kojima se odvijaju djelatnosti koje su funkcionalno vezane za specifična prirodna područja i značajne prirodne osobitosti kao što su: konfiguracija terena, prirodni resursi, ljepota krajobraza, itd., a važne su za odvijanje različitih oblika rekreacije. Nogometna igrališta, planinarske staze, paraglajdnig piste, teniski tereni i prateći objekti, šetnice, vježbališta, i slični prostori, namijenjene su aktivnoj i pasivnoj rekreaciji građana. </w:t>
      </w:r>
      <w:r w:rsidR="00007AAB">
        <w:rPr>
          <w:rFonts w:ascii="Arial" w:hAnsi="Arial" w:cs="Arial"/>
          <w:sz w:val="22"/>
          <w:szCs w:val="22"/>
        </w:rPr>
        <w:t>U planu je izgradnja bazena i golf terena na području Općine.</w:t>
      </w:r>
    </w:p>
    <w:p w:rsidR="00012172" w:rsidRDefault="00012172">
      <w:pPr>
        <w:jc w:val="both"/>
        <w:rPr>
          <w:rFonts w:ascii="Arial" w:hAnsi="Arial" w:cs="Arial"/>
          <w:sz w:val="22"/>
          <w:szCs w:val="22"/>
        </w:rPr>
      </w:pPr>
    </w:p>
    <w:p w:rsidR="00012172" w:rsidRDefault="00012172">
      <w:pPr>
        <w:pStyle w:val="Naslov7"/>
        <w:rPr>
          <w:rFonts w:cs="Arial"/>
          <w:bCs/>
        </w:rPr>
      </w:pPr>
      <w:r>
        <w:rPr>
          <w:rFonts w:cs="Arial"/>
          <w:bCs/>
        </w:rPr>
        <w:t>Vodene površine</w:t>
      </w:r>
    </w:p>
    <w:p w:rsidR="00012172" w:rsidRDefault="00012172">
      <w:pPr>
        <w:jc w:val="both"/>
        <w:rPr>
          <w:rFonts w:ascii="Arial" w:hAnsi="Arial" w:cs="Arial"/>
          <w:sz w:val="22"/>
          <w:szCs w:val="22"/>
        </w:rPr>
      </w:pPr>
      <w:r>
        <w:rPr>
          <w:rFonts w:ascii="Arial" w:hAnsi="Arial" w:cs="Arial"/>
          <w:sz w:val="22"/>
          <w:szCs w:val="22"/>
        </w:rPr>
        <w:t>U vodene površine spadaju vodotoci, jezera i planirane retencije.</w:t>
      </w:r>
    </w:p>
    <w:p w:rsidR="00012172" w:rsidRDefault="00012172">
      <w:pPr>
        <w:jc w:val="both"/>
        <w:rPr>
          <w:rFonts w:ascii="Arial" w:hAnsi="Arial" w:cs="Arial"/>
          <w:sz w:val="22"/>
          <w:szCs w:val="22"/>
        </w:rPr>
      </w:pPr>
    </w:p>
    <w:p w:rsidR="00012172" w:rsidRDefault="00012172">
      <w:pPr>
        <w:tabs>
          <w:tab w:val="left" w:pos="6010"/>
        </w:tabs>
        <w:jc w:val="both"/>
        <w:rPr>
          <w:rFonts w:ascii="Arial" w:hAnsi="Arial" w:cs="Arial"/>
          <w:b/>
          <w:sz w:val="22"/>
          <w:szCs w:val="22"/>
        </w:rPr>
      </w:pPr>
      <w:r>
        <w:rPr>
          <w:rFonts w:ascii="Arial" w:hAnsi="Arial" w:cs="Arial"/>
          <w:b/>
          <w:sz w:val="22"/>
          <w:szCs w:val="22"/>
        </w:rPr>
        <w:t>Groblja:</w:t>
      </w:r>
    </w:p>
    <w:p w:rsidR="00012172" w:rsidRDefault="00012172">
      <w:pPr>
        <w:tabs>
          <w:tab w:val="left" w:pos="6010"/>
        </w:tabs>
        <w:jc w:val="both"/>
        <w:rPr>
          <w:rFonts w:ascii="Arial" w:hAnsi="Arial" w:cs="Arial"/>
          <w:sz w:val="22"/>
          <w:szCs w:val="22"/>
        </w:rPr>
      </w:pPr>
      <w:r>
        <w:rPr>
          <w:rFonts w:ascii="Arial" w:hAnsi="Arial" w:cs="Arial"/>
          <w:sz w:val="22"/>
          <w:szCs w:val="22"/>
        </w:rPr>
        <w:t>Mjesno groblje  Gornja Rijeka</w:t>
      </w:r>
    </w:p>
    <w:p w:rsidR="00012172" w:rsidRDefault="00012172">
      <w:pPr>
        <w:tabs>
          <w:tab w:val="left" w:pos="6010"/>
        </w:tabs>
        <w:jc w:val="both"/>
        <w:rPr>
          <w:rFonts w:ascii="Arial" w:hAnsi="Arial" w:cs="Arial"/>
          <w:sz w:val="22"/>
          <w:szCs w:val="22"/>
        </w:rPr>
      </w:pPr>
      <w:r>
        <w:rPr>
          <w:rFonts w:ascii="Arial" w:hAnsi="Arial" w:cs="Arial"/>
          <w:sz w:val="22"/>
          <w:szCs w:val="22"/>
        </w:rPr>
        <w:t>Mjesno groblje Dropkovec</w:t>
      </w:r>
    </w:p>
    <w:p w:rsidR="00012172" w:rsidRDefault="00012172">
      <w:pPr>
        <w:pStyle w:val="StandardWeb"/>
        <w:spacing w:before="0" w:beforeAutospacing="0" w:after="0" w:afterAutospacing="0"/>
        <w:rPr>
          <w:rFonts w:ascii="Arial" w:hAnsi="Arial" w:cs="Arial"/>
          <w:sz w:val="22"/>
          <w:szCs w:val="22"/>
        </w:rPr>
      </w:pPr>
    </w:p>
    <w:p w:rsidR="00012172" w:rsidRDefault="00012172">
      <w:pPr>
        <w:jc w:val="both"/>
        <w:rPr>
          <w:rFonts w:ascii="Arial" w:hAnsi="Arial" w:cs="Arial"/>
          <w:sz w:val="22"/>
          <w:szCs w:val="22"/>
        </w:rPr>
      </w:pPr>
      <w:r>
        <w:rPr>
          <w:rFonts w:ascii="Arial" w:hAnsi="Arial" w:cs="Arial"/>
          <w:bCs/>
          <w:sz w:val="22"/>
        </w:rPr>
        <w:t xml:space="preserve">Groblja </w:t>
      </w:r>
      <w:r>
        <w:rPr>
          <w:rFonts w:ascii="Arial" w:hAnsi="Arial" w:cs="Arial"/>
          <w:sz w:val="22"/>
        </w:rPr>
        <w:t xml:space="preserve">su prostorni čuvari povijesti porodica i naselja i imaju lokalnu vrijednost. Osim svoje povijesno dokumentarne vrijednosti često imaju i kulturno umjetničku, koja se očituje u oblikovanju križeva i nadgrobnih ploča, u pravilu proizašlih iz ruku lokalnih graditelja i majstora. </w:t>
      </w:r>
    </w:p>
    <w:p w:rsidR="00012172" w:rsidRDefault="00012172">
      <w:pPr>
        <w:jc w:val="both"/>
        <w:rPr>
          <w:rFonts w:ascii="Arial" w:hAnsi="Arial" w:cs="Arial"/>
          <w:sz w:val="22"/>
          <w:szCs w:val="22"/>
        </w:rPr>
      </w:pPr>
    </w:p>
    <w:p w:rsidR="00E75E08" w:rsidRDefault="00E75E08">
      <w:pPr>
        <w:jc w:val="both"/>
        <w:rPr>
          <w:rFonts w:ascii="Arial" w:hAnsi="Arial" w:cs="Arial"/>
          <w:sz w:val="22"/>
          <w:szCs w:val="22"/>
        </w:rPr>
      </w:pPr>
    </w:p>
    <w:p w:rsidR="00E75E08" w:rsidRDefault="00E75E08">
      <w:pPr>
        <w:jc w:val="both"/>
        <w:rPr>
          <w:rFonts w:ascii="Arial" w:hAnsi="Arial" w:cs="Arial"/>
          <w:sz w:val="22"/>
          <w:szCs w:val="22"/>
        </w:rPr>
      </w:pPr>
    </w:p>
    <w:p w:rsidR="00E75E08" w:rsidRDefault="00E75E08">
      <w:pPr>
        <w:jc w:val="both"/>
        <w:rPr>
          <w:rFonts w:ascii="Arial" w:hAnsi="Arial" w:cs="Arial"/>
          <w:sz w:val="22"/>
          <w:szCs w:val="22"/>
        </w:rPr>
      </w:pPr>
    </w:p>
    <w:p w:rsidR="00E75E08" w:rsidRDefault="00E75E08">
      <w:pPr>
        <w:jc w:val="both"/>
        <w:rPr>
          <w:rFonts w:ascii="Arial" w:hAnsi="Arial" w:cs="Arial"/>
          <w:sz w:val="22"/>
          <w:szCs w:val="22"/>
        </w:rPr>
      </w:pPr>
    </w:p>
    <w:p w:rsidR="00E75E08" w:rsidRDefault="00E75E08">
      <w:pPr>
        <w:jc w:val="both"/>
        <w:rPr>
          <w:rFonts w:ascii="Arial" w:hAnsi="Arial" w:cs="Arial"/>
          <w:sz w:val="22"/>
          <w:szCs w:val="22"/>
        </w:rPr>
      </w:pPr>
    </w:p>
    <w:p w:rsidR="00E75E08" w:rsidRDefault="00E75E08">
      <w:pPr>
        <w:jc w:val="both"/>
        <w:rPr>
          <w:rFonts w:ascii="Arial" w:hAnsi="Arial" w:cs="Arial"/>
          <w:sz w:val="22"/>
          <w:szCs w:val="22"/>
        </w:rPr>
      </w:pPr>
    </w:p>
    <w:p w:rsidR="00E75E08" w:rsidRDefault="00E75E08">
      <w:pPr>
        <w:jc w:val="both"/>
        <w:rPr>
          <w:rFonts w:ascii="Arial" w:hAnsi="Arial" w:cs="Arial"/>
          <w:sz w:val="22"/>
          <w:szCs w:val="22"/>
        </w:rPr>
      </w:pPr>
    </w:p>
    <w:p w:rsidR="00E75E08" w:rsidRDefault="00E75E08">
      <w:pPr>
        <w:jc w:val="both"/>
        <w:rPr>
          <w:rFonts w:ascii="Arial" w:hAnsi="Arial" w:cs="Arial"/>
          <w:sz w:val="22"/>
          <w:szCs w:val="22"/>
        </w:rPr>
      </w:pPr>
    </w:p>
    <w:p w:rsidR="00E75E08" w:rsidRDefault="00E75E08">
      <w:pPr>
        <w:jc w:val="both"/>
        <w:rPr>
          <w:rFonts w:ascii="Arial" w:hAnsi="Arial" w:cs="Arial"/>
          <w:sz w:val="22"/>
          <w:szCs w:val="22"/>
        </w:rPr>
      </w:pPr>
    </w:p>
    <w:p w:rsidR="00E75E08" w:rsidRDefault="00E75E08">
      <w:pPr>
        <w:jc w:val="both"/>
        <w:rPr>
          <w:rFonts w:ascii="Arial" w:hAnsi="Arial" w:cs="Arial"/>
          <w:sz w:val="22"/>
          <w:szCs w:val="22"/>
        </w:rPr>
      </w:pPr>
    </w:p>
    <w:p w:rsidR="00E75E08" w:rsidRDefault="00E75E08">
      <w:pPr>
        <w:jc w:val="both"/>
        <w:rPr>
          <w:rFonts w:ascii="Arial" w:hAnsi="Arial" w:cs="Arial"/>
          <w:sz w:val="22"/>
          <w:szCs w:val="22"/>
        </w:rPr>
      </w:pPr>
    </w:p>
    <w:p w:rsidR="00E75E08" w:rsidRDefault="00E75E08">
      <w:pPr>
        <w:jc w:val="both"/>
        <w:rPr>
          <w:rFonts w:ascii="Arial" w:hAnsi="Arial" w:cs="Arial"/>
          <w:sz w:val="22"/>
          <w:szCs w:val="22"/>
        </w:rPr>
      </w:pPr>
    </w:p>
    <w:p w:rsidR="00E75E08" w:rsidRDefault="00E75E08">
      <w:pPr>
        <w:jc w:val="both"/>
        <w:rPr>
          <w:rFonts w:ascii="Arial" w:hAnsi="Arial" w:cs="Arial"/>
          <w:sz w:val="22"/>
          <w:szCs w:val="22"/>
        </w:rPr>
      </w:pPr>
    </w:p>
    <w:p w:rsidR="00E75E08" w:rsidRDefault="00E75E08">
      <w:pPr>
        <w:jc w:val="both"/>
        <w:rPr>
          <w:rFonts w:ascii="Arial" w:hAnsi="Arial" w:cs="Arial"/>
          <w:sz w:val="22"/>
          <w:szCs w:val="22"/>
        </w:rPr>
      </w:pPr>
    </w:p>
    <w:p w:rsidR="00E75E08" w:rsidRDefault="00E75E08">
      <w:pPr>
        <w:jc w:val="both"/>
        <w:rPr>
          <w:rFonts w:ascii="Arial" w:hAnsi="Arial" w:cs="Arial"/>
          <w:sz w:val="22"/>
          <w:szCs w:val="22"/>
        </w:rPr>
      </w:pPr>
    </w:p>
    <w:p w:rsidR="00E75E08" w:rsidRDefault="00E75E08">
      <w:pPr>
        <w:jc w:val="both"/>
        <w:rPr>
          <w:rFonts w:ascii="Arial" w:hAnsi="Arial" w:cs="Arial"/>
          <w:sz w:val="22"/>
          <w:szCs w:val="22"/>
        </w:rPr>
      </w:pPr>
    </w:p>
    <w:p w:rsidR="00012172" w:rsidRDefault="00012172">
      <w:r>
        <w:rPr>
          <w:rFonts w:ascii="Arial" w:hAnsi="Arial" w:cs="Arial"/>
          <w:sz w:val="22"/>
          <w:szCs w:val="22"/>
        </w:rPr>
        <w:t xml:space="preserve">3.2.1. Iskaz prostornih pokazatelja za namjenu površina (naselja i izgrađene strukture van naselja; poljoprivredne, šumske, vodne te površine posebne namjene i ostale površine) - tablica 3. </w:t>
      </w:r>
    </w:p>
    <w:tbl>
      <w:tblPr>
        <w:tblW w:w="0" w:type="auto"/>
        <w:tblInd w:w="108" w:type="dxa"/>
        <w:tblBorders>
          <w:top w:val="double" w:sz="18" w:space="0" w:color="auto"/>
          <w:left w:val="double" w:sz="18" w:space="0" w:color="auto"/>
          <w:bottom w:val="double" w:sz="18" w:space="0" w:color="auto"/>
          <w:right w:val="double" w:sz="18" w:space="0" w:color="auto"/>
        </w:tblBorders>
        <w:tblLayout w:type="fixed"/>
        <w:tblLook w:val="0000" w:firstRow="0" w:lastRow="0" w:firstColumn="0" w:lastColumn="0" w:noHBand="0" w:noVBand="0"/>
      </w:tblPr>
      <w:tblGrid>
        <w:gridCol w:w="567"/>
        <w:gridCol w:w="3544"/>
        <w:gridCol w:w="851"/>
        <w:gridCol w:w="1559"/>
        <w:gridCol w:w="992"/>
        <w:gridCol w:w="1127"/>
      </w:tblGrid>
      <w:tr w:rsidR="00012172">
        <w:tc>
          <w:tcPr>
            <w:tcW w:w="567" w:type="dxa"/>
            <w:tcBorders>
              <w:top w:val="double" w:sz="4" w:space="0" w:color="auto"/>
              <w:left w:val="double" w:sz="4" w:space="0" w:color="auto"/>
              <w:bottom w:val="single" w:sz="4" w:space="0" w:color="auto"/>
              <w:right w:val="single" w:sz="4" w:space="0" w:color="auto"/>
            </w:tcBorders>
            <w:vAlign w:val="center"/>
          </w:tcPr>
          <w:p w:rsidR="00012172" w:rsidRDefault="00012172">
            <w:pPr>
              <w:pStyle w:val="Tijeloteksta"/>
              <w:jc w:val="center"/>
              <w:rPr>
                <w:bCs/>
                <w:sz w:val="16"/>
                <w:lang w:val="de-DE"/>
              </w:rPr>
            </w:pPr>
            <w:r>
              <w:rPr>
                <w:bCs/>
                <w:sz w:val="16"/>
                <w:lang w:val="de-DE"/>
              </w:rPr>
              <w:t>Red.</w:t>
            </w:r>
          </w:p>
          <w:p w:rsidR="00012172" w:rsidRDefault="00012172">
            <w:pPr>
              <w:pStyle w:val="Tijeloteksta"/>
              <w:jc w:val="center"/>
              <w:rPr>
                <w:bCs/>
                <w:sz w:val="16"/>
                <w:lang w:val="de-DE"/>
              </w:rPr>
            </w:pPr>
            <w:r>
              <w:rPr>
                <w:bCs/>
                <w:sz w:val="16"/>
                <w:lang w:val="de-DE"/>
              </w:rPr>
              <w:t>broj</w:t>
            </w:r>
          </w:p>
        </w:tc>
        <w:tc>
          <w:tcPr>
            <w:tcW w:w="3544" w:type="dxa"/>
            <w:tcBorders>
              <w:top w:val="double" w:sz="4" w:space="0" w:color="auto"/>
              <w:left w:val="single" w:sz="4" w:space="0" w:color="auto"/>
              <w:bottom w:val="single" w:sz="4" w:space="0" w:color="auto"/>
              <w:right w:val="single" w:sz="4" w:space="0" w:color="auto"/>
            </w:tcBorders>
          </w:tcPr>
          <w:p w:rsidR="00012172" w:rsidRDefault="00012172">
            <w:pPr>
              <w:pStyle w:val="Tijeloteksta"/>
              <w:rPr>
                <w:b/>
                <w:sz w:val="12"/>
                <w:lang w:val="de-DE"/>
              </w:rPr>
            </w:pPr>
            <w:r>
              <w:rPr>
                <w:b/>
                <w:sz w:val="12"/>
                <w:lang w:val="de-DE"/>
              </w:rPr>
              <w:t>Naziv županije/općine/grada</w:t>
            </w:r>
          </w:p>
          <w:p w:rsidR="00012172" w:rsidRPr="00165BAC" w:rsidRDefault="00012172">
            <w:pPr>
              <w:pStyle w:val="Tijeloteksta"/>
              <w:jc w:val="center"/>
              <w:rPr>
                <w:b/>
                <w:sz w:val="18"/>
                <w:lang w:val="de-DE"/>
              </w:rPr>
            </w:pPr>
            <w:r w:rsidRPr="00165BAC">
              <w:rPr>
                <w:b/>
                <w:sz w:val="18"/>
                <w:lang w:val="de-DE"/>
              </w:rPr>
              <w:t>OPĆINA GORNJA RIJEKA</w:t>
            </w:r>
          </w:p>
        </w:tc>
        <w:tc>
          <w:tcPr>
            <w:tcW w:w="851" w:type="dxa"/>
            <w:tcBorders>
              <w:top w:val="double" w:sz="4" w:space="0" w:color="auto"/>
              <w:left w:val="single" w:sz="4" w:space="0" w:color="auto"/>
              <w:bottom w:val="single" w:sz="4" w:space="0" w:color="auto"/>
              <w:right w:val="single" w:sz="4" w:space="0" w:color="auto"/>
            </w:tcBorders>
          </w:tcPr>
          <w:p w:rsidR="00012172" w:rsidRPr="00165BAC" w:rsidRDefault="00012172">
            <w:pPr>
              <w:pStyle w:val="Tijeloteksta"/>
              <w:rPr>
                <w:bCs/>
                <w:sz w:val="18"/>
                <w:lang w:val="de-DE"/>
              </w:rPr>
            </w:pPr>
          </w:p>
          <w:p w:rsidR="00012172" w:rsidRDefault="00012172">
            <w:pPr>
              <w:pStyle w:val="Tijeloteksta"/>
              <w:rPr>
                <w:bCs/>
                <w:sz w:val="18"/>
                <w:lang w:val="de-DE"/>
              </w:rPr>
            </w:pPr>
            <w:r>
              <w:rPr>
                <w:bCs/>
                <w:sz w:val="18"/>
                <w:lang w:val="de-DE"/>
              </w:rPr>
              <w:t>Oznaka</w:t>
            </w:r>
          </w:p>
        </w:tc>
        <w:tc>
          <w:tcPr>
            <w:tcW w:w="1559" w:type="dxa"/>
            <w:tcBorders>
              <w:top w:val="double" w:sz="4" w:space="0" w:color="auto"/>
              <w:left w:val="single" w:sz="4" w:space="0" w:color="auto"/>
              <w:bottom w:val="single" w:sz="4" w:space="0" w:color="auto"/>
              <w:right w:val="single" w:sz="4" w:space="0" w:color="auto"/>
            </w:tcBorders>
            <w:vAlign w:val="center"/>
          </w:tcPr>
          <w:p w:rsidR="00012172" w:rsidRDefault="00012172">
            <w:pPr>
              <w:pStyle w:val="Tijeloteksta"/>
              <w:spacing w:line="360" w:lineRule="auto"/>
              <w:jc w:val="center"/>
              <w:rPr>
                <w:bCs/>
                <w:sz w:val="20"/>
                <w:lang w:val="de-DE"/>
              </w:rPr>
            </w:pPr>
            <w:r>
              <w:rPr>
                <w:bCs/>
                <w:sz w:val="20"/>
                <w:lang w:val="de-DE"/>
              </w:rPr>
              <w:t>Ukupno /ha/</w:t>
            </w:r>
          </w:p>
        </w:tc>
        <w:tc>
          <w:tcPr>
            <w:tcW w:w="992" w:type="dxa"/>
            <w:tcBorders>
              <w:top w:val="double" w:sz="4" w:space="0" w:color="auto"/>
              <w:left w:val="single" w:sz="4" w:space="0" w:color="auto"/>
              <w:bottom w:val="single" w:sz="4" w:space="0" w:color="auto"/>
              <w:right w:val="single" w:sz="4" w:space="0" w:color="auto"/>
            </w:tcBorders>
          </w:tcPr>
          <w:p w:rsidR="00012172" w:rsidRDefault="00012172">
            <w:pPr>
              <w:pStyle w:val="Tijeloteksta"/>
              <w:jc w:val="center"/>
              <w:rPr>
                <w:bCs/>
                <w:sz w:val="18"/>
                <w:lang w:val="de-DE"/>
              </w:rPr>
            </w:pPr>
            <w:r>
              <w:rPr>
                <w:bCs/>
                <w:sz w:val="18"/>
                <w:lang w:val="de-DE"/>
              </w:rPr>
              <w:t>%  od</w:t>
            </w:r>
          </w:p>
          <w:p w:rsidR="00012172" w:rsidRDefault="00012172">
            <w:pPr>
              <w:pStyle w:val="Tijeloteksta"/>
              <w:jc w:val="center"/>
              <w:rPr>
                <w:bCs/>
                <w:sz w:val="18"/>
                <w:lang w:val="de-DE"/>
              </w:rPr>
            </w:pPr>
            <w:r>
              <w:rPr>
                <w:bCs/>
                <w:sz w:val="18"/>
                <w:lang w:val="de-DE"/>
              </w:rPr>
              <w:t>površine</w:t>
            </w:r>
          </w:p>
          <w:p w:rsidR="00012172" w:rsidRDefault="00012172">
            <w:pPr>
              <w:pStyle w:val="Tijeloteksta"/>
              <w:jc w:val="center"/>
              <w:rPr>
                <w:bCs/>
                <w:sz w:val="18"/>
                <w:lang w:val="de-DE"/>
              </w:rPr>
            </w:pPr>
            <w:r>
              <w:rPr>
                <w:bCs/>
                <w:sz w:val="18"/>
                <w:lang w:val="de-DE"/>
              </w:rPr>
              <w:t>općine</w:t>
            </w:r>
          </w:p>
        </w:tc>
        <w:tc>
          <w:tcPr>
            <w:tcW w:w="1127" w:type="dxa"/>
            <w:tcBorders>
              <w:top w:val="double" w:sz="4" w:space="0" w:color="auto"/>
              <w:left w:val="single" w:sz="4" w:space="0" w:color="auto"/>
              <w:bottom w:val="single" w:sz="4" w:space="0" w:color="auto"/>
              <w:right w:val="double" w:sz="4" w:space="0" w:color="auto"/>
            </w:tcBorders>
            <w:vAlign w:val="center"/>
          </w:tcPr>
          <w:p w:rsidR="00012172" w:rsidRDefault="00012172">
            <w:pPr>
              <w:pStyle w:val="Tijeloteksta"/>
              <w:jc w:val="center"/>
              <w:rPr>
                <w:bCs/>
                <w:sz w:val="18"/>
                <w:lang w:val="de-DE"/>
              </w:rPr>
            </w:pPr>
            <w:r>
              <w:rPr>
                <w:bCs/>
                <w:sz w:val="18"/>
                <w:lang w:val="de-DE"/>
              </w:rPr>
              <w:t>stan/ha</w:t>
            </w:r>
          </w:p>
          <w:p w:rsidR="00012172" w:rsidRDefault="00012172">
            <w:pPr>
              <w:pStyle w:val="Tijeloteksta"/>
              <w:jc w:val="center"/>
              <w:rPr>
                <w:bCs/>
                <w:sz w:val="18"/>
                <w:lang w:val="de-DE"/>
              </w:rPr>
            </w:pPr>
          </w:p>
        </w:tc>
      </w:tr>
      <w:tr w:rsidR="00012172">
        <w:tc>
          <w:tcPr>
            <w:tcW w:w="567" w:type="dxa"/>
            <w:tcBorders>
              <w:top w:val="single" w:sz="4" w:space="0" w:color="auto"/>
              <w:left w:val="double" w:sz="4" w:space="0" w:color="auto"/>
              <w:bottom w:val="single" w:sz="4" w:space="0" w:color="auto"/>
              <w:right w:val="single" w:sz="4" w:space="0" w:color="auto"/>
            </w:tcBorders>
          </w:tcPr>
          <w:p w:rsidR="00012172" w:rsidRDefault="00012172">
            <w:pPr>
              <w:pStyle w:val="Tijeloteksta"/>
              <w:jc w:val="center"/>
              <w:rPr>
                <w:sz w:val="18"/>
              </w:rPr>
            </w:pPr>
            <w:r>
              <w:rPr>
                <w:sz w:val="18"/>
              </w:rPr>
              <w:t>1.0.</w:t>
            </w:r>
          </w:p>
        </w:tc>
        <w:tc>
          <w:tcPr>
            <w:tcW w:w="3544" w:type="dxa"/>
            <w:tcBorders>
              <w:top w:val="single" w:sz="4" w:space="0" w:color="auto"/>
              <w:left w:val="single" w:sz="4" w:space="0" w:color="auto"/>
              <w:bottom w:val="single" w:sz="4" w:space="0" w:color="auto"/>
              <w:right w:val="single" w:sz="4" w:space="0" w:color="auto"/>
            </w:tcBorders>
          </w:tcPr>
          <w:p w:rsidR="00012172" w:rsidRDefault="00012172">
            <w:pPr>
              <w:pStyle w:val="Tijeloteksta"/>
              <w:jc w:val="center"/>
              <w:rPr>
                <w:b/>
                <w:sz w:val="16"/>
              </w:rPr>
            </w:pPr>
            <w:r>
              <w:rPr>
                <w:b/>
                <w:sz w:val="16"/>
                <w:lang w:val="de-DE"/>
              </w:rPr>
              <w:t>ISKAZ</w:t>
            </w:r>
            <w:r>
              <w:rPr>
                <w:b/>
                <w:sz w:val="16"/>
              </w:rPr>
              <w:t xml:space="preserve"> </w:t>
            </w:r>
            <w:r>
              <w:rPr>
                <w:b/>
                <w:sz w:val="16"/>
                <w:lang w:val="de-DE"/>
              </w:rPr>
              <w:t>PROSTORNIH</w:t>
            </w:r>
            <w:r>
              <w:rPr>
                <w:b/>
                <w:sz w:val="16"/>
              </w:rPr>
              <w:t xml:space="preserve"> </w:t>
            </w:r>
            <w:r>
              <w:rPr>
                <w:b/>
                <w:sz w:val="16"/>
                <w:lang w:val="de-DE"/>
              </w:rPr>
              <w:t>POKAZATELJA</w:t>
            </w:r>
            <w:r>
              <w:rPr>
                <w:b/>
                <w:sz w:val="16"/>
              </w:rPr>
              <w:t xml:space="preserve"> </w:t>
            </w:r>
            <w:r>
              <w:rPr>
                <w:b/>
                <w:sz w:val="16"/>
                <w:lang w:val="de-DE"/>
              </w:rPr>
              <w:t>ZA</w:t>
            </w:r>
            <w:r>
              <w:rPr>
                <w:b/>
                <w:sz w:val="16"/>
              </w:rPr>
              <w:t xml:space="preserve"> </w:t>
            </w:r>
            <w:r>
              <w:rPr>
                <w:b/>
                <w:sz w:val="16"/>
                <w:lang w:val="de-DE"/>
              </w:rPr>
              <w:t>NAMJENU</w:t>
            </w:r>
            <w:r>
              <w:rPr>
                <w:b/>
                <w:sz w:val="16"/>
              </w:rPr>
              <w:t xml:space="preserve"> </w:t>
            </w:r>
            <w:r>
              <w:rPr>
                <w:b/>
                <w:sz w:val="16"/>
                <w:lang w:val="de-DE"/>
              </w:rPr>
              <w:t>POVR</w:t>
            </w:r>
            <w:r>
              <w:rPr>
                <w:b/>
                <w:sz w:val="16"/>
              </w:rPr>
              <w:t>Š</w:t>
            </w:r>
            <w:r>
              <w:rPr>
                <w:b/>
                <w:sz w:val="16"/>
                <w:lang w:val="de-DE"/>
              </w:rPr>
              <w:t>INA</w:t>
            </w:r>
          </w:p>
        </w:tc>
        <w:tc>
          <w:tcPr>
            <w:tcW w:w="4529" w:type="dxa"/>
            <w:gridSpan w:val="4"/>
            <w:tcBorders>
              <w:top w:val="single" w:sz="4" w:space="0" w:color="auto"/>
              <w:left w:val="single" w:sz="4" w:space="0" w:color="auto"/>
              <w:bottom w:val="single" w:sz="4" w:space="0" w:color="auto"/>
              <w:right w:val="double" w:sz="4" w:space="0" w:color="auto"/>
            </w:tcBorders>
          </w:tcPr>
          <w:p w:rsidR="00012172" w:rsidRDefault="00012172">
            <w:pPr>
              <w:pStyle w:val="Tijeloteksta"/>
            </w:pPr>
          </w:p>
        </w:tc>
      </w:tr>
      <w:tr w:rsidR="00012172">
        <w:tc>
          <w:tcPr>
            <w:tcW w:w="567" w:type="dxa"/>
            <w:tcBorders>
              <w:top w:val="single" w:sz="4" w:space="0" w:color="auto"/>
              <w:left w:val="double" w:sz="4" w:space="0" w:color="auto"/>
              <w:bottom w:val="single" w:sz="4" w:space="0" w:color="auto"/>
              <w:right w:val="single" w:sz="4" w:space="0" w:color="auto"/>
            </w:tcBorders>
          </w:tcPr>
          <w:p w:rsidR="00012172" w:rsidRDefault="00012172">
            <w:pPr>
              <w:pStyle w:val="Tijeloteksta"/>
              <w:jc w:val="center"/>
              <w:rPr>
                <w:sz w:val="18"/>
              </w:rPr>
            </w:pPr>
            <w:r>
              <w:rPr>
                <w:sz w:val="18"/>
              </w:rPr>
              <w:t>1.1.</w:t>
            </w:r>
          </w:p>
        </w:tc>
        <w:tc>
          <w:tcPr>
            <w:tcW w:w="3544" w:type="dxa"/>
            <w:tcBorders>
              <w:top w:val="single" w:sz="4" w:space="0" w:color="auto"/>
              <w:left w:val="single" w:sz="4" w:space="0" w:color="auto"/>
              <w:bottom w:val="single" w:sz="4" w:space="0" w:color="auto"/>
              <w:right w:val="single" w:sz="4" w:space="0" w:color="auto"/>
            </w:tcBorders>
          </w:tcPr>
          <w:p w:rsidR="00012172" w:rsidRDefault="00514426">
            <w:pPr>
              <w:pStyle w:val="Tijeloteksta"/>
              <w:rPr>
                <w:sz w:val="18"/>
              </w:rPr>
            </w:pPr>
            <w:r>
              <w:rPr>
                <w:sz w:val="18"/>
              </w:rPr>
              <w:t>Građevinska  područja</w:t>
            </w:r>
            <w:r w:rsidR="00012172">
              <w:rPr>
                <w:sz w:val="18"/>
              </w:rPr>
              <w:t xml:space="preserve">     ukupno</w:t>
            </w:r>
          </w:p>
          <w:p w:rsidR="00012172" w:rsidRDefault="00012172">
            <w:pPr>
              <w:pStyle w:val="Tijeloteksta"/>
              <w:rPr>
                <w:sz w:val="18"/>
              </w:rPr>
            </w:pPr>
          </w:p>
          <w:p w:rsidR="00012172" w:rsidRPr="00FC10DE" w:rsidRDefault="00012172" w:rsidP="00514426">
            <w:pPr>
              <w:pStyle w:val="Tijeloteksta"/>
              <w:rPr>
                <w:sz w:val="18"/>
              </w:rPr>
            </w:pPr>
            <w:r>
              <w:rPr>
                <w:sz w:val="18"/>
                <w:lang w:val="de-DE"/>
              </w:rPr>
              <w:t>izgra</w:t>
            </w:r>
            <w:r w:rsidRPr="00165BAC">
              <w:rPr>
                <w:sz w:val="18"/>
              </w:rPr>
              <w:t>đ</w:t>
            </w:r>
            <w:r>
              <w:rPr>
                <w:sz w:val="18"/>
                <w:lang w:val="de-DE"/>
              </w:rPr>
              <w:t>eni</w:t>
            </w:r>
            <w:r w:rsidRPr="00165BAC">
              <w:rPr>
                <w:sz w:val="18"/>
              </w:rPr>
              <w:t xml:space="preserve"> </w:t>
            </w:r>
            <w:r>
              <w:rPr>
                <w:sz w:val="18"/>
                <w:lang w:val="de-DE"/>
              </w:rPr>
              <w:t>dio</w:t>
            </w:r>
            <w:r w:rsidRPr="00165BAC">
              <w:rPr>
                <w:sz w:val="18"/>
              </w:rPr>
              <w:t xml:space="preserve"> </w:t>
            </w:r>
            <w:r>
              <w:rPr>
                <w:sz w:val="18"/>
                <w:lang w:val="de-DE"/>
              </w:rPr>
              <w:t>GP</w:t>
            </w:r>
          </w:p>
          <w:p w:rsidR="002D6CD9" w:rsidRPr="00514426" w:rsidRDefault="002D6CD9" w:rsidP="00514426">
            <w:pPr>
              <w:pStyle w:val="Tijeloteksta"/>
              <w:rPr>
                <w:sz w:val="18"/>
              </w:rPr>
            </w:pPr>
            <w:r>
              <w:rPr>
                <w:sz w:val="18"/>
                <w:lang w:val="de-DE"/>
              </w:rPr>
              <w:t>neizgrađeni dio</w:t>
            </w:r>
          </w:p>
        </w:tc>
        <w:tc>
          <w:tcPr>
            <w:tcW w:w="851" w:type="dxa"/>
            <w:tcBorders>
              <w:top w:val="single" w:sz="4" w:space="0" w:color="auto"/>
              <w:left w:val="single" w:sz="4" w:space="0" w:color="auto"/>
              <w:bottom w:val="single" w:sz="4" w:space="0" w:color="auto"/>
              <w:right w:val="single" w:sz="4" w:space="0" w:color="auto"/>
            </w:tcBorders>
            <w:vAlign w:val="center"/>
          </w:tcPr>
          <w:p w:rsidR="00012172" w:rsidRDefault="00012172">
            <w:pPr>
              <w:pStyle w:val="Tijeloteksta"/>
              <w:jc w:val="center"/>
              <w:rPr>
                <w:sz w:val="18"/>
                <w:lang w:val="de-DE"/>
              </w:rPr>
            </w:pPr>
            <w:r>
              <w:rPr>
                <w:sz w:val="18"/>
                <w:lang w:val="de-DE"/>
              </w:rPr>
              <w:t>GP</w:t>
            </w:r>
          </w:p>
        </w:tc>
        <w:tc>
          <w:tcPr>
            <w:tcW w:w="1559" w:type="dxa"/>
            <w:tcBorders>
              <w:top w:val="single" w:sz="4" w:space="0" w:color="auto"/>
              <w:left w:val="single" w:sz="4" w:space="0" w:color="auto"/>
              <w:bottom w:val="single" w:sz="4" w:space="0" w:color="auto"/>
              <w:right w:val="single" w:sz="4" w:space="0" w:color="auto"/>
            </w:tcBorders>
          </w:tcPr>
          <w:p w:rsidR="002D6CD9" w:rsidRDefault="002D6CD9">
            <w:pPr>
              <w:pStyle w:val="Tijeloteksta"/>
              <w:jc w:val="center"/>
              <w:rPr>
                <w:sz w:val="18"/>
                <w:lang w:val="de-DE"/>
              </w:rPr>
            </w:pPr>
            <w:r>
              <w:rPr>
                <w:sz w:val="18"/>
                <w:lang w:val="de-DE"/>
              </w:rPr>
              <w:t>250,3</w:t>
            </w:r>
          </w:p>
          <w:p w:rsidR="002D6CD9" w:rsidRDefault="002D6CD9">
            <w:pPr>
              <w:pStyle w:val="Tijeloteksta"/>
              <w:jc w:val="center"/>
              <w:rPr>
                <w:sz w:val="18"/>
                <w:lang w:val="de-DE"/>
              </w:rPr>
            </w:pPr>
          </w:p>
          <w:p w:rsidR="002D6CD9" w:rsidRDefault="002D6CD9" w:rsidP="002D6CD9">
            <w:pPr>
              <w:pStyle w:val="Tijeloteksta"/>
              <w:jc w:val="center"/>
              <w:rPr>
                <w:sz w:val="18"/>
                <w:lang w:val="de-DE"/>
              </w:rPr>
            </w:pPr>
            <w:r>
              <w:rPr>
                <w:sz w:val="18"/>
                <w:lang w:val="de-DE"/>
              </w:rPr>
              <w:t>223,0</w:t>
            </w:r>
          </w:p>
          <w:p w:rsidR="002D6CD9" w:rsidRDefault="002D6CD9" w:rsidP="002D6CD9">
            <w:pPr>
              <w:pStyle w:val="Tijeloteksta"/>
              <w:jc w:val="center"/>
              <w:rPr>
                <w:sz w:val="18"/>
                <w:lang w:val="de-DE"/>
              </w:rPr>
            </w:pPr>
            <w:r>
              <w:rPr>
                <w:sz w:val="18"/>
                <w:lang w:val="de-DE"/>
              </w:rPr>
              <w:t>22,3</w:t>
            </w:r>
          </w:p>
        </w:tc>
        <w:tc>
          <w:tcPr>
            <w:tcW w:w="992" w:type="dxa"/>
            <w:tcBorders>
              <w:top w:val="single" w:sz="4" w:space="0" w:color="auto"/>
              <w:left w:val="single" w:sz="4" w:space="0" w:color="auto"/>
              <w:bottom w:val="single" w:sz="4" w:space="0" w:color="auto"/>
              <w:right w:val="single" w:sz="4" w:space="0" w:color="auto"/>
            </w:tcBorders>
          </w:tcPr>
          <w:p w:rsidR="00012172" w:rsidRDefault="002D6CD9">
            <w:pPr>
              <w:pStyle w:val="Tijeloteksta"/>
              <w:jc w:val="center"/>
              <w:rPr>
                <w:sz w:val="18"/>
                <w:lang w:val="de-DE"/>
              </w:rPr>
            </w:pPr>
            <w:r>
              <w:rPr>
                <w:sz w:val="18"/>
                <w:lang w:val="de-DE"/>
              </w:rPr>
              <w:t>7,6</w:t>
            </w:r>
          </w:p>
          <w:p w:rsidR="002D6CD9" w:rsidRDefault="002D6CD9">
            <w:pPr>
              <w:pStyle w:val="Tijeloteksta"/>
              <w:jc w:val="center"/>
              <w:rPr>
                <w:sz w:val="18"/>
                <w:lang w:val="de-DE"/>
              </w:rPr>
            </w:pPr>
          </w:p>
          <w:p w:rsidR="002D6CD9" w:rsidRDefault="002D6CD9">
            <w:pPr>
              <w:pStyle w:val="Tijeloteksta"/>
              <w:jc w:val="center"/>
              <w:rPr>
                <w:sz w:val="18"/>
                <w:lang w:val="de-DE"/>
              </w:rPr>
            </w:pPr>
            <w:r>
              <w:rPr>
                <w:sz w:val="18"/>
                <w:lang w:val="de-DE"/>
              </w:rPr>
              <w:t>6,8</w:t>
            </w:r>
          </w:p>
          <w:p w:rsidR="002D6CD9" w:rsidRDefault="00EA7D62">
            <w:pPr>
              <w:pStyle w:val="Tijeloteksta"/>
              <w:jc w:val="center"/>
              <w:rPr>
                <w:sz w:val="18"/>
                <w:lang w:val="de-DE"/>
              </w:rPr>
            </w:pPr>
            <w:r>
              <w:rPr>
                <w:sz w:val="18"/>
                <w:lang w:val="de-DE"/>
              </w:rPr>
              <w:t>0,6</w:t>
            </w:r>
          </w:p>
        </w:tc>
        <w:tc>
          <w:tcPr>
            <w:tcW w:w="1127" w:type="dxa"/>
            <w:tcBorders>
              <w:top w:val="single" w:sz="4" w:space="0" w:color="auto"/>
              <w:left w:val="single" w:sz="4" w:space="0" w:color="auto"/>
              <w:bottom w:val="single" w:sz="4" w:space="0" w:color="auto"/>
              <w:right w:val="double" w:sz="4" w:space="0" w:color="auto"/>
            </w:tcBorders>
          </w:tcPr>
          <w:p w:rsidR="00012172" w:rsidRDefault="002D6CD9">
            <w:pPr>
              <w:pStyle w:val="Tijeloteksta"/>
              <w:jc w:val="center"/>
              <w:rPr>
                <w:sz w:val="18"/>
                <w:lang w:val="de-DE"/>
              </w:rPr>
            </w:pPr>
            <w:r>
              <w:rPr>
                <w:sz w:val="18"/>
                <w:lang w:val="de-DE"/>
              </w:rPr>
              <w:t>8,13</w:t>
            </w:r>
          </w:p>
          <w:p w:rsidR="002D6CD9" w:rsidRDefault="002D6CD9">
            <w:pPr>
              <w:pStyle w:val="Tijeloteksta"/>
              <w:jc w:val="center"/>
              <w:rPr>
                <w:sz w:val="18"/>
                <w:lang w:val="de-DE"/>
              </w:rPr>
            </w:pPr>
          </w:p>
          <w:p w:rsidR="002D6CD9" w:rsidRDefault="00EA7D62">
            <w:pPr>
              <w:pStyle w:val="Tijeloteksta"/>
              <w:jc w:val="center"/>
              <w:rPr>
                <w:sz w:val="18"/>
                <w:lang w:val="de-DE"/>
              </w:rPr>
            </w:pPr>
            <w:r>
              <w:rPr>
                <w:sz w:val="18"/>
                <w:lang w:val="de-DE"/>
              </w:rPr>
              <w:t>9,1</w:t>
            </w:r>
          </w:p>
          <w:p w:rsidR="002D6CD9" w:rsidRDefault="00EA7D62">
            <w:pPr>
              <w:pStyle w:val="Tijeloteksta"/>
              <w:jc w:val="center"/>
              <w:rPr>
                <w:sz w:val="18"/>
                <w:lang w:val="de-DE"/>
              </w:rPr>
            </w:pPr>
            <w:r>
              <w:rPr>
                <w:sz w:val="18"/>
                <w:lang w:val="de-DE"/>
              </w:rPr>
              <w:t>91,2</w:t>
            </w:r>
          </w:p>
        </w:tc>
      </w:tr>
      <w:tr w:rsidR="00EA7D62">
        <w:trPr>
          <w:trHeight w:val="480"/>
        </w:trPr>
        <w:tc>
          <w:tcPr>
            <w:tcW w:w="567" w:type="dxa"/>
            <w:vMerge w:val="restart"/>
            <w:tcBorders>
              <w:top w:val="single" w:sz="4" w:space="0" w:color="auto"/>
              <w:left w:val="double" w:sz="4" w:space="0" w:color="auto"/>
              <w:right w:val="single" w:sz="4" w:space="0" w:color="auto"/>
            </w:tcBorders>
          </w:tcPr>
          <w:p w:rsidR="00EA7D62" w:rsidRDefault="00EA7D62">
            <w:pPr>
              <w:pStyle w:val="Tijeloteksta"/>
              <w:jc w:val="center"/>
              <w:rPr>
                <w:sz w:val="18"/>
                <w:lang w:val="de-DE"/>
              </w:rPr>
            </w:pPr>
            <w:r>
              <w:rPr>
                <w:sz w:val="18"/>
                <w:lang w:val="de-DE"/>
              </w:rPr>
              <w:t>1.2.</w:t>
            </w:r>
          </w:p>
        </w:tc>
        <w:tc>
          <w:tcPr>
            <w:tcW w:w="3544" w:type="dxa"/>
            <w:tcBorders>
              <w:top w:val="single" w:sz="4" w:space="0" w:color="auto"/>
              <w:left w:val="single" w:sz="4" w:space="0" w:color="auto"/>
              <w:bottom w:val="single" w:sz="4" w:space="0" w:color="auto"/>
              <w:right w:val="single" w:sz="4" w:space="0" w:color="auto"/>
            </w:tcBorders>
          </w:tcPr>
          <w:p w:rsidR="00EA7D62" w:rsidRDefault="00EA7D62" w:rsidP="00EA7D62">
            <w:pPr>
              <w:pStyle w:val="Tijeloteksta"/>
              <w:rPr>
                <w:sz w:val="18"/>
                <w:lang w:val="de-DE"/>
              </w:rPr>
            </w:pPr>
            <w:r>
              <w:rPr>
                <w:sz w:val="18"/>
                <w:lang w:val="de-DE"/>
              </w:rPr>
              <w:t>Izgrađene strukture van građevinskih područja</w:t>
            </w:r>
          </w:p>
        </w:tc>
        <w:tc>
          <w:tcPr>
            <w:tcW w:w="851" w:type="dxa"/>
            <w:tcBorders>
              <w:top w:val="single" w:sz="4" w:space="0" w:color="auto"/>
              <w:left w:val="single" w:sz="4" w:space="0" w:color="auto"/>
              <w:bottom w:val="single" w:sz="4" w:space="0" w:color="auto"/>
              <w:right w:val="single" w:sz="4" w:space="0" w:color="auto"/>
            </w:tcBorders>
          </w:tcPr>
          <w:p w:rsidR="00EA7D62" w:rsidRDefault="00EA7D62" w:rsidP="00EA7D62">
            <w:pPr>
              <w:pStyle w:val="Tijeloteksta"/>
              <w:jc w:val="center"/>
              <w:rPr>
                <w:sz w:val="18"/>
                <w:lang w:val="de-DE"/>
              </w:rPr>
            </w:pPr>
          </w:p>
        </w:tc>
        <w:tc>
          <w:tcPr>
            <w:tcW w:w="1559" w:type="dxa"/>
            <w:tcBorders>
              <w:top w:val="single" w:sz="4" w:space="0" w:color="auto"/>
              <w:left w:val="single" w:sz="4" w:space="0" w:color="auto"/>
              <w:bottom w:val="single" w:sz="4" w:space="0" w:color="auto"/>
              <w:right w:val="single" w:sz="4" w:space="0" w:color="auto"/>
            </w:tcBorders>
            <w:vAlign w:val="center"/>
          </w:tcPr>
          <w:p w:rsidR="00EA7D62" w:rsidRDefault="009054C3" w:rsidP="009054C3">
            <w:pPr>
              <w:pStyle w:val="Tijeloteksta"/>
              <w:jc w:val="center"/>
              <w:rPr>
                <w:sz w:val="18"/>
                <w:lang w:val="de-DE"/>
              </w:rPr>
            </w:pPr>
            <w:r>
              <w:rPr>
                <w:sz w:val="18"/>
                <w:lang w:val="de-DE"/>
              </w:rPr>
              <w:t>2,02</w:t>
            </w:r>
          </w:p>
        </w:tc>
        <w:tc>
          <w:tcPr>
            <w:tcW w:w="992" w:type="dxa"/>
            <w:tcBorders>
              <w:top w:val="single" w:sz="4" w:space="0" w:color="auto"/>
              <w:left w:val="single" w:sz="4" w:space="0" w:color="auto"/>
              <w:bottom w:val="single" w:sz="4" w:space="0" w:color="auto"/>
              <w:right w:val="single" w:sz="4" w:space="0" w:color="auto"/>
            </w:tcBorders>
            <w:vAlign w:val="center"/>
          </w:tcPr>
          <w:p w:rsidR="00EA7D62" w:rsidRDefault="009054C3" w:rsidP="009054C3">
            <w:pPr>
              <w:pStyle w:val="Tijeloteksta"/>
              <w:jc w:val="center"/>
              <w:rPr>
                <w:sz w:val="18"/>
                <w:lang w:val="de-DE"/>
              </w:rPr>
            </w:pPr>
            <w:r>
              <w:rPr>
                <w:sz w:val="18"/>
                <w:lang w:val="de-DE"/>
              </w:rPr>
              <w:t>0,06</w:t>
            </w:r>
          </w:p>
        </w:tc>
        <w:tc>
          <w:tcPr>
            <w:tcW w:w="1127" w:type="dxa"/>
            <w:tcBorders>
              <w:top w:val="single" w:sz="4" w:space="0" w:color="auto"/>
              <w:left w:val="single" w:sz="4" w:space="0" w:color="auto"/>
              <w:bottom w:val="single" w:sz="4" w:space="0" w:color="auto"/>
              <w:right w:val="double" w:sz="4" w:space="0" w:color="auto"/>
            </w:tcBorders>
            <w:vAlign w:val="center"/>
          </w:tcPr>
          <w:p w:rsidR="00EA7D62" w:rsidRDefault="009054C3">
            <w:pPr>
              <w:pStyle w:val="Tijeloteksta"/>
              <w:jc w:val="center"/>
              <w:rPr>
                <w:sz w:val="18"/>
                <w:lang w:val="de-DE"/>
              </w:rPr>
            </w:pPr>
            <w:r>
              <w:rPr>
                <w:sz w:val="18"/>
                <w:lang w:val="de-DE"/>
              </w:rPr>
              <w:t>1007,6</w:t>
            </w:r>
          </w:p>
        </w:tc>
      </w:tr>
      <w:tr w:rsidR="00EA7D62">
        <w:trPr>
          <w:trHeight w:val="165"/>
        </w:trPr>
        <w:tc>
          <w:tcPr>
            <w:tcW w:w="567" w:type="dxa"/>
            <w:vMerge/>
            <w:tcBorders>
              <w:top w:val="single" w:sz="4" w:space="0" w:color="auto"/>
              <w:left w:val="double" w:sz="4" w:space="0" w:color="auto"/>
              <w:right w:val="single" w:sz="4" w:space="0" w:color="auto"/>
            </w:tcBorders>
          </w:tcPr>
          <w:p w:rsidR="00EA7D62" w:rsidRDefault="00EA7D62">
            <w:pPr>
              <w:pStyle w:val="Tijeloteksta"/>
              <w:jc w:val="center"/>
              <w:rPr>
                <w:sz w:val="18"/>
                <w:lang w:val="de-DE"/>
              </w:rPr>
            </w:pPr>
          </w:p>
        </w:tc>
        <w:tc>
          <w:tcPr>
            <w:tcW w:w="3544" w:type="dxa"/>
            <w:tcBorders>
              <w:top w:val="single" w:sz="4" w:space="0" w:color="auto"/>
              <w:left w:val="single" w:sz="4" w:space="0" w:color="auto"/>
              <w:bottom w:val="single" w:sz="4" w:space="0" w:color="auto"/>
              <w:right w:val="single" w:sz="4" w:space="0" w:color="auto"/>
            </w:tcBorders>
          </w:tcPr>
          <w:p w:rsidR="00EA7D62" w:rsidRDefault="00EA7D62" w:rsidP="00EA7D62">
            <w:pPr>
              <w:pStyle w:val="Tijeloteksta"/>
              <w:rPr>
                <w:sz w:val="18"/>
                <w:lang w:val="de-DE"/>
              </w:rPr>
            </w:pPr>
            <w:r>
              <w:rPr>
                <w:sz w:val="18"/>
                <w:lang w:val="de-DE"/>
              </w:rPr>
              <w:t>Poljoprivredna gospo</w:t>
            </w:r>
            <w:r w:rsidR="00812505">
              <w:rPr>
                <w:sz w:val="18"/>
                <w:lang w:val="de-DE"/>
              </w:rPr>
              <w:t>d</w:t>
            </w:r>
            <w:r>
              <w:rPr>
                <w:sz w:val="18"/>
                <w:lang w:val="de-DE"/>
              </w:rPr>
              <w:t>arstv</w:t>
            </w:r>
            <w:r w:rsidR="00812505">
              <w:rPr>
                <w:sz w:val="18"/>
                <w:lang w:val="de-DE"/>
              </w:rPr>
              <w:t>a</w:t>
            </w:r>
          </w:p>
        </w:tc>
        <w:tc>
          <w:tcPr>
            <w:tcW w:w="851" w:type="dxa"/>
            <w:tcBorders>
              <w:top w:val="single" w:sz="4" w:space="0" w:color="auto"/>
              <w:left w:val="single" w:sz="4" w:space="0" w:color="auto"/>
              <w:bottom w:val="single" w:sz="4" w:space="0" w:color="auto"/>
              <w:right w:val="single" w:sz="4" w:space="0" w:color="auto"/>
            </w:tcBorders>
          </w:tcPr>
          <w:p w:rsidR="00EA7D62" w:rsidRDefault="00EA7D62" w:rsidP="00EA7D62">
            <w:pPr>
              <w:pStyle w:val="Tijeloteksta"/>
              <w:jc w:val="center"/>
              <w:rPr>
                <w:sz w:val="18"/>
                <w:lang w:val="de-DE"/>
              </w:rPr>
            </w:pPr>
            <w:r>
              <w:rPr>
                <w:sz w:val="18"/>
                <w:lang w:val="de-DE"/>
              </w:rPr>
              <w:t>I3</w:t>
            </w:r>
          </w:p>
        </w:tc>
        <w:tc>
          <w:tcPr>
            <w:tcW w:w="1559" w:type="dxa"/>
            <w:tcBorders>
              <w:top w:val="single" w:sz="4" w:space="0" w:color="auto"/>
              <w:left w:val="single" w:sz="4" w:space="0" w:color="auto"/>
              <w:bottom w:val="single" w:sz="4" w:space="0" w:color="auto"/>
              <w:right w:val="single" w:sz="4" w:space="0" w:color="auto"/>
            </w:tcBorders>
          </w:tcPr>
          <w:p w:rsidR="00EA7D62" w:rsidRDefault="00812505">
            <w:pPr>
              <w:pStyle w:val="Tijeloteksta"/>
              <w:jc w:val="center"/>
              <w:rPr>
                <w:sz w:val="18"/>
                <w:lang w:val="de-DE"/>
              </w:rPr>
            </w:pPr>
            <w:r>
              <w:rPr>
                <w:sz w:val="18"/>
                <w:lang w:val="de-DE"/>
              </w:rPr>
              <w:t>0,82</w:t>
            </w:r>
          </w:p>
        </w:tc>
        <w:tc>
          <w:tcPr>
            <w:tcW w:w="992" w:type="dxa"/>
            <w:tcBorders>
              <w:top w:val="single" w:sz="4" w:space="0" w:color="auto"/>
              <w:left w:val="single" w:sz="4" w:space="0" w:color="auto"/>
              <w:bottom w:val="single" w:sz="4" w:space="0" w:color="auto"/>
              <w:right w:val="single" w:sz="4" w:space="0" w:color="auto"/>
            </w:tcBorders>
            <w:vAlign w:val="center"/>
          </w:tcPr>
          <w:p w:rsidR="00EA7D62" w:rsidRDefault="00812505">
            <w:pPr>
              <w:pStyle w:val="Tijeloteksta"/>
              <w:jc w:val="center"/>
              <w:rPr>
                <w:sz w:val="18"/>
                <w:lang w:val="de-DE"/>
              </w:rPr>
            </w:pPr>
            <w:r>
              <w:rPr>
                <w:sz w:val="18"/>
                <w:lang w:val="de-DE"/>
              </w:rPr>
              <w:t>0,002</w:t>
            </w:r>
          </w:p>
        </w:tc>
        <w:tc>
          <w:tcPr>
            <w:tcW w:w="1127" w:type="dxa"/>
            <w:tcBorders>
              <w:top w:val="single" w:sz="4" w:space="0" w:color="auto"/>
              <w:left w:val="single" w:sz="4" w:space="0" w:color="auto"/>
              <w:bottom w:val="single" w:sz="4" w:space="0" w:color="auto"/>
              <w:right w:val="double" w:sz="4" w:space="0" w:color="auto"/>
            </w:tcBorders>
            <w:vAlign w:val="center"/>
          </w:tcPr>
          <w:p w:rsidR="00EA7D62" w:rsidRDefault="00812505">
            <w:pPr>
              <w:pStyle w:val="Tijeloteksta"/>
              <w:jc w:val="center"/>
              <w:rPr>
                <w:sz w:val="18"/>
                <w:lang w:val="de-DE"/>
              </w:rPr>
            </w:pPr>
            <w:r>
              <w:rPr>
                <w:sz w:val="18"/>
                <w:lang w:val="de-DE"/>
              </w:rPr>
              <w:t>2481</w:t>
            </w:r>
          </w:p>
        </w:tc>
      </w:tr>
      <w:tr w:rsidR="00812505">
        <w:trPr>
          <w:trHeight w:val="384"/>
        </w:trPr>
        <w:tc>
          <w:tcPr>
            <w:tcW w:w="567" w:type="dxa"/>
            <w:vMerge/>
            <w:tcBorders>
              <w:top w:val="single" w:sz="4" w:space="0" w:color="auto"/>
              <w:left w:val="double" w:sz="4" w:space="0" w:color="auto"/>
              <w:right w:val="single" w:sz="4" w:space="0" w:color="auto"/>
            </w:tcBorders>
          </w:tcPr>
          <w:p w:rsidR="00812505" w:rsidRDefault="00812505">
            <w:pPr>
              <w:pStyle w:val="Tijeloteksta"/>
              <w:jc w:val="center"/>
              <w:rPr>
                <w:sz w:val="18"/>
                <w:lang w:val="de-DE"/>
              </w:rPr>
            </w:pPr>
          </w:p>
        </w:tc>
        <w:tc>
          <w:tcPr>
            <w:tcW w:w="3544" w:type="dxa"/>
            <w:tcBorders>
              <w:top w:val="single" w:sz="4" w:space="0" w:color="auto"/>
              <w:left w:val="single" w:sz="4" w:space="0" w:color="auto"/>
              <w:right w:val="single" w:sz="4" w:space="0" w:color="auto"/>
            </w:tcBorders>
          </w:tcPr>
          <w:p w:rsidR="00812505" w:rsidRDefault="00812505" w:rsidP="00EA7D62">
            <w:pPr>
              <w:pStyle w:val="Tijeloteksta"/>
              <w:rPr>
                <w:sz w:val="18"/>
                <w:lang w:val="de-DE"/>
              </w:rPr>
            </w:pPr>
            <w:r>
              <w:rPr>
                <w:sz w:val="18"/>
                <w:lang w:val="de-DE"/>
              </w:rPr>
              <w:t>Lovački dom u Deklešancu</w:t>
            </w:r>
          </w:p>
        </w:tc>
        <w:tc>
          <w:tcPr>
            <w:tcW w:w="851" w:type="dxa"/>
            <w:tcBorders>
              <w:top w:val="single" w:sz="4" w:space="0" w:color="auto"/>
              <w:left w:val="single" w:sz="4" w:space="0" w:color="auto"/>
              <w:right w:val="single" w:sz="4" w:space="0" w:color="auto"/>
            </w:tcBorders>
          </w:tcPr>
          <w:p w:rsidR="00812505" w:rsidRDefault="00812505" w:rsidP="00EA7D62">
            <w:pPr>
              <w:pStyle w:val="Tijeloteksta"/>
              <w:jc w:val="center"/>
              <w:rPr>
                <w:sz w:val="18"/>
                <w:lang w:val="de-DE"/>
              </w:rPr>
            </w:pPr>
            <w:r>
              <w:rPr>
                <w:sz w:val="18"/>
                <w:lang w:val="de-DE"/>
              </w:rPr>
              <w:t>R2</w:t>
            </w:r>
          </w:p>
        </w:tc>
        <w:tc>
          <w:tcPr>
            <w:tcW w:w="1559" w:type="dxa"/>
            <w:tcBorders>
              <w:top w:val="single" w:sz="4" w:space="0" w:color="auto"/>
              <w:left w:val="single" w:sz="4" w:space="0" w:color="auto"/>
              <w:right w:val="single" w:sz="4" w:space="0" w:color="auto"/>
            </w:tcBorders>
          </w:tcPr>
          <w:p w:rsidR="00812505" w:rsidRDefault="00812505">
            <w:pPr>
              <w:pStyle w:val="Tijeloteksta"/>
              <w:jc w:val="center"/>
              <w:rPr>
                <w:sz w:val="18"/>
                <w:lang w:val="de-DE"/>
              </w:rPr>
            </w:pPr>
            <w:r>
              <w:rPr>
                <w:sz w:val="18"/>
                <w:lang w:val="de-DE"/>
              </w:rPr>
              <w:t>1,2</w:t>
            </w:r>
          </w:p>
        </w:tc>
        <w:tc>
          <w:tcPr>
            <w:tcW w:w="992" w:type="dxa"/>
            <w:tcBorders>
              <w:top w:val="single" w:sz="4" w:space="0" w:color="auto"/>
              <w:left w:val="single" w:sz="4" w:space="0" w:color="auto"/>
              <w:right w:val="single" w:sz="4" w:space="0" w:color="auto"/>
            </w:tcBorders>
            <w:vAlign w:val="center"/>
          </w:tcPr>
          <w:p w:rsidR="00812505" w:rsidRDefault="00812505">
            <w:pPr>
              <w:pStyle w:val="Tijeloteksta"/>
              <w:jc w:val="center"/>
              <w:rPr>
                <w:sz w:val="18"/>
                <w:lang w:val="de-DE"/>
              </w:rPr>
            </w:pPr>
            <w:r>
              <w:rPr>
                <w:sz w:val="18"/>
                <w:lang w:val="de-DE"/>
              </w:rPr>
              <w:t>0,03</w:t>
            </w:r>
          </w:p>
        </w:tc>
        <w:tc>
          <w:tcPr>
            <w:tcW w:w="1127" w:type="dxa"/>
            <w:tcBorders>
              <w:top w:val="single" w:sz="4" w:space="0" w:color="auto"/>
              <w:left w:val="single" w:sz="4" w:space="0" w:color="auto"/>
              <w:right w:val="double" w:sz="4" w:space="0" w:color="auto"/>
            </w:tcBorders>
            <w:vAlign w:val="center"/>
          </w:tcPr>
          <w:p w:rsidR="00812505" w:rsidRDefault="00812505">
            <w:pPr>
              <w:pStyle w:val="Tijeloteksta"/>
              <w:jc w:val="center"/>
              <w:rPr>
                <w:sz w:val="18"/>
                <w:lang w:val="de-DE"/>
              </w:rPr>
            </w:pPr>
            <w:r>
              <w:rPr>
                <w:sz w:val="18"/>
                <w:lang w:val="de-DE"/>
              </w:rPr>
              <w:t>1695</w:t>
            </w:r>
          </w:p>
        </w:tc>
      </w:tr>
      <w:tr w:rsidR="00012172">
        <w:trPr>
          <w:trHeight w:val="850"/>
        </w:trPr>
        <w:tc>
          <w:tcPr>
            <w:tcW w:w="567" w:type="dxa"/>
            <w:tcBorders>
              <w:top w:val="single" w:sz="4" w:space="0" w:color="auto"/>
              <w:left w:val="double" w:sz="4" w:space="0" w:color="auto"/>
              <w:bottom w:val="single" w:sz="4" w:space="0" w:color="auto"/>
              <w:right w:val="single" w:sz="4" w:space="0" w:color="auto"/>
            </w:tcBorders>
          </w:tcPr>
          <w:p w:rsidR="00012172" w:rsidRDefault="00012172">
            <w:pPr>
              <w:pStyle w:val="Tijeloteksta"/>
              <w:jc w:val="center"/>
              <w:rPr>
                <w:sz w:val="18"/>
                <w:lang w:val="de-DE"/>
              </w:rPr>
            </w:pPr>
            <w:r>
              <w:rPr>
                <w:sz w:val="18"/>
                <w:lang w:val="de-DE"/>
              </w:rPr>
              <w:t>1.3</w:t>
            </w:r>
          </w:p>
        </w:tc>
        <w:tc>
          <w:tcPr>
            <w:tcW w:w="3544" w:type="dxa"/>
            <w:tcBorders>
              <w:top w:val="single" w:sz="4" w:space="0" w:color="auto"/>
              <w:left w:val="single" w:sz="4" w:space="0" w:color="auto"/>
              <w:bottom w:val="single" w:sz="4" w:space="0" w:color="auto"/>
              <w:right w:val="single" w:sz="4" w:space="0" w:color="auto"/>
            </w:tcBorders>
          </w:tcPr>
          <w:p w:rsidR="00012172" w:rsidRDefault="00012172">
            <w:pPr>
              <w:pStyle w:val="Tijeloteksta"/>
              <w:rPr>
                <w:bCs/>
                <w:sz w:val="18"/>
                <w:lang w:val="de-DE"/>
              </w:rPr>
            </w:pPr>
            <w:r>
              <w:rPr>
                <w:bCs/>
                <w:sz w:val="18"/>
                <w:lang w:val="de-DE"/>
              </w:rPr>
              <w:t>Poljoprivredne  površine                  ukupno</w:t>
            </w:r>
          </w:p>
          <w:p w:rsidR="00772FD4" w:rsidRPr="00DE239B" w:rsidRDefault="00772FD4">
            <w:pPr>
              <w:pStyle w:val="Tijeloteksta"/>
              <w:numPr>
                <w:ilvl w:val="0"/>
                <w:numId w:val="16"/>
              </w:numPr>
              <w:spacing w:after="0"/>
              <w:rPr>
                <w:b/>
                <w:sz w:val="18"/>
              </w:rPr>
            </w:pPr>
            <w:r>
              <w:rPr>
                <w:bCs/>
                <w:sz w:val="18"/>
              </w:rPr>
              <w:t>vinogradi</w:t>
            </w:r>
          </w:p>
          <w:p w:rsidR="00DE239B" w:rsidRPr="00DC7A09" w:rsidRDefault="00DC7A09">
            <w:pPr>
              <w:pStyle w:val="Tijeloteksta"/>
              <w:numPr>
                <w:ilvl w:val="0"/>
                <w:numId w:val="16"/>
              </w:numPr>
              <w:spacing w:after="0"/>
              <w:rPr>
                <w:sz w:val="18"/>
              </w:rPr>
            </w:pPr>
            <w:r w:rsidRPr="00DC7A09">
              <w:rPr>
                <w:sz w:val="18"/>
              </w:rPr>
              <w:t>poljoprivredno tlo</w:t>
            </w:r>
          </w:p>
        </w:tc>
        <w:tc>
          <w:tcPr>
            <w:tcW w:w="851" w:type="dxa"/>
            <w:tcBorders>
              <w:top w:val="single" w:sz="4" w:space="0" w:color="auto"/>
              <w:left w:val="single" w:sz="4" w:space="0" w:color="auto"/>
              <w:bottom w:val="single" w:sz="4" w:space="0" w:color="auto"/>
              <w:right w:val="single" w:sz="4" w:space="0" w:color="auto"/>
            </w:tcBorders>
          </w:tcPr>
          <w:p w:rsidR="00012172" w:rsidRDefault="00012172">
            <w:pPr>
              <w:pStyle w:val="Tijeloteksta"/>
              <w:jc w:val="center"/>
              <w:rPr>
                <w:sz w:val="18"/>
              </w:rPr>
            </w:pPr>
            <w:r>
              <w:rPr>
                <w:sz w:val="18"/>
              </w:rPr>
              <w:t>P</w:t>
            </w:r>
          </w:p>
          <w:p w:rsidR="00012172" w:rsidRDefault="00772FD4">
            <w:pPr>
              <w:pStyle w:val="Tijeloteksta"/>
              <w:jc w:val="center"/>
              <w:rPr>
                <w:sz w:val="18"/>
              </w:rPr>
            </w:pPr>
            <w:r>
              <w:rPr>
                <w:sz w:val="18"/>
              </w:rPr>
              <w:t>M3</w:t>
            </w:r>
          </w:p>
          <w:p w:rsidR="00012172" w:rsidRDefault="00DC7A09">
            <w:pPr>
              <w:pStyle w:val="Tijeloteksta"/>
              <w:jc w:val="center"/>
              <w:rPr>
                <w:sz w:val="18"/>
              </w:rPr>
            </w:pPr>
            <w:r>
              <w:rPr>
                <w:sz w:val="18"/>
              </w:rPr>
              <w:t>P</w:t>
            </w:r>
          </w:p>
        </w:tc>
        <w:tc>
          <w:tcPr>
            <w:tcW w:w="1559" w:type="dxa"/>
            <w:tcBorders>
              <w:top w:val="single" w:sz="4" w:space="0" w:color="auto"/>
              <w:left w:val="single" w:sz="4" w:space="0" w:color="auto"/>
              <w:bottom w:val="single" w:sz="4" w:space="0" w:color="auto"/>
              <w:right w:val="single" w:sz="4" w:space="0" w:color="auto"/>
            </w:tcBorders>
          </w:tcPr>
          <w:p w:rsidR="00012172" w:rsidRDefault="009054C3">
            <w:pPr>
              <w:pStyle w:val="Tijeloteksta"/>
              <w:jc w:val="center"/>
              <w:rPr>
                <w:sz w:val="18"/>
              </w:rPr>
            </w:pPr>
            <w:r>
              <w:rPr>
                <w:sz w:val="18"/>
              </w:rPr>
              <w:t xml:space="preserve">1706,68 </w:t>
            </w:r>
          </w:p>
          <w:p w:rsidR="00772FD4" w:rsidRDefault="009054C3">
            <w:pPr>
              <w:pStyle w:val="Tijeloteksta"/>
              <w:jc w:val="center"/>
              <w:rPr>
                <w:sz w:val="18"/>
              </w:rPr>
            </w:pPr>
            <w:r>
              <w:rPr>
                <w:sz w:val="18"/>
              </w:rPr>
              <w:t>139,69</w:t>
            </w:r>
          </w:p>
          <w:p w:rsidR="00DE239B" w:rsidRDefault="00DE239B">
            <w:pPr>
              <w:pStyle w:val="Tijeloteksta"/>
              <w:jc w:val="center"/>
              <w:rPr>
                <w:sz w:val="18"/>
              </w:rPr>
            </w:pPr>
            <w:r>
              <w:rPr>
                <w:sz w:val="18"/>
              </w:rPr>
              <w:t>1566,9</w:t>
            </w:r>
          </w:p>
        </w:tc>
        <w:tc>
          <w:tcPr>
            <w:tcW w:w="992" w:type="dxa"/>
            <w:tcBorders>
              <w:top w:val="single" w:sz="4" w:space="0" w:color="auto"/>
              <w:left w:val="single" w:sz="4" w:space="0" w:color="auto"/>
              <w:bottom w:val="single" w:sz="4" w:space="0" w:color="auto"/>
              <w:right w:val="single" w:sz="4" w:space="0" w:color="auto"/>
            </w:tcBorders>
          </w:tcPr>
          <w:p w:rsidR="00012172" w:rsidRDefault="00772FD4">
            <w:pPr>
              <w:pStyle w:val="Tijeloteksta"/>
              <w:jc w:val="center"/>
              <w:rPr>
                <w:sz w:val="18"/>
              </w:rPr>
            </w:pPr>
            <w:r>
              <w:rPr>
                <w:sz w:val="18"/>
              </w:rPr>
              <w:t>52,1</w:t>
            </w:r>
          </w:p>
          <w:p w:rsidR="00772FD4" w:rsidRDefault="00772FD4">
            <w:pPr>
              <w:pStyle w:val="Tijeloteksta"/>
              <w:jc w:val="center"/>
              <w:rPr>
                <w:sz w:val="18"/>
              </w:rPr>
            </w:pPr>
            <w:r>
              <w:rPr>
                <w:sz w:val="18"/>
              </w:rPr>
              <w:t>4,2</w:t>
            </w:r>
          </w:p>
          <w:p w:rsidR="00DE239B" w:rsidRDefault="00DE239B">
            <w:pPr>
              <w:pStyle w:val="Tijeloteksta"/>
              <w:jc w:val="center"/>
              <w:rPr>
                <w:sz w:val="18"/>
              </w:rPr>
            </w:pPr>
            <w:r>
              <w:rPr>
                <w:sz w:val="18"/>
              </w:rPr>
              <w:t>47,8</w:t>
            </w:r>
          </w:p>
        </w:tc>
        <w:tc>
          <w:tcPr>
            <w:tcW w:w="1127" w:type="dxa"/>
            <w:tcBorders>
              <w:top w:val="single" w:sz="4" w:space="0" w:color="auto"/>
              <w:left w:val="single" w:sz="4" w:space="0" w:color="auto"/>
              <w:bottom w:val="single" w:sz="4" w:space="0" w:color="auto"/>
              <w:right w:val="double" w:sz="4" w:space="0" w:color="auto"/>
            </w:tcBorders>
          </w:tcPr>
          <w:p w:rsidR="00012172" w:rsidRDefault="00772FD4">
            <w:pPr>
              <w:pStyle w:val="Tijeloteksta"/>
              <w:jc w:val="center"/>
              <w:rPr>
                <w:sz w:val="18"/>
              </w:rPr>
            </w:pPr>
            <w:r>
              <w:rPr>
                <w:sz w:val="18"/>
              </w:rPr>
              <w:t>1,1</w:t>
            </w:r>
          </w:p>
          <w:p w:rsidR="00772FD4" w:rsidRDefault="00772FD4">
            <w:pPr>
              <w:pStyle w:val="Tijeloteksta"/>
              <w:jc w:val="center"/>
              <w:rPr>
                <w:sz w:val="18"/>
              </w:rPr>
            </w:pPr>
            <w:r>
              <w:rPr>
                <w:sz w:val="18"/>
              </w:rPr>
              <w:t>14,6</w:t>
            </w:r>
          </w:p>
          <w:p w:rsidR="00DE239B" w:rsidRDefault="00DE239B">
            <w:pPr>
              <w:pStyle w:val="Tijeloteksta"/>
              <w:jc w:val="center"/>
              <w:rPr>
                <w:sz w:val="18"/>
              </w:rPr>
            </w:pPr>
            <w:r>
              <w:rPr>
                <w:sz w:val="18"/>
              </w:rPr>
              <w:t>1,2</w:t>
            </w:r>
          </w:p>
        </w:tc>
      </w:tr>
      <w:tr w:rsidR="00012172">
        <w:tc>
          <w:tcPr>
            <w:tcW w:w="567" w:type="dxa"/>
            <w:tcBorders>
              <w:top w:val="single" w:sz="4" w:space="0" w:color="auto"/>
              <w:left w:val="double" w:sz="4" w:space="0" w:color="auto"/>
              <w:bottom w:val="single" w:sz="4" w:space="0" w:color="auto"/>
              <w:right w:val="single" w:sz="4" w:space="0" w:color="auto"/>
            </w:tcBorders>
          </w:tcPr>
          <w:p w:rsidR="00012172" w:rsidRDefault="00012172">
            <w:pPr>
              <w:pStyle w:val="Tijeloteksta"/>
              <w:jc w:val="center"/>
              <w:rPr>
                <w:sz w:val="18"/>
              </w:rPr>
            </w:pPr>
            <w:r>
              <w:rPr>
                <w:sz w:val="18"/>
              </w:rPr>
              <w:t>1.4.</w:t>
            </w:r>
          </w:p>
        </w:tc>
        <w:tc>
          <w:tcPr>
            <w:tcW w:w="3544" w:type="dxa"/>
            <w:tcBorders>
              <w:top w:val="single" w:sz="4" w:space="0" w:color="auto"/>
              <w:left w:val="single" w:sz="4" w:space="0" w:color="auto"/>
              <w:bottom w:val="single" w:sz="4" w:space="0" w:color="auto"/>
              <w:right w:val="single" w:sz="4" w:space="0" w:color="auto"/>
            </w:tcBorders>
          </w:tcPr>
          <w:p w:rsidR="00012172" w:rsidRDefault="00012172">
            <w:pPr>
              <w:pStyle w:val="Tijeloteksta"/>
              <w:rPr>
                <w:sz w:val="18"/>
              </w:rPr>
            </w:pPr>
            <w:r>
              <w:rPr>
                <w:bCs/>
                <w:sz w:val="18"/>
              </w:rPr>
              <w:t xml:space="preserve">Šumske  površine                             </w:t>
            </w:r>
            <w:r>
              <w:rPr>
                <w:sz w:val="18"/>
              </w:rPr>
              <w:t xml:space="preserve"> ukupno</w:t>
            </w:r>
          </w:p>
          <w:p w:rsidR="00012172" w:rsidRDefault="00012172">
            <w:pPr>
              <w:pStyle w:val="Tijeloteksta"/>
              <w:numPr>
                <w:ilvl w:val="0"/>
                <w:numId w:val="16"/>
              </w:numPr>
              <w:spacing w:after="0"/>
              <w:rPr>
                <w:sz w:val="18"/>
              </w:rPr>
            </w:pPr>
            <w:r>
              <w:rPr>
                <w:sz w:val="18"/>
                <w:lang w:val="de-DE"/>
              </w:rPr>
              <w:t>gospodarske</w:t>
            </w:r>
          </w:p>
        </w:tc>
        <w:tc>
          <w:tcPr>
            <w:tcW w:w="851" w:type="dxa"/>
            <w:tcBorders>
              <w:top w:val="single" w:sz="4" w:space="0" w:color="auto"/>
              <w:left w:val="single" w:sz="4" w:space="0" w:color="auto"/>
              <w:bottom w:val="single" w:sz="4" w:space="0" w:color="auto"/>
              <w:right w:val="single" w:sz="4" w:space="0" w:color="auto"/>
            </w:tcBorders>
          </w:tcPr>
          <w:p w:rsidR="00012172" w:rsidRDefault="00012172">
            <w:pPr>
              <w:pStyle w:val="Tijeloteksta"/>
              <w:jc w:val="center"/>
              <w:rPr>
                <w:sz w:val="18"/>
              </w:rPr>
            </w:pPr>
            <w:r>
              <w:rPr>
                <w:sz w:val="18"/>
              </w:rPr>
              <w:t>Š</w:t>
            </w:r>
          </w:p>
          <w:p w:rsidR="00012172" w:rsidRDefault="00012172">
            <w:pPr>
              <w:pStyle w:val="Tijeloteksta"/>
              <w:jc w:val="center"/>
              <w:rPr>
                <w:sz w:val="18"/>
              </w:rPr>
            </w:pPr>
            <w:r>
              <w:rPr>
                <w:sz w:val="18"/>
              </w:rPr>
              <w:t>Š1</w:t>
            </w:r>
          </w:p>
        </w:tc>
        <w:tc>
          <w:tcPr>
            <w:tcW w:w="1559" w:type="dxa"/>
            <w:tcBorders>
              <w:top w:val="single" w:sz="4" w:space="0" w:color="auto"/>
              <w:left w:val="single" w:sz="4" w:space="0" w:color="auto"/>
              <w:bottom w:val="single" w:sz="4" w:space="0" w:color="auto"/>
              <w:right w:val="single" w:sz="4" w:space="0" w:color="auto"/>
            </w:tcBorders>
          </w:tcPr>
          <w:p w:rsidR="00012172" w:rsidRDefault="009054C3">
            <w:pPr>
              <w:pStyle w:val="Tijeloteksta"/>
              <w:jc w:val="center"/>
              <w:rPr>
                <w:sz w:val="18"/>
              </w:rPr>
            </w:pPr>
            <w:r>
              <w:rPr>
                <w:sz w:val="18"/>
              </w:rPr>
              <w:t>40,0</w:t>
            </w:r>
          </w:p>
          <w:p w:rsidR="00812505" w:rsidRDefault="009054C3">
            <w:pPr>
              <w:pStyle w:val="Tijeloteksta"/>
              <w:jc w:val="center"/>
              <w:rPr>
                <w:sz w:val="18"/>
              </w:rPr>
            </w:pPr>
            <w:r>
              <w:rPr>
                <w:sz w:val="18"/>
              </w:rPr>
              <w:t>40,0</w:t>
            </w:r>
          </w:p>
        </w:tc>
        <w:tc>
          <w:tcPr>
            <w:tcW w:w="992" w:type="dxa"/>
            <w:tcBorders>
              <w:top w:val="single" w:sz="4" w:space="0" w:color="auto"/>
              <w:left w:val="single" w:sz="4" w:space="0" w:color="auto"/>
              <w:bottom w:val="single" w:sz="4" w:space="0" w:color="auto"/>
              <w:right w:val="single" w:sz="4" w:space="0" w:color="auto"/>
            </w:tcBorders>
          </w:tcPr>
          <w:p w:rsidR="00012172" w:rsidRDefault="009054C3">
            <w:pPr>
              <w:pStyle w:val="Tijeloteksta"/>
              <w:jc w:val="center"/>
              <w:rPr>
                <w:sz w:val="18"/>
              </w:rPr>
            </w:pPr>
            <w:r>
              <w:rPr>
                <w:sz w:val="18"/>
              </w:rPr>
              <w:t>1,2</w:t>
            </w:r>
          </w:p>
          <w:p w:rsidR="009054C3" w:rsidRDefault="009054C3" w:rsidP="009054C3">
            <w:pPr>
              <w:pStyle w:val="Tijeloteksta"/>
              <w:jc w:val="center"/>
              <w:rPr>
                <w:sz w:val="18"/>
              </w:rPr>
            </w:pPr>
            <w:r>
              <w:rPr>
                <w:sz w:val="18"/>
              </w:rPr>
              <w:t>1,2</w:t>
            </w:r>
          </w:p>
        </w:tc>
        <w:tc>
          <w:tcPr>
            <w:tcW w:w="1127" w:type="dxa"/>
            <w:tcBorders>
              <w:top w:val="single" w:sz="4" w:space="0" w:color="auto"/>
              <w:left w:val="single" w:sz="4" w:space="0" w:color="auto"/>
              <w:bottom w:val="single" w:sz="4" w:space="0" w:color="auto"/>
              <w:right w:val="double" w:sz="4" w:space="0" w:color="auto"/>
            </w:tcBorders>
          </w:tcPr>
          <w:p w:rsidR="00012172" w:rsidRDefault="009054C3">
            <w:pPr>
              <w:pStyle w:val="Tijeloteksta"/>
              <w:jc w:val="center"/>
              <w:rPr>
                <w:sz w:val="18"/>
              </w:rPr>
            </w:pPr>
            <w:r>
              <w:rPr>
                <w:sz w:val="18"/>
              </w:rPr>
              <w:t>50,8</w:t>
            </w:r>
          </w:p>
          <w:p w:rsidR="009054C3" w:rsidRDefault="009054C3" w:rsidP="009054C3">
            <w:pPr>
              <w:pStyle w:val="Tijeloteksta"/>
              <w:jc w:val="center"/>
              <w:rPr>
                <w:sz w:val="18"/>
              </w:rPr>
            </w:pPr>
            <w:r>
              <w:rPr>
                <w:sz w:val="18"/>
              </w:rPr>
              <w:t>50,8</w:t>
            </w:r>
          </w:p>
        </w:tc>
      </w:tr>
      <w:tr w:rsidR="00012172">
        <w:trPr>
          <w:cantSplit/>
        </w:trPr>
        <w:tc>
          <w:tcPr>
            <w:tcW w:w="567" w:type="dxa"/>
            <w:tcBorders>
              <w:top w:val="single" w:sz="4" w:space="0" w:color="auto"/>
              <w:left w:val="double" w:sz="4" w:space="0" w:color="auto"/>
              <w:bottom w:val="single" w:sz="4" w:space="0" w:color="auto"/>
              <w:right w:val="single" w:sz="4" w:space="0" w:color="auto"/>
            </w:tcBorders>
          </w:tcPr>
          <w:p w:rsidR="00012172" w:rsidRDefault="00012172">
            <w:pPr>
              <w:pStyle w:val="Tijeloteksta"/>
              <w:jc w:val="center"/>
              <w:rPr>
                <w:sz w:val="18"/>
              </w:rPr>
            </w:pPr>
            <w:r>
              <w:rPr>
                <w:sz w:val="18"/>
              </w:rPr>
              <w:t>1.5.</w:t>
            </w:r>
          </w:p>
        </w:tc>
        <w:tc>
          <w:tcPr>
            <w:tcW w:w="3544" w:type="dxa"/>
            <w:tcBorders>
              <w:top w:val="single" w:sz="4" w:space="0" w:color="auto"/>
              <w:left w:val="single" w:sz="4" w:space="0" w:color="auto"/>
              <w:bottom w:val="single" w:sz="4" w:space="0" w:color="auto"/>
              <w:right w:val="single" w:sz="4" w:space="0" w:color="auto"/>
            </w:tcBorders>
          </w:tcPr>
          <w:p w:rsidR="00012172" w:rsidRDefault="00012172">
            <w:pPr>
              <w:pStyle w:val="Tijeloteksta"/>
              <w:rPr>
                <w:sz w:val="18"/>
              </w:rPr>
            </w:pPr>
            <w:r>
              <w:rPr>
                <w:sz w:val="18"/>
              </w:rPr>
              <w:t>Ostale poljoprivredne i šumske površine ukupno</w:t>
            </w:r>
          </w:p>
        </w:tc>
        <w:tc>
          <w:tcPr>
            <w:tcW w:w="851" w:type="dxa"/>
            <w:tcBorders>
              <w:top w:val="single" w:sz="4" w:space="0" w:color="auto"/>
              <w:left w:val="single" w:sz="4" w:space="0" w:color="auto"/>
              <w:bottom w:val="single" w:sz="4" w:space="0" w:color="auto"/>
              <w:right w:val="single" w:sz="4" w:space="0" w:color="auto"/>
            </w:tcBorders>
          </w:tcPr>
          <w:p w:rsidR="00012172" w:rsidRDefault="00012172">
            <w:pPr>
              <w:pStyle w:val="Tijeloteksta"/>
              <w:jc w:val="center"/>
              <w:rPr>
                <w:sz w:val="18"/>
              </w:rPr>
            </w:pPr>
            <w:r>
              <w:rPr>
                <w:sz w:val="18"/>
              </w:rPr>
              <w:t>PŠ</w:t>
            </w:r>
          </w:p>
        </w:tc>
        <w:tc>
          <w:tcPr>
            <w:tcW w:w="1559" w:type="dxa"/>
            <w:tcBorders>
              <w:top w:val="single" w:sz="4" w:space="0" w:color="auto"/>
              <w:left w:val="single" w:sz="4" w:space="0" w:color="auto"/>
              <w:bottom w:val="single" w:sz="4" w:space="0" w:color="auto"/>
              <w:right w:val="single" w:sz="4" w:space="0" w:color="auto"/>
            </w:tcBorders>
            <w:vAlign w:val="center"/>
          </w:tcPr>
          <w:p w:rsidR="00012172" w:rsidRDefault="00772FD4">
            <w:pPr>
              <w:pStyle w:val="Tijeloteksta"/>
              <w:jc w:val="center"/>
              <w:rPr>
                <w:sz w:val="18"/>
              </w:rPr>
            </w:pPr>
            <w:smartTag w:uri="urn:schemas-microsoft-com:office:smarttags" w:element="metricconverter">
              <w:smartTagPr>
                <w:attr w:name="ProductID" w:val="1208,32 ha"/>
              </w:smartTagPr>
              <w:r>
                <w:rPr>
                  <w:sz w:val="18"/>
                </w:rPr>
                <w:t>1208,32 ha</w:t>
              </w:r>
            </w:smartTag>
          </w:p>
        </w:tc>
        <w:tc>
          <w:tcPr>
            <w:tcW w:w="992" w:type="dxa"/>
            <w:tcBorders>
              <w:top w:val="single" w:sz="4" w:space="0" w:color="auto"/>
              <w:left w:val="single" w:sz="4" w:space="0" w:color="auto"/>
              <w:bottom w:val="single" w:sz="4" w:space="0" w:color="auto"/>
              <w:right w:val="single" w:sz="4" w:space="0" w:color="auto"/>
            </w:tcBorders>
            <w:vAlign w:val="center"/>
          </w:tcPr>
          <w:p w:rsidR="00012172" w:rsidRDefault="00772FD4">
            <w:pPr>
              <w:pStyle w:val="Tijeloteksta"/>
              <w:jc w:val="center"/>
              <w:rPr>
                <w:sz w:val="18"/>
              </w:rPr>
            </w:pPr>
            <w:r>
              <w:rPr>
                <w:sz w:val="18"/>
              </w:rPr>
              <w:t>36,9</w:t>
            </w:r>
          </w:p>
        </w:tc>
        <w:tc>
          <w:tcPr>
            <w:tcW w:w="1127" w:type="dxa"/>
            <w:tcBorders>
              <w:top w:val="single" w:sz="4" w:space="0" w:color="auto"/>
              <w:left w:val="single" w:sz="4" w:space="0" w:color="auto"/>
              <w:bottom w:val="single" w:sz="4" w:space="0" w:color="auto"/>
              <w:right w:val="double" w:sz="4" w:space="0" w:color="auto"/>
            </w:tcBorders>
            <w:vAlign w:val="center"/>
          </w:tcPr>
          <w:p w:rsidR="00012172" w:rsidRDefault="00772FD4">
            <w:pPr>
              <w:pStyle w:val="Tijeloteksta"/>
              <w:jc w:val="center"/>
              <w:rPr>
                <w:sz w:val="18"/>
              </w:rPr>
            </w:pPr>
            <w:r>
              <w:rPr>
                <w:sz w:val="18"/>
              </w:rPr>
              <w:t>1,6</w:t>
            </w:r>
          </w:p>
        </w:tc>
      </w:tr>
      <w:tr w:rsidR="00012172">
        <w:trPr>
          <w:cantSplit/>
        </w:trPr>
        <w:tc>
          <w:tcPr>
            <w:tcW w:w="567" w:type="dxa"/>
            <w:tcBorders>
              <w:top w:val="single" w:sz="4" w:space="0" w:color="auto"/>
              <w:left w:val="double" w:sz="4" w:space="0" w:color="auto"/>
              <w:bottom w:val="single" w:sz="4" w:space="0" w:color="auto"/>
              <w:right w:val="single" w:sz="4" w:space="0" w:color="auto"/>
            </w:tcBorders>
          </w:tcPr>
          <w:p w:rsidR="00012172" w:rsidRDefault="00012172">
            <w:pPr>
              <w:pStyle w:val="Tijeloteksta"/>
              <w:jc w:val="center"/>
              <w:rPr>
                <w:sz w:val="18"/>
              </w:rPr>
            </w:pPr>
            <w:r>
              <w:rPr>
                <w:sz w:val="18"/>
              </w:rPr>
              <w:t>1.6.</w:t>
            </w:r>
          </w:p>
        </w:tc>
        <w:tc>
          <w:tcPr>
            <w:tcW w:w="3544" w:type="dxa"/>
            <w:tcBorders>
              <w:top w:val="single" w:sz="4" w:space="0" w:color="auto"/>
              <w:left w:val="single" w:sz="4" w:space="0" w:color="auto"/>
              <w:bottom w:val="single" w:sz="4" w:space="0" w:color="auto"/>
              <w:right w:val="single" w:sz="4" w:space="0" w:color="auto"/>
            </w:tcBorders>
          </w:tcPr>
          <w:p w:rsidR="00012172" w:rsidRDefault="00012172">
            <w:pPr>
              <w:pStyle w:val="Tijeloteksta"/>
              <w:rPr>
                <w:sz w:val="18"/>
              </w:rPr>
            </w:pPr>
            <w:r>
              <w:rPr>
                <w:sz w:val="18"/>
              </w:rPr>
              <w:t xml:space="preserve">Vodne površine                               ukupno       </w:t>
            </w:r>
          </w:p>
        </w:tc>
        <w:tc>
          <w:tcPr>
            <w:tcW w:w="851" w:type="dxa"/>
            <w:tcBorders>
              <w:top w:val="single" w:sz="4" w:space="0" w:color="auto"/>
              <w:left w:val="single" w:sz="4" w:space="0" w:color="auto"/>
              <w:bottom w:val="single" w:sz="4" w:space="0" w:color="auto"/>
              <w:right w:val="single" w:sz="4" w:space="0" w:color="auto"/>
            </w:tcBorders>
            <w:vAlign w:val="center"/>
          </w:tcPr>
          <w:p w:rsidR="00012172" w:rsidRDefault="00012172">
            <w:pPr>
              <w:pStyle w:val="Tijeloteksta"/>
              <w:jc w:val="center"/>
              <w:rPr>
                <w:sz w:val="18"/>
                <w:lang w:val="de-DE"/>
              </w:rPr>
            </w:pPr>
            <w:r>
              <w:rPr>
                <w:sz w:val="18"/>
                <w:lang w:val="de-DE"/>
              </w:rPr>
              <w:t>V</w:t>
            </w:r>
          </w:p>
        </w:tc>
        <w:tc>
          <w:tcPr>
            <w:tcW w:w="1559" w:type="dxa"/>
            <w:tcBorders>
              <w:top w:val="single" w:sz="4" w:space="0" w:color="auto"/>
              <w:left w:val="single" w:sz="4" w:space="0" w:color="auto"/>
              <w:bottom w:val="single" w:sz="4" w:space="0" w:color="auto"/>
              <w:right w:val="single" w:sz="4" w:space="0" w:color="auto"/>
            </w:tcBorders>
            <w:vAlign w:val="center"/>
          </w:tcPr>
          <w:p w:rsidR="00012172" w:rsidRDefault="009054C3">
            <w:pPr>
              <w:pStyle w:val="Tijeloteksta"/>
              <w:jc w:val="center"/>
              <w:rPr>
                <w:sz w:val="18"/>
                <w:lang w:val="de-DE"/>
              </w:rPr>
            </w:pPr>
            <w:r>
              <w:rPr>
                <w:sz w:val="18"/>
                <w:lang w:val="de-DE"/>
              </w:rPr>
              <w:t>1,0</w:t>
            </w:r>
          </w:p>
        </w:tc>
        <w:tc>
          <w:tcPr>
            <w:tcW w:w="992" w:type="dxa"/>
            <w:tcBorders>
              <w:top w:val="single" w:sz="4" w:space="0" w:color="auto"/>
              <w:left w:val="single" w:sz="4" w:space="0" w:color="auto"/>
              <w:bottom w:val="single" w:sz="4" w:space="0" w:color="auto"/>
              <w:right w:val="single" w:sz="4" w:space="0" w:color="auto"/>
            </w:tcBorders>
            <w:vAlign w:val="center"/>
          </w:tcPr>
          <w:p w:rsidR="00012172" w:rsidRDefault="009054C3">
            <w:pPr>
              <w:pStyle w:val="Tijeloteksta"/>
              <w:jc w:val="center"/>
              <w:rPr>
                <w:bCs/>
                <w:sz w:val="18"/>
                <w:lang w:val="de-DE"/>
              </w:rPr>
            </w:pPr>
            <w:r>
              <w:rPr>
                <w:bCs/>
                <w:sz w:val="18"/>
                <w:lang w:val="de-DE"/>
              </w:rPr>
              <w:t>0,03</w:t>
            </w:r>
          </w:p>
        </w:tc>
        <w:tc>
          <w:tcPr>
            <w:tcW w:w="1127" w:type="dxa"/>
            <w:tcBorders>
              <w:top w:val="single" w:sz="4" w:space="0" w:color="auto"/>
              <w:left w:val="single" w:sz="4" w:space="0" w:color="auto"/>
              <w:bottom w:val="single" w:sz="4" w:space="0" w:color="auto"/>
              <w:right w:val="double" w:sz="4" w:space="0" w:color="auto"/>
            </w:tcBorders>
            <w:vAlign w:val="center"/>
          </w:tcPr>
          <w:p w:rsidR="00012172" w:rsidRDefault="009054C3">
            <w:pPr>
              <w:pStyle w:val="Tijeloteksta"/>
              <w:jc w:val="center"/>
              <w:rPr>
                <w:bCs/>
                <w:sz w:val="18"/>
                <w:lang w:val="de-DE"/>
              </w:rPr>
            </w:pPr>
            <w:r>
              <w:rPr>
                <w:bCs/>
                <w:sz w:val="18"/>
                <w:lang w:val="de-DE"/>
              </w:rPr>
              <w:t>2035</w:t>
            </w:r>
          </w:p>
        </w:tc>
      </w:tr>
      <w:tr w:rsidR="00012172">
        <w:trPr>
          <w:cantSplit/>
        </w:trPr>
        <w:tc>
          <w:tcPr>
            <w:tcW w:w="567" w:type="dxa"/>
            <w:tcBorders>
              <w:top w:val="single" w:sz="4" w:space="0" w:color="auto"/>
              <w:left w:val="double" w:sz="4" w:space="0" w:color="auto"/>
              <w:bottom w:val="single" w:sz="4" w:space="0" w:color="auto"/>
              <w:right w:val="single" w:sz="4" w:space="0" w:color="auto"/>
            </w:tcBorders>
          </w:tcPr>
          <w:p w:rsidR="00012172" w:rsidRDefault="00012172">
            <w:pPr>
              <w:pStyle w:val="Tijeloteksta"/>
              <w:jc w:val="center"/>
              <w:rPr>
                <w:sz w:val="18"/>
                <w:lang w:val="de-DE"/>
              </w:rPr>
            </w:pPr>
            <w:r>
              <w:rPr>
                <w:sz w:val="18"/>
                <w:lang w:val="de-DE"/>
              </w:rPr>
              <w:t>1.7.</w:t>
            </w:r>
          </w:p>
        </w:tc>
        <w:tc>
          <w:tcPr>
            <w:tcW w:w="3544" w:type="dxa"/>
            <w:tcBorders>
              <w:top w:val="single" w:sz="4" w:space="0" w:color="auto"/>
              <w:left w:val="single" w:sz="4" w:space="0" w:color="auto"/>
              <w:bottom w:val="single" w:sz="4" w:space="0" w:color="auto"/>
              <w:right w:val="single" w:sz="4" w:space="0" w:color="auto"/>
            </w:tcBorders>
          </w:tcPr>
          <w:p w:rsidR="00012172" w:rsidRDefault="00012172">
            <w:pPr>
              <w:pStyle w:val="Tijeloteksta"/>
              <w:rPr>
                <w:sz w:val="18"/>
                <w:lang w:val="de-DE"/>
              </w:rPr>
            </w:pPr>
            <w:r>
              <w:rPr>
                <w:sz w:val="18"/>
                <w:lang w:val="de-DE"/>
              </w:rPr>
              <w:t>Ostale površine                               ukupno</w:t>
            </w:r>
          </w:p>
        </w:tc>
        <w:tc>
          <w:tcPr>
            <w:tcW w:w="851" w:type="dxa"/>
            <w:tcBorders>
              <w:top w:val="single" w:sz="4" w:space="0" w:color="auto"/>
              <w:left w:val="single" w:sz="4" w:space="0" w:color="auto"/>
              <w:bottom w:val="single" w:sz="4" w:space="0" w:color="auto"/>
              <w:right w:val="single" w:sz="4" w:space="0" w:color="auto"/>
            </w:tcBorders>
          </w:tcPr>
          <w:p w:rsidR="00012172" w:rsidRDefault="00012172">
            <w:pPr>
              <w:pStyle w:val="Tijeloteksta"/>
              <w:rPr>
                <w:sz w:val="18"/>
                <w:lang w:val="de-DE"/>
              </w:rPr>
            </w:pPr>
          </w:p>
        </w:tc>
        <w:tc>
          <w:tcPr>
            <w:tcW w:w="1559" w:type="dxa"/>
            <w:tcBorders>
              <w:top w:val="single" w:sz="4" w:space="0" w:color="auto"/>
              <w:left w:val="single" w:sz="4" w:space="0" w:color="auto"/>
              <w:bottom w:val="single" w:sz="4" w:space="0" w:color="auto"/>
              <w:right w:val="single" w:sz="4" w:space="0" w:color="auto"/>
            </w:tcBorders>
            <w:vAlign w:val="center"/>
          </w:tcPr>
          <w:p w:rsidR="00012172" w:rsidRDefault="00DE239B">
            <w:pPr>
              <w:pStyle w:val="Tijeloteksta"/>
              <w:jc w:val="center"/>
              <w:rPr>
                <w:sz w:val="18"/>
                <w:lang w:val="de-DE"/>
              </w:rPr>
            </w:pPr>
            <w:r>
              <w:rPr>
                <w:sz w:val="18"/>
                <w:lang w:val="de-DE"/>
              </w:rPr>
              <w:t>64,0</w:t>
            </w:r>
          </w:p>
        </w:tc>
        <w:tc>
          <w:tcPr>
            <w:tcW w:w="992" w:type="dxa"/>
            <w:tcBorders>
              <w:top w:val="single" w:sz="4" w:space="0" w:color="auto"/>
              <w:left w:val="single" w:sz="4" w:space="0" w:color="auto"/>
              <w:bottom w:val="single" w:sz="4" w:space="0" w:color="auto"/>
              <w:right w:val="single" w:sz="4" w:space="0" w:color="auto"/>
            </w:tcBorders>
            <w:vAlign w:val="center"/>
          </w:tcPr>
          <w:p w:rsidR="00012172" w:rsidRDefault="00DE239B">
            <w:pPr>
              <w:jc w:val="center"/>
              <w:rPr>
                <w:bCs/>
                <w:sz w:val="18"/>
                <w:szCs w:val="20"/>
              </w:rPr>
            </w:pPr>
            <w:r>
              <w:rPr>
                <w:bCs/>
                <w:sz w:val="18"/>
                <w:szCs w:val="20"/>
              </w:rPr>
              <w:t>1,9</w:t>
            </w:r>
          </w:p>
        </w:tc>
        <w:tc>
          <w:tcPr>
            <w:tcW w:w="1127" w:type="dxa"/>
            <w:tcBorders>
              <w:top w:val="single" w:sz="4" w:space="0" w:color="auto"/>
              <w:left w:val="single" w:sz="4" w:space="0" w:color="auto"/>
              <w:bottom w:val="single" w:sz="4" w:space="0" w:color="auto"/>
              <w:right w:val="double" w:sz="4" w:space="0" w:color="auto"/>
            </w:tcBorders>
            <w:vAlign w:val="center"/>
          </w:tcPr>
          <w:p w:rsidR="00012172" w:rsidRDefault="00DE239B">
            <w:pPr>
              <w:jc w:val="center"/>
              <w:rPr>
                <w:bCs/>
                <w:sz w:val="18"/>
                <w:szCs w:val="20"/>
              </w:rPr>
            </w:pPr>
            <w:r>
              <w:rPr>
                <w:bCs/>
                <w:sz w:val="18"/>
                <w:szCs w:val="20"/>
              </w:rPr>
              <w:t>31,7</w:t>
            </w:r>
          </w:p>
        </w:tc>
      </w:tr>
      <w:tr w:rsidR="00012172">
        <w:tc>
          <w:tcPr>
            <w:tcW w:w="567" w:type="dxa"/>
            <w:tcBorders>
              <w:top w:val="single" w:sz="4" w:space="0" w:color="auto"/>
              <w:left w:val="double" w:sz="4" w:space="0" w:color="auto"/>
              <w:bottom w:val="double" w:sz="4" w:space="0" w:color="auto"/>
              <w:right w:val="single" w:sz="4" w:space="0" w:color="auto"/>
            </w:tcBorders>
          </w:tcPr>
          <w:p w:rsidR="00012172" w:rsidRDefault="00012172">
            <w:pPr>
              <w:pStyle w:val="Tijeloteksta"/>
              <w:jc w:val="center"/>
              <w:rPr>
                <w:sz w:val="18"/>
                <w:lang w:val="de-DE"/>
              </w:rPr>
            </w:pPr>
          </w:p>
        </w:tc>
        <w:tc>
          <w:tcPr>
            <w:tcW w:w="3544" w:type="dxa"/>
            <w:tcBorders>
              <w:top w:val="single" w:sz="4" w:space="0" w:color="auto"/>
              <w:left w:val="single" w:sz="4" w:space="0" w:color="auto"/>
              <w:bottom w:val="double" w:sz="4" w:space="0" w:color="auto"/>
              <w:right w:val="single" w:sz="4" w:space="0" w:color="auto"/>
            </w:tcBorders>
          </w:tcPr>
          <w:p w:rsidR="00012172" w:rsidRDefault="00012172">
            <w:pPr>
              <w:pStyle w:val="Tijeloteksta"/>
              <w:rPr>
                <w:sz w:val="18"/>
                <w:lang w:val="de-DE"/>
              </w:rPr>
            </w:pPr>
            <w:r>
              <w:rPr>
                <w:lang w:val="de-DE"/>
              </w:rPr>
              <w:t xml:space="preserve">Općina                          </w:t>
            </w:r>
            <w:r>
              <w:rPr>
                <w:sz w:val="18"/>
                <w:lang w:val="de-DE"/>
              </w:rPr>
              <w:t xml:space="preserve">      ukupno</w:t>
            </w:r>
          </w:p>
        </w:tc>
        <w:tc>
          <w:tcPr>
            <w:tcW w:w="851" w:type="dxa"/>
            <w:tcBorders>
              <w:top w:val="single" w:sz="4" w:space="0" w:color="auto"/>
              <w:left w:val="single" w:sz="4" w:space="0" w:color="auto"/>
              <w:bottom w:val="double" w:sz="4" w:space="0" w:color="auto"/>
              <w:right w:val="single" w:sz="4" w:space="0" w:color="auto"/>
            </w:tcBorders>
          </w:tcPr>
          <w:p w:rsidR="00012172" w:rsidRDefault="00012172">
            <w:pPr>
              <w:pStyle w:val="Tijeloteksta"/>
              <w:rPr>
                <w:sz w:val="18"/>
                <w:lang w:val="de-DE"/>
              </w:rPr>
            </w:pPr>
          </w:p>
        </w:tc>
        <w:tc>
          <w:tcPr>
            <w:tcW w:w="1559" w:type="dxa"/>
            <w:tcBorders>
              <w:top w:val="single" w:sz="4" w:space="0" w:color="auto"/>
              <w:left w:val="single" w:sz="4" w:space="0" w:color="auto"/>
              <w:bottom w:val="double" w:sz="4" w:space="0" w:color="auto"/>
              <w:right w:val="single" w:sz="4" w:space="0" w:color="auto"/>
            </w:tcBorders>
            <w:vAlign w:val="center"/>
          </w:tcPr>
          <w:p w:rsidR="00012172" w:rsidRDefault="00772FD4">
            <w:pPr>
              <w:pStyle w:val="Tijeloteksta"/>
              <w:jc w:val="center"/>
              <w:rPr>
                <w:sz w:val="18"/>
                <w:lang w:val="de-DE"/>
              </w:rPr>
            </w:pPr>
            <w:smartTag w:uri="urn:schemas-microsoft-com:office:smarttags" w:element="metricconverter">
              <w:smartTagPr>
                <w:attr w:name="ProductID" w:val="3272 ha"/>
              </w:smartTagPr>
              <w:r>
                <w:rPr>
                  <w:sz w:val="18"/>
                  <w:lang w:val="de-DE"/>
                </w:rPr>
                <w:t>3272 ha</w:t>
              </w:r>
            </w:smartTag>
          </w:p>
        </w:tc>
        <w:tc>
          <w:tcPr>
            <w:tcW w:w="992" w:type="dxa"/>
            <w:tcBorders>
              <w:top w:val="single" w:sz="4" w:space="0" w:color="auto"/>
              <w:left w:val="single" w:sz="4" w:space="0" w:color="auto"/>
              <w:bottom w:val="double" w:sz="4" w:space="0" w:color="auto"/>
              <w:right w:val="single" w:sz="4" w:space="0" w:color="auto"/>
            </w:tcBorders>
          </w:tcPr>
          <w:p w:rsidR="00012172" w:rsidRDefault="00772FD4">
            <w:pPr>
              <w:pStyle w:val="Tijeloteksta"/>
              <w:jc w:val="center"/>
              <w:rPr>
                <w:sz w:val="18"/>
                <w:lang w:val="de-DE"/>
              </w:rPr>
            </w:pPr>
            <w:r>
              <w:rPr>
                <w:sz w:val="18"/>
                <w:lang w:val="de-DE"/>
              </w:rPr>
              <w:t>100</w:t>
            </w:r>
          </w:p>
        </w:tc>
        <w:tc>
          <w:tcPr>
            <w:tcW w:w="1127" w:type="dxa"/>
            <w:tcBorders>
              <w:top w:val="single" w:sz="4" w:space="0" w:color="auto"/>
              <w:left w:val="single" w:sz="4" w:space="0" w:color="auto"/>
              <w:bottom w:val="double" w:sz="4" w:space="0" w:color="auto"/>
              <w:right w:val="double" w:sz="4" w:space="0" w:color="auto"/>
            </w:tcBorders>
          </w:tcPr>
          <w:p w:rsidR="00012172" w:rsidRDefault="009D20CA">
            <w:pPr>
              <w:pStyle w:val="Tijeloteksta"/>
              <w:jc w:val="center"/>
              <w:rPr>
                <w:sz w:val="18"/>
                <w:lang w:val="de-DE"/>
              </w:rPr>
            </w:pPr>
            <w:r>
              <w:rPr>
                <w:sz w:val="18"/>
                <w:lang w:val="de-DE"/>
              </w:rPr>
              <w:t>0,6</w:t>
            </w:r>
          </w:p>
        </w:tc>
      </w:tr>
    </w:tbl>
    <w:p w:rsidR="00012172" w:rsidRDefault="00012172">
      <w:pPr>
        <w:pStyle w:val="Naslov2"/>
      </w:pPr>
      <w:bookmarkStart w:id="53" w:name="_Toc95140602"/>
      <w:r>
        <w:t>3.3. Prikaz gospodarskih i društvenih djelatnosti</w:t>
      </w:r>
      <w:bookmarkEnd w:id="53"/>
      <w:r>
        <w:t xml:space="preserve"> </w:t>
      </w:r>
    </w:p>
    <w:p w:rsidR="00012172" w:rsidRDefault="00012172">
      <w:pPr>
        <w:rPr>
          <w:rFonts w:ascii="Arial" w:hAnsi="Arial" w:cs="Arial"/>
          <w:sz w:val="22"/>
          <w:szCs w:val="22"/>
        </w:rPr>
      </w:pPr>
    </w:p>
    <w:p w:rsidR="00012172" w:rsidRDefault="00012172">
      <w:pPr>
        <w:pStyle w:val="Naslov6"/>
        <w:rPr>
          <w:rFonts w:cs="Arial"/>
          <w:bCs w:val="0"/>
          <w:szCs w:val="22"/>
        </w:rPr>
      </w:pPr>
      <w:r>
        <w:rPr>
          <w:rFonts w:cs="Arial"/>
          <w:bCs w:val="0"/>
          <w:szCs w:val="22"/>
        </w:rPr>
        <w:t>Gospodarska struktura</w:t>
      </w:r>
    </w:p>
    <w:p w:rsidR="00012172" w:rsidRDefault="00012172">
      <w:pPr>
        <w:jc w:val="both"/>
        <w:rPr>
          <w:rFonts w:ascii="Arial" w:hAnsi="Arial" w:cs="Arial"/>
          <w:sz w:val="22"/>
          <w:szCs w:val="22"/>
        </w:rPr>
      </w:pPr>
      <w:r>
        <w:rPr>
          <w:rFonts w:ascii="Arial" w:hAnsi="Arial" w:cs="Arial"/>
          <w:sz w:val="22"/>
          <w:szCs w:val="22"/>
        </w:rPr>
        <w:t xml:space="preserve">Gospodarski razvoj općine  Gornja Rijeka bit će usmjeren na razvoj obiteljskih poljoprivrednih gospodarstava, razvoj malog poduzetništva i turizam. Za razvoj malog poduzetništva uredit će se poduzetničke zone.  </w:t>
      </w:r>
    </w:p>
    <w:p w:rsidR="00012172" w:rsidRDefault="00012172">
      <w:pPr>
        <w:jc w:val="both"/>
        <w:rPr>
          <w:rFonts w:ascii="Arial" w:hAnsi="Arial" w:cs="Arial"/>
          <w:b/>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012172" w:rsidRDefault="00012172">
      <w:pPr>
        <w:jc w:val="both"/>
        <w:rPr>
          <w:rFonts w:ascii="Arial" w:hAnsi="Arial" w:cs="Arial"/>
          <w:b/>
          <w:sz w:val="22"/>
          <w:szCs w:val="22"/>
        </w:rPr>
      </w:pPr>
      <w:r>
        <w:rPr>
          <w:rFonts w:ascii="Arial" w:hAnsi="Arial" w:cs="Arial"/>
          <w:b/>
          <w:sz w:val="22"/>
          <w:szCs w:val="22"/>
        </w:rPr>
        <w:t>Društvena infrastruktura</w:t>
      </w:r>
    </w:p>
    <w:p w:rsidR="00012172" w:rsidRDefault="00012172">
      <w:pPr>
        <w:jc w:val="both"/>
        <w:rPr>
          <w:rFonts w:ascii="Arial" w:hAnsi="Arial" w:cs="Arial"/>
          <w:sz w:val="22"/>
          <w:szCs w:val="22"/>
        </w:rPr>
      </w:pPr>
      <w:r>
        <w:rPr>
          <w:rFonts w:ascii="Arial" w:hAnsi="Arial" w:cs="Arial"/>
          <w:sz w:val="22"/>
          <w:szCs w:val="22"/>
        </w:rPr>
        <w:t xml:space="preserve">Urbani sadržaji u Općini Gornja Rijeka nisu na zadovoljavajućoj razini. Većina centralnih funkcija nalazi se u Križevcima. </w:t>
      </w:r>
    </w:p>
    <w:p w:rsidR="00012172" w:rsidRDefault="00012172">
      <w:pPr>
        <w:jc w:val="both"/>
        <w:rPr>
          <w:rFonts w:ascii="Arial" w:hAnsi="Arial" w:cs="Arial"/>
          <w:sz w:val="22"/>
          <w:szCs w:val="22"/>
        </w:rPr>
      </w:pPr>
    </w:p>
    <w:p w:rsidR="00012172" w:rsidRDefault="00012172">
      <w:pPr>
        <w:jc w:val="both"/>
        <w:rPr>
          <w:rFonts w:ascii="Arial" w:hAnsi="Arial" w:cs="Arial"/>
          <w:sz w:val="22"/>
          <w:szCs w:val="22"/>
        </w:rPr>
      </w:pPr>
      <w:r>
        <w:rPr>
          <w:rFonts w:ascii="Arial" w:hAnsi="Arial" w:cs="Arial"/>
          <w:b/>
          <w:sz w:val="22"/>
          <w:szCs w:val="22"/>
        </w:rPr>
        <w:t>Predškolski odgoj</w:t>
      </w:r>
      <w:r>
        <w:rPr>
          <w:rFonts w:ascii="Arial" w:hAnsi="Arial" w:cs="Arial"/>
          <w:sz w:val="22"/>
          <w:szCs w:val="22"/>
        </w:rPr>
        <w:t xml:space="preserve">: Za kvalitetan predškolski odgoj potrebno je osigurati prostor </w:t>
      </w:r>
      <w:r w:rsidR="00EC21D5">
        <w:rPr>
          <w:rFonts w:ascii="Arial" w:hAnsi="Arial" w:cs="Arial"/>
          <w:sz w:val="22"/>
          <w:szCs w:val="22"/>
        </w:rPr>
        <w:t>za izgradnju vrtića.</w:t>
      </w:r>
    </w:p>
    <w:p w:rsidR="00012172" w:rsidRDefault="00012172">
      <w:pPr>
        <w:jc w:val="both"/>
        <w:rPr>
          <w:rFonts w:ascii="Arial" w:hAnsi="Arial" w:cs="Arial"/>
          <w:sz w:val="22"/>
          <w:szCs w:val="22"/>
        </w:rPr>
      </w:pPr>
    </w:p>
    <w:p w:rsidR="00012172" w:rsidRDefault="00012172">
      <w:pPr>
        <w:jc w:val="both"/>
        <w:rPr>
          <w:rFonts w:ascii="Arial" w:hAnsi="Arial" w:cs="Arial"/>
          <w:sz w:val="22"/>
          <w:szCs w:val="22"/>
        </w:rPr>
      </w:pPr>
      <w:r>
        <w:rPr>
          <w:rFonts w:ascii="Arial" w:hAnsi="Arial" w:cs="Arial"/>
          <w:b/>
          <w:sz w:val="22"/>
          <w:szCs w:val="22"/>
        </w:rPr>
        <w:t>Osnovno obrazovanje</w:t>
      </w:r>
      <w:r>
        <w:rPr>
          <w:rFonts w:ascii="Arial" w:hAnsi="Arial" w:cs="Arial"/>
          <w:sz w:val="22"/>
          <w:szCs w:val="22"/>
        </w:rPr>
        <w:t xml:space="preserve">: Da bi osnovno školstvo bilo u toku sa suvremenim tehnološkim dostignućima nužno ih je informatizirati. </w:t>
      </w:r>
    </w:p>
    <w:p w:rsidR="00012172" w:rsidRDefault="00012172">
      <w:pPr>
        <w:jc w:val="both"/>
        <w:rPr>
          <w:rFonts w:ascii="Arial" w:hAnsi="Arial" w:cs="Arial"/>
          <w:sz w:val="22"/>
          <w:szCs w:val="22"/>
        </w:rPr>
      </w:pPr>
    </w:p>
    <w:p w:rsidR="00012172" w:rsidRDefault="00012172">
      <w:pPr>
        <w:jc w:val="both"/>
        <w:rPr>
          <w:rFonts w:ascii="Arial" w:hAnsi="Arial" w:cs="Arial"/>
          <w:sz w:val="22"/>
          <w:szCs w:val="22"/>
          <w:u w:val="single"/>
        </w:rPr>
      </w:pPr>
      <w:r>
        <w:rPr>
          <w:rFonts w:ascii="Arial" w:hAnsi="Arial" w:cs="Arial"/>
          <w:b/>
          <w:sz w:val="22"/>
          <w:szCs w:val="22"/>
        </w:rPr>
        <w:t>Zdravstvo i socijalna skrb</w:t>
      </w:r>
      <w:r>
        <w:rPr>
          <w:rFonts w:ascii="Arial" w:hAnsi="Arial" w:cs="Arial"/>
          <w:sz w:val="22"/>
          <w:szCs w:val="22"/>
        </w:rPr>
        <w:t>: Prioritet je zbrinjavanje  starog i nemoćnog stanovništva</w:t>
      </w:r>
      <w:r w:rsidR="00EC21D5">
        <w:rPr>
          <w:rFonts w:ascii="Arial" w:hAnsi="Arial" w:cs="Arial"/>
          <w:sz w:val="22"/>
          <w:szCs w:val="22"/>
        </w:rPr>
        <w:t>,u svrhu čega će se izgraditi starački dom</w:t>
      </w:r>
      <w:r w:rsidR="002B4042">
        <w:rPr>
          <w:rFonts w:ascii="Arial" w:hAnsi="Arial" w:cs="Arial"/>
          <w:sz w:val="22"/>
          <w:szCs w:val="22"/>
        </w:rPr>
        <w:t>.</w:t>
      </w:r>
    </w:p>
    <w:p w:rsidR="00012172" w:rsidRDefault="00012172">
      <w:pPr>
        <w:jc w:val="both"/>
        <w:rPr>
          <w:rFonts w:ascii="Arial" w:hAnsi="Arial" w:cs="Arial"/>
          <w:sz w:val="22"/>
          <w:szCs w:val="22"/>
        </w:rPr>
      </w:pPr>
    </w:p>
    <w:p w:rsidR="00012172" w:rsidRDefault="00012172">
      <w:pPr>
        <w:jc w:val="both"/>
        <w:rPr>
          <w:rFonts w:ascii="Arial" w:hAnsi="Arial" w:cs="Arial"/>
          <w:sz w:val="22"/>
          <w:szCs w:val="22"/>
        </w:rPr>
      </w:pPr>
      <w:r>
        <w:rPr>
          <w:rFonts w:ascii="Arial" w:hAnsi="Arial" w:cs="Arial"/>
          <w:b/>
          <w:bCs/>
          <w:sz w:val="22"/>
          <w:szCs w:val="22"/>
        </w:rPr>
        <w:t>Vjerskim zajednicama</w:t>
      </w:r>
      <w:r>
        <w:rPr>
          <w:rFonts w:ascii="Arial" w:hAnsi="Arial" w:cs="Arial"/>
          <w:sz w:val="22"/>
          <w:szCs w:val="22"/>
        </w:rPr>
        <w:t xml:space="preserve"> treba omogućiti odgovarajuće prostorne preduvjete na razinama prostornih planova niže razine za obavljanje vjerskih obreda, osnivanja škola, te socijalnih i dobrotvornih ustanova. </w:t>
      </w:r>
    </w:p>
    <w:p w:rsidR="00012172" w:rsidRDefault="00012172">
      <w:pPr>
        <w:jc w:val="both"/>
        <w:rPr>
          <w:szCs w:val="22"/>
        </w:rPr>
      </w:pPr>
    </w:p>
    <w:p w:rsidR="00012172" w:rsidRDefault="00012172">
      <w:pPr>
        <w:pStyle w:val="Opisslike"/>
        <w:keepNext/>
        <w:ind w:left="992" w:firstLine="424"/>
        <w:rPr>
          <w:b/>
          <w:bCs w:val="0"/>
        </w:rPr>
      </w:pPr>
      <w:bookmarkStart w:id="54" w:name="_Toc132763263"/>
      <w:r>
        <w:rPr>
          <w:b/>
          <w:bCs w:val="0"/>
        </w:rPr>
        <w:t xml:space="preserve">Tablica </w:t>
      </w:r>
      <w:r>
        <w:rPr>
          <w:b/>
          <w:bCs w:val="0"/>
        </w:rPr>
        <w:fldChar w:fldCharType="begin"/>
      </w:r>
      <w:r>
        <w:rPr>
          <w:b/>
          <w:bCs w:val="0"/>
        </w:rPr>
        <w:instrText xml:space="preserve"> SEQ Tablica \* ARABIC </w:instrText>
      </w:r>
      <w:r>
        <w:rPr>
          <w:b/>
          <w:bCs w:val="0"/>
        </w:rPr>
        <w:fldChar w:fldCharType="separate"/>
      </w:r>
      <w:r w:rsidR="002B1815">
        <w:rPr>
          <w:b/>
          <w:bCs w:val="0"/>
          <w:noProof/>
        </w:rPr>
        <w:t>14</w:t>
      </w:r>
      <w:r>
        <w:rPr>
          <w:b/>
          <w:bCs w:val="0"/>
        </w:rPr>
        <w:fldChar w:fldCharType="end"/>
      </w:r>
      <w:r>
        <w:rPr>
          <w:b/>
          <w:bCs w:val="0"/>
        </w:rPr>
        <w:t>: Centralne funkcije naselja</w:t>
      </w:r>
      <w:bookmarkEnd w:id="54"/>
    </w:p>
    <w:tbl>
      <w:tblPr>
        <w:tblW w:w="6622" w:type="dxa"/>
        <w:jc w:val="center"/>
        <w:tblInd w:w="108" w:type="dxa"/>
        <w:tblLayout w:type="fixed"/>
        <w:tblLook w:val="0000" w:firstRow="0" w:lastRow="0" w:firstColumn="0" w:lastColumn="0" w:noHBand="0" w:noVBand="0"/>
      </w:tblPr>
      <w:tblGrid>
        <w:gridCol w:w="3056"/>
        <w:gridCol w:w="1287"/>
        <w:gridCol w:w="1017"/>
        <w:gridCol w:w="1262"/>
      </w:tblGrid>
      <w:tr w:rsidR="00012172">
        <w:tblPrEx>
          <w:tblCellMar>
            <w:top w:w="0" w:type="dxa"/>
            <w:bottom w:w="0" w:type="dxa"/>
          </w:tblCellMar>
        </w:tblPrEx>
        <w:trPr>
          <w:trHeight w:val="498"/>
          <w:jc w:val="center"/>
        </w:trPr>
        <w:tc>
          <w:tcPr>
            <w:tcW w:w="3056" w:type="dxa"/>
            <w:tcBorders>
              <w:top w:val="single" w:sz="6" w:space="0" w:color="auto"/>
              <w:left w:val="single" w:sz="6" w:space="0" w:color="auto"/>
              <w:bottom w:val="single" w:sz="6" w:space="0" w:color="auto"/>
              <w:right w:val="single" w:sz="6" w:space="0" w:color="auto"/>
            </w:tcBorders>
            <w:vAlign w:val="center"/>
          </w:tcPr>
          <w:p w:rsidR="00012172" w:rsidRDefault="00012172">
            <w:pPr>
              <w:ind w:right="-1"/>
              <w:jc w:val="center"/>
              <w:rPr>
                <w:bCs/>
                <w:caps/>
                <w:sz w:val="18"/>
              </w:rPr>
            </w:pPr>
            <w:r>
              <w:rPr>
                <w:bCs/>
                <w:caps/>
                <w:sz w:val="18"/>
              </w:rPr>
              <w:t>NAZIV SADRŽAJA</w:t>
            </w:r>
          </w:p>
        </w:tc>
        <w:tc>
          <w:tcPr>
            <w:tcW w:w="1287" w:type="dxa"/>
            <w:tcBorders>
              <w:top w:val="single" w:sz="6" w:space="0" w:color="auto"/>
              <w:left w:val="single" w:sz="6" w:space="0" w:color="auto"/>
              <w:bottom w:val="single" w:sz="6" w:space="0" w:color="auto"/>
              <w:right w:val="single" w:sz="6" w:space="0" w:color="auto"/>
            </w:tcBorders>
            <w:vAlign w:val="center"/>
          </w:tcPr>
          <w:p w:rsidR="00012172" w:rsidRDefault="00012172">
            <w:pPr>
              <w:ind w:right="-1"/>
              <w:jc w:val="center"/>
              <w:rPr>
                <w:bCs/>
                <w:caps/>
                <w:sz w:val="16"/>
              </w:rPr>
            </w:pPr>
            <w:r>
              <w:rPr>
                <w:bCs/>
                <w:caps/>
                <w:sz w:val="16"/>
              </w:rPr>
              <w:t>Gornja Rijeka</w:t>
            </w:r>
          </w:p>
        </w:tc>
        <w:tc>
          <w:tcPr>
            <w:tcW w:w="1017" w:type="dxa"/>
            <w:tcBorders>
              <w:top w:val="single" w:sz="6" w:space="0" w:color="auto"/>
              <w:left w:val="single" w:sz="6" w:space="0" w:color="auto"/>
              <w:bottom w:val="single" w:sz="6" w:space="0" w:color="auto"/>
              <w:right w:val="single" w:sz="6" w:space="0" w:color="auto"/>
            </w:tcBorders>
            <w:vAlign w:val="center"/>
          </w:tcPr>
          <w:p w:rsidR="00012172" w:rsidRDefault="00BC2A4D">
            <w:pPr>
              <w:ind w:right="-108"/>
              <w:jc w:val="center"/>
              <w:rPr>
                <w:bCs/>
                <w:caps/>
                <w:sz w:val="16"/>
              </w:rPr>
            </w:pPr>
            <w:r>
              <w:rPr>
                <w:bCs/>
                <w:caps/>
                <w:sz w:val="16"/>
              </w:rPr>
              <w:t>POFUKI</w:t>
            </w:r>
          </w:p>
        </w:tc>
        <w:tc>
          <w:tcPr>
            <w:tcW w:w="1262" w:type="dxa"/>
            <w:tcBorders>
              <w:top w:val="single" w:sz="6" w:space="0" w:color="auto"/>
              <w:left w:val="single" w:sz="6" w:space="0" w:color="auto"/>
              <w:bottom w:val="single" w:sz="6" w:space="0" w:color="auto"/>
              <w:right w:val="single" w:sz="6" w:space="0" w:color="auto"/>
            </w:tcBorders>
            <w:vAlign w:val="center"/>
          </w:tcPr>
          <w:p w:rsidR="00012172" w:rsidRDefault="00BC2A4D">
            <w:pPr>
              <w:ind w:right="-1"/>
              <w:jc w:val="center"/>
              <w:rPr>
                <w:bCs/>
                <w:caps/>
                <w:sz w:val="16"/>
              </w:rPr>
            </w:pPr>
            <w:r>
              <w:rPr>
                <w:bCs/>
                <w:caps/>
                <w:sz w:val="16"/>
              </w:rPr>
              <w:t>kOLAREC</w:t>
            </w:r>
          </w:p>
        </w:tc>
      </w:tr>
      <w:tr w:rsidR="00012172">
        <w:tblPrEx>
          <w:tblCellMar>
            <w:top w:w="0" w:type="dxa"/>
            <w:bottom w:w="0" w:type="dxa"/>
          </w:tblCellMar>
        </w:tblPrEx>
        <w:trPr>
          <w:jc w:val="center"/>
        </w:trPr>
        <w:tc>
          <w:tcPr>
            <w:tcW w:w="3056" w:type="dxa"/>
            <w:tcBorders>
              <w:top w:val="single" w:sz="6" w:space="0" w:color="auto"/>
              <w:left w:val="single" w:sz="6" w:space="0" w:color="auto"/>
              <w:bottom w:val="single" w:sz="6" w:space="0" w:color="auto"/>
              <w:right w:val="single" w:sz="6" w:space="0" w:color="auto"/>
            </w:tcBorders>
            <w:vAlign w:val="center"/>
          </w:tcPr>
          <w:p w:rsidR="00012172" w:rsidRDefault="00012172">
            <w:pPr>
              <w:ind w:right="-1"/>
              <w:rPr>
                <w:caps/>
                <w:sz w:val="16"/>
              </w:rPr>
            </w:pPr>
            <w:r>
              <w:rPr>
                <w:caps/>
                <w:sz w:val="16"/>
              </w:rPr>
              <w:t>VRTIĆ</w:t>
            </w:r>
          </w:p>
        </w:tc>
        <w:tc>
          <w:tcPr>
            <w:tcW w:w="1287" w:type="dxa"/>
            <w:tcBorders>
              <w:top w:val="single" w:sz="6" w:space="0" w:color="auto"/>
              <w:left w:val="single" w:sz="6" w:space="0" w:color="auto"/>
              <w:bottom w:val="single" w:sz="6" w:space="0" w:color="auto"/>
              <w:right w:val="single" w:sz="6" w:space="0" w:color="auto"/>
            </w:tcBorders>
            <w:vAlign w:val="center"/>
          </w:tcPr>
          <w:p w:rsidR="00012172" w:rsidRDefault="00012172">
            <w:pPr>
              <w:ind w:right="-1"/>
              <w:jc w:val="center"/>
              <w:rPr>
                <w:caps/>
                <w:sz w:val="18"/>
              </w:rPr>
            </w:pPr>
          </w:p>
        </w:tc>
        <w:tc>
          <w:tcPr>
            <w:tcW w:w="101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262"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r>
      <w:tr w:rsidR="00012172">
        <w:tblPrEx>
          <w:tblCellMar>
            <w:top w:w="0" w:type="dxa"/>
            <w:bottom w:w="0" w:type="dxa"/>
          </w:tblCellMar>
        </w:tblPrEx>
        <w:trPr>
          <w:jc w:val="center"/>
        </w:trPr>
        <w:tc>
          <w:tcPr>
            <w:tcW w:w="3056" w:type="dxa"/>
            <w:tcBorders>
              <w:top w:val="single" w:sz="6" w:space="0" w:color="auto"/>
              <w:left w:val="single" w:sz="6" w:space="0" w:color="auto"/>
              <w:bottom w:val="single" w:sz="6" w:space="0" w:color="auto"/>
              <w:right w:val="single" w:sz="6" w:space="0" w:color="auto"/>
            </w:tcBorders>
            <w:vAlign w:val="center"/>
          </w:tcPr>
          <w:p w:rsidR="00012172" w:rsidRDefault="00012172">
            <w:pPr>
              <w:ind w:right="-1"/>
              <w:rPr>
                <w:caps/>
                <w:sz w:val="16"/>
              </w:rPr>
            </w:pPr>
            <w:r>
              <w:rPr>
                <w:caps/>
                <w:sz w:val="16"/>
              </w:rPr>
              <w:t>CENTRALNA  OSNOVNA ŠKOLA</w:t>
            </w:r>
          </w:p>
        </w:tc>
        <w:tc>
          <w:tcPr>
            <w:tcW w:w="1287" w:type="dxa"/>
            <w:tcBorders>
              <w:top w:val="single" w:sz="6" w:space="0" w:color="auto"/>
              <w:left w:val="single" w:sz="6" w:space="0" w:color="auto"/>
              <w:bottom w:val="single" w:sz="6" w:space="0" w:color="auto"/>
              <w:right w:val="single" w:sz="6" w:space="0" w:color="auto"/>
            </w:tcBorders>
            <w:vAlign w:val="center"/>
          </w:tcPr>
          <w:p w:rsidR="00012172" w:rsidRDefault="00012172">
            <w:pPr>
              <w:ind w:right="-1"/>
              <w:jc w:val="center"/>
              <w:rPr>
                <w:caps/>
                <w:sz w:val="18"/>
              </w:rPr>
            </w:pPr>
            <w:r>
              <w:rPr>
                <w:caps/>
                <w:sz w:val="18"/>
              </w:rPr>
              <w:t>+</w:t>
            </w:r>
          </w:p>
        </w:tc>
        <w:tc>
          <w:tcPr>
            <w:tcW w:w="101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262" w:type="dxa"/>
            <w:tcBorders>
              <w:top w:val="single" w:sz="6" w:space="0" w:color="auto"/>
              <w:left w:val="single" w:sz="6" w:space="0" w:color="auto"/>
              <w:bottom w:val="single" w:sz="6" w:space="0" w:color="auto"/>
              <w:right w:val="single" w:sz="6" w:space="0" w:color="auto"/>
            </w:tcBorders>
          </w:tcPr>
          <w:p w:rsidR="00012172" w:rsidRDefault="00437D6C">
            <w:pPr>
              <w:ind w:right="-1"/>
              <w:jc w:val="center"/>
              <w:rPr>
                <w:caps/>
                <w:sz w:val="18"/>
              </w:rPr>
            </w:pPr>
            <w:r>
              <w:rPr>
                <w:caps/>
                <w:sz w:val="18"/>
              </w:rPr>
              <w:t>+</w:t>
            </w:r>
          </w:p>
        </w:tc>
      </w:tr>
      <w:tr w:rsidR="00012172">
        <w:tblPrEx>
          <w:tblCellMar>
            <w:top w:w="0" w:type="dxa"/>
            <w:bottom w:w="0" w:type="dxa"/>
          </w:tblCellMar>
        </w:tblPrEx>
        <w:trPr>
          <w:jc w:val="center"/>
        </w:trPr>
        <w:tc>
          <w:tcPr>
            <w:tcW w:w="3056" w:type="dxa"/>
            <w:tcBorders>
              <w:top w:val="single" w:sz="6" w:space="0" w:color="auto"/>
              <w:left w:val="single" w:sz="6" w:space="0" w:color="auto"/>
              <w:bottom w:val="single" w:sz="6" w:space="0" w:color="auto"/>
              <w:right w:val="single" w:sz="6" w:space="0" w:color="auto"/>
            </w:tcBorders>
            <w:vAlign w:val="center"/>
          </w:tcPr>
          <w:p w:rsidR="00012172" w:rsidRDefault="00012172">
            <w:pPr>
              <w:ind w:right="-1"/>
              <w:rPr>
                <w:caps/>
                <w:sz w:val="16"/>
              </w:rPr>
            </w:pPr>
            <w:r>
              <w:rPr>
                <w:caps/>
                <w:sz w:val="16"/>
              </w:rPr>
              <w:t>PODRUČNA OSNOVNA ŠKOLA</w:t>
            </w:r>
          </w:p>
        </w:tc>
        <w:tc>
          <w:tcPr>
            <w:tcW w:w="128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01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262"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r>
      <w:tr w:rsidR="00012172">
        <w:tblPrEx>
          <w:tblCellMar>
            <w:top w:w="0" w:type="dxa"/>
            <w:bottom w:w="0" w:type="dxa"/>
          </w:tblCellMar>
        </w:tblPrEx>
        <w:trPr>
          <w:jc w:val="center"/>
        </w:trPr>
        <w:tc>
          <w:tcPr>
            <w:tcW w:w="3056" w:type="dxa"/>
            <w:tcBorders>
              <w:top w:val="single" w:sz="6" w:space="0" w:color="auto"/>
              <w:left w:val="single" w:sz="6" w:space="0" w:color="auto"/>
              <w:bottom w:val="single" w:sz="6" w:space="0" w:color="auto"/>
              <w:right w:val="single" w:sz="6" w:space="0" w:color="auto"/>
            </w:tcBorders>
            <w:vAlign w:val="center"/>
          </w:tcPr>
          <w:p w:rsidR="00012172" w:rsidRDefault="00012172">
            <w:pPr>
              <w:ind w:right="-1"/>
              <w:rPr>
                <w:caps/>
                <w:sz w:val="16"/>
              </w:rPr>
            </w:pPr>
            <w:r>
              <w:rPr>
                <w:caps/>
                <w:sz w:val="16"/>
              </w:rPr>
              <w:t>AMBULANTA</w:t>
            </w:r>
          </w:p>
        </w:tc>
        <w:tc>
          <w:tcPr>
            <w:tcW w:w="128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r>
              <w:rPr>
                <w:caps/>
                <w:sz w:val="18"/>
              </w:rPr>
              <w:t>+</w:t>
            </w:r>
          </w:p>
        </w:tc>
        <w:tc>
          <w:tcPr>
            <w:tcW w:w="101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262"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r>
      <w:tr w:rsidR="00012172">
        <w:tblPrEx>
          <w:tblCellMar>
            <w:top w:w="0" w:type="dxa"/>
            <w:bottom w:w="0" w:type="dxa"/>
          </w:tblCellMar>
        </w:tblPrEx>
        <w:trPr>
          <w:jc w:val="center"/>
        </w:trPr>
        <w:tc>
          <w:tcPr>
            <w:tcW w:w="3056" w:type="dxa"/>
            <w:tcBorders>
              <w:top w:val="single" w:sz="6" w:space="0" w:color="auto"/>
              <w:left w:val="single" w:sz="6" w:space="0" w:color="auto"/>
              <w:bottom w:val="single" w:sz="6" w:space="0" w:color="auto"/>
              <w:right w:val="single" w:sz="6" w:space="0" w:color="auto"/>
            </w:tcBorders>
            <w:vAlign w:val="center"/>
          </w:tcPr>
          <w:p w:rsidR="00012172" w:rsidRDefault="00012172">
            <w:pPr>
              <w:ind w:right="-1"/>
              <w:rPr>
                <w:caps/>
                <w:sz w:val="16"/>
              </w:rPr>
            </w:pPr>
            <w:r>
              <w:rPr>
                <w:caps/>
                <w:sz w:val="16"/>
              </w:rPr>
              <w:t>LJEKARNA</w:t>
            </w:r>
          </w:p>
        </w:tc>
        <w:tc>
          <w:tcPr>
            <w:tcW w:w="128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r>
              <w:rPr>
                <w:caps/>
                <w:sz w:val="18"/>
              </w:rPr>
              <w:t>+</w:t>
            </w:r>
          </w:p>
        </w:tc>
        <w:tc>
          <w:tcPr>
            <w:tcW w:w="101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262"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r>
      <w:tr w:rsidR="00012172">
        <w:tblPrEx>
          <w:tblCellMar>
            <w:top w:w="0" w:type="dxa"/>
            <w:bottom w:w="0" w:type="dxa"/>
          </w:tblCellMar>
        </w:tblPrEx>
        <w:trPr>
          <w:jc w:val="center"/>
        </w:trPr>
        <w:tc>
          <w:tcPr>
            <w:tcW w:w="3056" w:type="dxa"/>
            <w:tcBorders>
              <w:top w:val="single" w:sz="6" w:space="0" w:color="auto"/>
              <w:left w:val="single" w:sz="6" w:space="0" w:color="auto"/>
              <w:bottom w:val="single" w:sz="6" w:space="0" w:color="auto"/>
              <w:right w:val="single" w:sz="6" w:space="0" w:color="auto"/>
            </w:tcBorders>
            <w:vAlign w:val="center"/>
          </w:tcPr>
          <w:p w:rsidR="00012172" w:rsidRDefault="00012172">
            <w:pPr>
              <w:ind w:right="-1"/>
              <w:rPr>
                <w:caps/>
                <w:sz w:val="16"/>
              </w:rPr>
            </w:pPr>
            <w:r>
              <w:rPr>
                <w:caps/>
                <w:sz w:val="16"/>
              </w:rPr>
              <w:t>VETERINARSKA ambulanta</w:t>
            </w:r>
          </w:p>
        </w:tc>
        <w:tc>
          <w:tcPr>
            <w:tcW w:w="128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r>
              <w:rPr>
                <w:caps/>
                <w:sz w:val="18"/>
              </w:rPr>
              <w:t>+</w:t>
            </w:r>
          </w:p>
        </w:tc>
        <w:tc>
          <w:tcPr>
            <w:tcW w:w="101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262"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r>
      <w:tr w:rsidR="00012172">
        <w:tblPrEx>
          <w:tblCellMar>
            <w:top w:w="0" w:type="dxa"/>
            <w:bottom w:w="0" w:type="dxa"/>
          </w:tblCellMar>
        </w:tblPrEx>
        <w:trPr>
          <w:jc w:val="center"/>
        </w:trPr>
        <w:tc>
          <w:tcPr>
            <w:tcW w:w="3056" w:type="dxa"/>
            <w:tcBorders>
              <w:top w:val="single" w:sz="6" w:space="0" w:color="auto"/>
              <w:left w:val="single" w:sz="6" w:space="0" w:color="auto"/>
              <w:bottom w:val="single" w:sz="6" w:space="0" w:color="auto"/>
              <w:right w:val="single" w:sz="6" w:space="0" w:color="auto"/>
            </w:tcBorders>
            <w:vAlign w:val="center"/>
          </w:tcPr>
          <w:p w:rsidR="00012172" w:rsidRDefault="00012172">
            <w:pPr>
              <w:ind w:right="-1"/>
              <w:rPr>
                <w:caps/>
                <w:sz w:val="16"/>
              </w:rPr>
            </w:pPr>
            <w:r>
              <w:rPr>
                <w:caps/>
                <w:sz w:val="16"/>
              </w:rPr>
              <w:t>SJEDIŠTE OPĆINE</w:t>
            </w:r>
          </w:p>
        </w:tc>
        <w:tc>
          <w:tcPr>
            <w:tcW w:w="128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r>
              <w:rPr>
                <w:caps/>
                <w:sz w:val="18"/>
              </w:rPr>
              <w:t>+</w:t>
            </w:r>
          </w:p>
        </w:tc>
        <w:tc>
          <w:tcPr>
            <w:tcW w:w="101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262"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r>
      <w:tr w:rsidR="00012172">
        <w:tblPrEx>
          <w:tblCellMar>
            <w:top w:w="0" w:type="dxa"/>
            <w:bottom w:w="0" w:type="dxa"/>
          </w:tblCellMar>
        </w:tblPrEx>
        <w:trPr>
          <w:jc w:val="center"/>
        </w:trPr>
        <w:tc>
          <w:tcPr>
            <w:tcW w:w="3056" w:type="dxa"/>
            <w:tcBorders>
              <w:top w:val="single" w:sz="6" w:space="0" w:color="auto"/>
              <w:left w:val="single" w:sz="6" w:space="0" w:color="auto"/>
              <w:bottom w:val="single" w:sz="6" w:space="0" w:color="auto"/>
              <w:right w:val="single" w:sz="6" w:space="0" w:color="auto"/>
            </w:tcBorders>
            <w:vAlign w:val="center"/>
          </w:tcPr>
          <w:p w:rsidR="00012172" w:rsidRDefault="00012172">
            <w:pPr>
              <w:ind w:right="-1"/>
              <w:rPr>
                <w:caps/>
                <w:sz w:val="16"/>
              </w:rPr>
            </w:pPr>
            <w:r>
              <w:rPr>
                <w:caps/>
                <w:sz w:val="16"/>
              </w:rPr>
              <w:t>MJESNI URED</w:t>
            </w:r>
          </w:p>
        </w:tc>
        <w:tc>
          <w:tcPr>
            <w:tcW w:w="128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r>
              <w:rPr>
                <w:caps/>
                <w:sz w:val="18"/>
              </w:rPr>
              <w:t>+</w:t>
            </w:r>
          </w:p>
        </w:tc>
        <w:tc>
          <w:tcPr>
            <w:tcW w:w="101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262"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r>
      <w:tr w:rsidR="00012172">
        <w:tblPrEx>
          <w:tblCellMar>
            <w:top w:w="0" w:type="dxa"/>
            <w:bottom w:w="0" w:type="dxa"/>
          </w:tblCellMar>
        </w:tblPrEx>
        <w:trPr>
          <w:jc w:val="center"/>
        </w:trPr>
        <w:tc>
          <w:tcPr>
            <w:tcW w:w="3056" w:type="dxa"/>
            <w:tcBorders>
              <w:top w:val="single" w:sz="6" w:space="0" w:color="auto"/>
              <w:left w:val="single" w:sz="6" w:space="0" w:color="auto"/>
              <w:bottom w:val="single" w:sz="6" w:space="0" w:color="auto"/>
              <w:right w:val="single" w:sz="6" w:space="0" w:color="auto"/>
            </w:tcBorders>
            <w:vAlign w:val="center"/>
          </w:tcPr>
          <w:p w:rsidR="00012172" w:rsidRDefault="00012172">
            <w:pPr>
              <w:ind w:right="-1"/>
              <w:rPr>
                <w:caps/>
                <w:sz w:val="16"/>
              </w:rPr>
            </w:pPr>
            <w:r>
              <w:rPr>
                <w:caps/>
                <w:sz w:val="16"/>
              </w:rPr>
              <w:t>BANKA</w:t>
            </w:r>
          </w:p>
        </w:tc>
        <w:tc>
          <w:tcPr>
            <w:tcW w:w="128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01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262"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r>
      <w:tr w:rsidR="00012172">
        <w:tblPrEx>
          <w:tblCellMar>
            <w:top w:w="0" w:type="dxa"/>
            <w:bottom w:w="0" w:type="dxa"/>
          </w:tblCellMar>
        </w:tblPrEx>
        <w:trPr>
          <w:jc w:val="center"/>
        </w:trPr>
        <w:tc>
          <w:tcPr>
            <w:tcW w:w="3056" w:type="dxa"/>
            <w:tcBorders>
              <w:top w:val="single" w:sz="6" w:space="0" w:color="auto"/>
              <w:left w:val="single" w:sz="6" w:space="0" w:color="auto"/>
              <w:bottom w:val="single" w:sz="6" w:space="0" w:color="auto"/>
              <w:right w:val="single" w:sz="6" w:space="0" w:color="auto"/>
            </w:tcBorders>
            <w:vAlign w:val="center"/>
          </w:tcPr>
          <w:p w:rsidR="00012172" w:rsidRDefault="00012172">
            <w:pPr>
              <w:ind w:right="-1"/>
              <w:rPr>
                <w:caps/>
                <w:sz w:val="16"/>
              </w:rPr>
            </w:pPr>
            <w:r>
              <w:rPr>
                <w:caps/>
                <w:sz w:val="16"/>
              </w:rPr>
              <w:t>POŠTA OSNOVNA</w:t>
            </w:r>
          </w:p>
        </w:tc>
        <w:tc>
          <w:tcPr>
            <w:tcW w:w="128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r>
              <w:rPr>
                <w:caps/>
                <w:sz w:val="18"/>
              </w:rPr>
              <w:t>+</w:t>
            </w:r>
          </w:p>
        </w:tc>
        <w:tc>
          <w:tcPr>
            <w:tcW w:w="101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262"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r>
      <w:tr w:rsidR="00012172">
        <w:tblPrEx>
          <w:tblCellMar>
            <w:top w:w="0" w:type="dxa"/>
            <w:bottom w:w="0" w:type="dxa"/>
          </w:tblCellMar>
        </w:tblPrEx>
        <w:trPr>
          <w:jc w:val="center"/>
        </w:trPr>
        <w:tc>
          <w:tcPr>
            <w:tcW w:w="3056" w:type="dxa"/>
            <w:tcBorders>
              <w:top w:val="single" w:sz="6" w:space="0" w:color="auto"/>
              <w:left w:val="single" w:sz="6" w:space="0" w:color="auto"/>
              <w:bottom w:val="single" w:sz="6" w:space="0" w:color="auto"/>
              <w:right w:val="single" w:sz="6" w:space="0" w:color="auto"/>
            </w:tcBorders>
            <w:vAlign w:val="center"/>
          </w:tcPr>
          <w:p w:rsidR="00012172" w:rsidRDefault="00012172">
            <w:pPr>
              <w:ind w:right="-1"/>
              <w:rPr>
                <w:caps/>
                <w:sz w:val="16"/>
              </w:rPr>
            </w:pPr>
            <w:r>
              <w:rPr>
                <w:caps/>
                <w:sz w:val="16"/>
              </w:rPr>
              <w:t>VATROGASNA STANICA</w:t>
            </w:r>
          </w:p>
        </w:tc>
        <w:tc>
          <w:tcPr>
            <w:tcW w:w="128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01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262"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r>
      <w:tr w:rsidR="00012172">
        <w:tblPrEx>
          <w:tblCellMar>
            <w:top w:w="0" w:type="dxa"/>
            <w:bottom w:w="0" w:type="dxa"/>
          </w:tblCellMar>
        </w:tblPrEx>
        <w:trPr>
          <w:jc w:val="center"/>
        </w:trPr>
        <w:tc>
          <w:tcPr>
            <w:tcW w:w="3056" w:type="dxa"/>
            <w:tcBorders>
              <w:top w:val="single" w:sz="6" w:space="0" w:color="auto"/>
              <w:left w:val="single" w:sz="6" w:space="0" w:color="auto"/>
              <w:bottom w:val="single" w:sz="6" w:space="0" w:color="auto"/>
              <w:right w:val="single" w:sz="6" w:space="0" w:color="auto"/>
            </w:tcBorders>
            <w:vAlign w:val="center"/>
          </w:tcPr>
          <w:p w:rsidR="00012172" w:rsidRDefault="00012172">
            <w:pPr>
              <w:ind w:right="-1"/>
              <w:rPr>
                <w:caps/>
                <w:sz w:val="16"/>
              </w:rPr>
            </w:pPr>
            <w:r>
              <w:rPr>
                <w:caps/>
                <w:sz w:val="16"/>
              </w:rPr>
              <w:t>PRODAVAONICA POLJOPRIVREDNIH REPROMATERIJALA</w:t>
            </w:r>
          </w:p>
        </w:tc>
        <w:tc>
          <w:tcPr>
            <w:tcW w:w="128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r>
              <w:rPr>
                <w:caps/>
                <w:sz w:val="18"/>
              </w:rPr>
              <w:t>+</w:t>
            </w:r>
          </w:p>
        </w:tc>
        <w:tc>
          <w:tcPr>
            <w:tcW w:w="101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262"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r>
      <w:tr w:rsidR="00012172">
        <w:tblPrEx>
          <w:tblCellMar>
            <w:top w:w="0" w:type="dxa"/>
            <w:bottom w:w="0" w:type="dxa"/>
          </w:tblCellMar>
        </w:tblPrEx>
        <w:trPr>
          <w:jc w:val="center"/>
        </w:trPr>
        <w:tc>
          <w:tcPr>
            <w:tcW w:w="3056" w:type="dxa"/>
            <w:tcBorders>
              <w:top w:val="single" w:sz="6" w:space="0" w:color="auto"/>
              <w:left w:val="single" w:sz="6" w:space="0" w:color="auto"/>
              <w:bottom w:val="single" w:sz="6" w:space="0" w:color="auto"/>
              <w:right w:val="single" w:sz="6" w:space="0" w:color="auto"/>
            </w:tcBorders>
            <w:vAlign w:val="center"/>
          </w:tcPr>
          <w:p w:rsidR="00012172" w:rsidRDefault="00012172">
            <w:pPr>
              <w:ind w:right="-1"/>
              <w:rPr>
                <w:caps/>
                <w:sz w:val="16"/>
              </w:rPr>
            </w:pPr>
            <w:r>
              <w:rPr>
                <w:caps/>
                <w:sz w:val="16"/>
              </w:rPr>
              <w:t>PRODAVAONICA KUĆANSKIH APARATA</w:t>
            </w:r>
          </w:p>
        </w:tc>
        <w:tc>
          <w:tcPr>
            <w:tcW w:w="128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01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262"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r>
      <w:tr w:rsidR="00012172">
        <w:tblPrEx>
          <w:tblCellMar>
            <w:top w:w="0" w:type="dxa"/>
            <w:bottom w:w="0" w:type="dxa"/>
          </w:tblCellMar>
        </w:tblPrEx>
        <w:trPr>
          <w:jc w:val="center"/>
        </w:trPr>
        <w:tc>
          <w:tcPr>
            <w:tcW w:w="3056" w:type="dxa"/>
            <w:tcBorders>
              <w:top w:val="single" w:sz="6" w:space="0" w:color="auto"/>
              <w:left w:val="single" w:sz="6" w:space="0" w:color="auto"/>
              <w:bottom w:val="single" w:sz="6" w:space="0" w:color="auto"/>
              <w:right w:val="single" w:sz="6" w:space="0" w:color="auto"/>
            </w:tcBorders>
            <w:vAlign w:val="center"/>
          </w:tcPr>
          <w:p w:rsidR="00012172" w:rsidRDefault="00012172">
            <w:pPr>
              <w:ind w:right="-1"/>
              <w:rPr>
                <w:caps/>
                <w:sz w:val="16"/>
              </w:rPr>
            </w:pPr>
            <w:r>
              <w:rPr>
                <w:caps/>
                <w:sz w:val="16"/>
              </w:rPr>
              <w:t>PRODAVAONICA MJEŠOVITOM ROBOM</w:t>
            </w:r>
          </w:p>
        </w:tc>
        <w:tc>
          <w:tcPr>
            <w:tcW w:w="128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r>
              <w:rPr>
                <w:caps/>
                <w:sz w:val="18"/>
              </w:rPr>
              <w:t>+</w:t>
            </w:r>
          </w:p>
        </w:tc>
        <w:tc>
          <w:tcPr>
            <w:tcW w:w="101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262"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r>
      <w:tr w:rsidR="00012172">
        <w:tblPrEx>
          <w:tblCellMar>
            <w:top w:w="0" w:type="dxa"/>
            <w:bottom w:w="0" w:type="dxa"/>
          </w:tblCellMar>
        </w:tblPrEx>
        <w:trPr>
          <w:jc w:val="center"/>
        </w:trPr>
        <w:tc>
          <w:tcPr>
            <w:tcW w:w="3056" w:type="dxa"/>
            <w:tcBorders>
              <w:top w:val="single" w:sz="6" w:space="0" w:color="auto"/>
              <w:left w:val="single" w:sz="6" w:space="0" w:color="auto"/>
              <w:bottom w:val="single" w:sz="6" w:space="0" w:color="auto"/>
              <w:right w:val="single" w:sz="6" w:space="0" w:color="auto"/>
            </w:tcBorders>
            <w:vAlign w:val="center"/>
          </w:tcPr>
          <w:p w:rsidR="00012172" w:rsidRDefault="00012172">
            <w:pPr>
              <w:ind w:right="-1"/>
              <w:rPr>
                <w:caps/>
                <w:sz w:val="16"/>
              </w:rPr>
            </w:pPr>
            <w:r>
              <w:rPr>
                <w:caps/>
                <w:sz w:val="16"/>
              </w:rPr>
              <w:t>PRODAVAONICA OBUĆE</w:t>
            </w:r>
          </w:p>
        </w:tc>
        <w:tc>
          <w:tcPr>
            <w:tcW w:w="128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01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262"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r>
      <w:tr w:rsidR="00012172">
        <w:tblPrEx>
          <w:tblCellMar>
            <w:top w:w="0" w:type="dxa"/>
            <w:bottom w:w="0" w:type="dxa"/>
          </w:tblCellMar>
        </w:tblPrEx>
        <w:trPr>
          <w:jc w:val="center"/>
        </w:trPr>
        <w:tc>
          <w:tcPr>
            <w:tcW w:w="3056" w:type="dxa"/>
            <w:tcBorders>
              <w:top w:val="single" w:sz="6" w:space="0" w:color="auto"/>
              <w:left w:val="single" w:sz="6" w:space="0" w:color="auto"/>
              <w:bottom w:val="single" w:sz="6" w:space="0" w:color="auto"/>
              <w:right w:val="single" w:sz="6" w:space="0" w:color="auto"/>
            </w:tcBorders>
            <w:vAlign w:val="center"/>
          </w:tcPr>
          <w:p w:rsidR="00012172" w:rsidRDefault="00012172">
            <w:pPr>
              <w:ind w:right="-1"/>
              <w:rPr>
                <w:caps/>
                <w:sz w:val="16"/>
              </w:rPr>
            </w:pPr>
            <w:r>
              <w:rPr>
                <w:caps/>
                <w:sz w:val="16"/>
              </w:rPr>
              <w:t>FRIZERSKO-BRIJAČKE  USLUGE</w:t>
            </w:r>
          </w:p>
        </w:tc>
        <w:tc>
          <w:tcPr>
            <w:tcW w:w="128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01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262"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r>
      <w:tr w:rsidR="00012172">
        <w:tblPrEx>
          <w:tblCellMar>
            <w:top w:w="0" w:type="dxa"/>
            <w:bottom w:w="0" w:type="dxa"/>
          </w:tblCellMar>
        </w:tblPrEx>
        <w:trPr>
          <w:jc w:val="center"/>
        </w:trPr>
        <w:tc>
          <w:tcPr>
            <w:tcW w:w="3056" w:type="dxa"/>
            <w:tcBorders>
              <w:top w:val="single" w:sz="6" w:space="0" w:color="auto"/>
              <w:left w:val="single" w:sz="6" w:space="0" w:color="auto"/>
              <w:bottom w:val="single" w:sz="6" w:space="0" w:color="auto"/>
              <w:right w:val="single" w:sz="6" w:space="0" w:color="auto"/>
            </w:tcBorders>
            <w:vAlign w:val="center"/>
          </w:tcPr>
          <w:p w:rsidR="00012172" w:rsidRDefault="00012172">
            <w:pPr>
              <w:ind w:right="-1"/>
              <w:rPr>
                <w:caps/>
                <w:sz w:val="16"/>
              </w:rPr>
            </w:pPr>
            <w:r>
              <w:rPr>
                <w:caps/>
                <w:sz w:val="16"/>
              </w:rPr>
              <w:t>MEHANIČARSKE USLUGE</w:t>
            </w:r>
          </w:p>
        </w:tc>
        <w:tc>
          <w:tcPr>
            <w:tcW w:w="128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r>
              <w:rPr>
                <w:caps/>
                <w:sz w:val="18"/>
              </w:rPr>
              <w:t>+</w:t>
            </w:r>
          </w:p>
        </w:tc>
        <w:tc>
          <w:tcPr>
            <w:tcW w:w="101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262"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r>
      <w:tr w:rsidR="00012172">
        <w:tblPrEx>
          <w:tblCellMar>
            <w:top w:w="0" w:type="dxa"/>
            <w:bottom w:w="0" w:type="dxa"/>
          </w:tblCellMar>
        </w:tblPrEx>
        <w:trPr>
          <w:jc w:val="center"/>
        </w:trPr>
        <w:tc>
          <w:tcPr>
            <w:tcW w:w="3056" w:type="dxa"/>
            <w:tcBorders>
              <w:top w:val="single" w:sz="6" w:space="0" w:color="auto"/>
              <w:left w:val="single" w:sz="6" w:space="0" w:color="auto"/>
              <w:bottom w:val="single" w:sz="6" w:space="0" w:color="auto"/>
              <w:right w:val="single" w:sz="6" w:space="0" w:color="auto"/>
            </w:tcBorders>
            <w:vAlign w:val="center"/>
          </w:tcPr>
          <w:p w:rsidR="00012172" w:rsidRDefault="00012172">
            <w:pPr>
              <w:ind w:right="-1"/>
              <w:rPr>
                <w:caps/>
                <w:sz w:val="16"/>
              </w:rPr>
            </w:pPr>
            <w:r>
              <w:rPr>
                <w:caps/>
                <w:sz w:val="16"/>
              </w:rPr>
              <w:t>POPRAVAK KUĆANSKIH APARATA</w:t>
            </w:r>
          </w:p>
        </w:tc>
        <w:tc>
          <w:tcPr>
            <w:tcW w:w="128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01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262"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r>
      <w:tr w:rsidR="00012172">
        <w:tblPrEx>
          <w:tblCellMar>
            <w:top w:w="0" w:type="dxa"/>
            <w:bottom w:w="0" w:type="dxa"/>
          </w:tblCellMar>
        </w:tblPrEx>
        <w:trPr>
          <w:jc w:val="center"/>
        </w:trPr>
        <w:tc>
          <w:tcPr>
            <w:tcW w:w="3056" w:type="dxa"/>
            <w:tcBorders>
              <w:top w:val="single" w:sz="6" w:space="0" w:color="auto"/>
              <w:left w:val="single" w:sz="6" w:space="0" w:color="auto"/>
              <w:bottom w:val="single" w:sz="6" w:space="0" w:color="auto"/>
              <w:right w:val="single" w:sz="6" w:space="0" w:color="auto"/>
            </w:tcBorders>
            <w:vAlign w:val="center"/>
          </w:tcPr>
          <w:p w:rsidR="00012172" w:rsidRDefault="00012172">
            <w:pPr>
              <w:ind w:right="-1"/>
              <w:rPr>
                <w:caps/>
                <w:sz w:val="16"/>
              </w:rPr>
            </w:pPr>
            <w:r>
              <w:rPr>
                <w:caps/>
                <w:sz w:val="16"/>
              </w:rPr>
              <w:t>DRUŠTVENI DOM</w:t>
            </w:r>
          </w:p>
        </w:tc>
        <w:tc>
          <w:tcPr>
            <w:tcW w:w="128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r>
              <w:rPr>
                <w:caps/>
                <w:sz w:val="18"/>
              </w:rPr>
              <w:t>+</w:t>
            </w:r>
          </w:p>
        </w:tc>
        <w:tc>
          <w:tcPr>
            <w:tcW w:w="101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262"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r>
      <w:tr w:rsidR="00012172">
        <w:tblPrEx>
          <w:tblCellMar>
            <w:top w:w="0" w:type="dxa"/>
            <w:bottom w:w="0" w:type="dxa"/>
          </w:tblCellMar>
        </w:tblPrEx>
        <w:trPr>
          <w:jc w:val="center"/>
        </w:trPr>
        <w:tc>
          <w:tcPr>
            <w:tcW w:w="3056" w:type="dxa"/>
            <w:tcBorders>
              <w:top w:val="single" w:sz="6" w:space="0" w:color="auto"/>
              <w:left w:val="single" w:sz="6" w:space="0" w:color="auto"/>
              <w:bottom w:val="single" w:sz="6" w:space="0" w:color="auto"/>
              <w:right w:val="single" w:sz="6" w:space="0" w:color="auto"/>
            </w:tcBorders>
            <w:vAlign w:val="center"/>
          </w:tcPr>
          <w:p w:rsidR="00012172" w:rsidRDefault="00012172">
            <w:pPr>
              <w:ind w:right="-1"/>
              <w:rPr>
                <w:caps/>
                <w:sz w:val="16"/>
              </w:rPr>
            </w:pPr>
            <w:r>
              <w:rPr>
                <w:caps/>
                <w:sz w:val="16"/>
                <w:lang w:val="en-AU"/>
              </w:rPr>
              <w:t>DOM</w:t>
            </w:r>
            <w:r>
              <w:rPr>
                <w:caps/>
                <w:sz w:val="16"/>
              </w:rPr>
              <w:t xml:space="preserve"> </w:t>
            </w:r>
            <w:r>
              <w:rPr>
                <w:caps/>
                <w:sz w:val="16"/>
                <w:lang w:val="en-AU"/>
              </w:rPr>
              <w:t>UMIROVLJENIKA</w:t>
            </w:r>
          </w:p>
        </w:tc>
        <w:tc>
          <w:tcPr>
            <w:tcW w:w="128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01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262"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r>
      <w:tr w:rsidR="00012172">
        <w:tblPrEx>
          <w:tblCellMar>
            <w:top w:w="0" w:type="dxa"/>
            <w:bottom w:w="0" w:type="dxa"/>
          </w:tblCellMar>
        </w:tblPrEx>
        <w:trPr>
          <w:jc w:val="center"/>
        </w:trPr>
        <w:tc>
          <w:tcPr>
            <w:tcW w:w="3056" w:type="dxa"/>
            <w:tcBorders>
              <w:top w:val="single" w:sz="6" w:space="0" w:color="auto"/>
              <w:left w:val="single" w:sz="6" w:space="0" w:color="auto"/>
              <w:bottom w:val="single" w:sz="6" w:space="0" w:color="auto"/>
              <w:right w:val="single" w:sz="6" w:space="0" w:color="auto"/>
            </w:tcBorders>
            <w:vAlign w:val="center"/>
          </w:tcPr>
          <w:p w:rsidR="00012172" w:rsidRDefault="00012172">
            <w:pPr>
              <w:ind w:right="-1"/>
              <w:rPr>
                <w:caps/>
                <w:sz w:val="16"/>
              </w:rPr>
            </w:pPr>
            <w:r>
              <w:rPr>
                <w:caps/>
                <w:sz w:val="16"/>
              </w:rPr>
              <w:t>ŠPORTSKI KLUBOVI I DRUŠTVA</w:t>
            </w:r>
          </w:p>
        </w:tc>
        <w:tc>
          <w:tcPr>
            <w:tcW w:w="128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r>
              <w:rPr>
                <w:caps/>
                <w:sz w:val="18"/>
              </w:rPr>
              <w:t>+</w:t>
            </w:r>
          </w:p>
        </w:tc>
        <w:tc>
          <w:tcPr>
            <w:tcW w:w="101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262"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r>
      <w:tr w:rsidR="00012172">
        <w:tblPrEx>
          <w:tblCellMar>
            <w:top w:w="0" w:type="dxa"/>
            <w:bottom w:w="0" w:type="dxa"/>
          </w:tblCellMar>
        </w:tblPrEx>
        <w:trPr>
          <w:jc w:val="center"/>
        </w:trPr>
        <w:tc>
          <w:tcPr>
            <w:tcW w:w="3056" w:type="dxa"/>
            <w:tcBorders>
              <w:top w:val="single" w:sz="6" w:space="0" w:color="auto"/>
              <w:left w:val="single" w:sz="6" w:space="0" w:color="auto"/>
              <w:bottom w:val="single" w:sz="6" w:space="0" w:color="auto"/>
              <w:right w:val="single" w:sz="6" w:space="0" w:color="auto"/>
            </w:tcBorders>
            <w:vAlign w:val="center"/>
          </w:tcPr>
          <w:p w:rsidR="00012172" w:rsidRDefault="00012172">
            <w:pPr>
              <w:ind w:right="-1"/>
              <w:rPr>
                <w:caps/>
                <w:sz w:val="16"/>
              </w:rPr>
            </w:pPr>
            <w:r>
              <w:rPr>
                <w:caps/>
                <w:sz w:val="16"/>
              </w:rPr>
              <w:t>Š</w:t>
            </w:r>
            <w:r>
              <w:rPr>
                <w:caps/>
                <w:sz w:val="16"/>
                <w:lang w:val="de-DE"/>
              </w:rPr>
              <w:t>PORTSKA</w:t>
            </w:r>
            <w:r>
              <w:rPr>
                <w:caps/>
                <w:sz w:val="16"/>
              </w:rPr>
              <w:t xml:space="preserve"> </w:t>
            </w:r>
            <w:r>
              <w:rPr>
                <w:caps/>
                <w:sz w:val="16"/>
                <w:lang w:val="de-DE"/>
              </w:rPr>
              <w:t>DVORANA</w:t>
            </w:r>
          </w:p>
        </w:tc>
        <w:tc>
          <w:tcPr>
            <w:tcW w:w="128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01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262"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r>
      <w:tr w:rsidR="00012172">
        <w:tblPrEx>
          <w:tblCellMar>
            <w:top w:w="0" w:type="dxa"/>
            <w:bottom w:w="0" w:type="dxa"/>
          </w:tblCellMar>
        </w:tblPrEx>
        <w:trPr>
          <w:jc w:val="center"/>
        </w:trPr>
        <w:tc>
          <w:tcPr>
            <w:tcW w:w="3056" w:type="dxa"/>
            <w:tcBorders>
              <w:top w:val="single" w:sz="6" w:space="0" w:color="auto"/>
              <w:left w:val="single" w:sz="6" w:space="0" w:color="auto"/>
              <w:bottom w:val="single" w:sz="6" w:space="0" w:color="auto"/>
              <w:right w:val="single" w:sz="6" w:space="0" w:color="auto"/>
            </w:tcBorders>
            <w:vAlign w:val="center"/>
          </w:tcPr>
          <w:p w:rsidR="00012172" w:rsidRDefault="00012172">
            <w:pPr>
              <w:ind w:right="-1"/>
              <w:rPr>
                <w:caps/>
                <w:sz w:val="16"/>
              </w:rPr>
            </w:pPr>
            <w:r>
              <w:rPr>
                <w:caps/>
                <w:sz w:val="16"/>
              </w:rPr>
              <w:t>kino</w:t>
            </w:r>
          </w:p>
        </w:tc>
        <w:tc>
          <w:tcPr>
            <w:tcW w:w="128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01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262"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r>
      <w:tr w:rsidR="00012172">
        <w:tblPrEx>
          <w:tblCellMar>
            <w:top w:w="0" w:type="dxa"/>
            <w:bottom w:w="0" w:type="dxa"/>
          </w:tblCellMar>
        </w:tblPrEx>
        <w:trPr>
          <w:jc w:val="center"/>
        </w:trPr>
        <w:tc>
          <w:tcPr>
            <w:tcW w:w="3056" w:type="dxa"/>
            <w:tcBorders>
              <w:top w:val="single" w:sz="6" w:space="0" w:color="auto"/>
              <w:left w:val="single" w:sz="6" w:space="0" w:color="auto"/>
              <w:bottom w:val="single" w:sz="6" w:space="0" w:color="auto"/>
              <w:right w:val="single" w:sz="6" w:space="0" w:color="auto"/>
            </w:tcBorders>
            <w:vAlign w:val="center"/>
          </w:tcPr>
          <w:p w:rsidR="00012172" w:rsidRDefault="00012172">
            <w:pPr>
              <w:ind w:right="-1"/>
              <w:rPr>
                <w:caps/>
                <w:sz w:val="16"/>
              </w:rPr>
            </w:pPr>
            <w:r>
              <w:rPr>
                <w:caps/>
                <w:sz w:val="16"/>
              </w:rPr>
              <w:t>muzej, galerija</w:t>
            </w:r>
          </w:p>
        </w:tc>
        <w:tc>
          <w:tcPr>
            <w:tcW w:w="128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01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262"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r>
      <w:tr w:rsidR="00012172">
        <w:tblPrEx>
          <w:tblCellMar>
            <w:top w:w="0" w:type="dxa"/>
            <w:bottom w:w="0" w:type="dxa"/>
          </w:tblCellMar>
        </w:tblPrEx>
        <w:trPr>
          <w:jc w:val="center"/>
        </w:trPr>
        <w:tc>
          <w:tcPr>
            <w:tcW w:w="3056" w:type="dxa"/>
            <w:tcBorders>
              <w:top w:val="single" w:sz="6" w:space="0" w:color="auto"/>
              <w:left w:val="single" w:sz="6" w:space="0" w:color="auto"/>
              <w:bottom w:val="single" w:sz="6" w:space="0" w:color="auto"/>
              <w:right w:val="single" w:sz="6" w:space="0" w:color="auto"/>
            </w:tcBorders>
            <w:vAlign w:val="center"/>
          </w:tcPr>
          <w:p w:rsidR="00012172" w:rsidRDefault="00012172">
            <w:pPr>
              <w:ind w:right="-1"/>
              <w:rPr>
                <w:caps/>
                <w:sz w:val="16"/>
              </w:rPr>
            </w:pPr>
            <w:r>
              <w:rPr>
                <w:caps/>
                <w:sz w:val="16"/>
              </w:rPr>
              <w:t>CRKVA</w:t>
            </w:r>
          </w:p>
        </w:tc>
        <w:tc>
          <w:tcPr>
            <w:tcW w:w="128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r>
              <w:rPr>
                <w:caps/>
                <w:sz w:val="18"/>
              </w:rPr>
              <w:t>+</w:t>
            </w:r>
          </w:p>
        </w:tc>
        <w:tc>
          <w:tcPr>
            <w:tcW w:w="101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262"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r>
      <w:tr w:rsidR="00012172">
        <w:tblPrEx>
          <w:tblCellMar>
            <w:top w:w="0" w:type="dxa"/>
            <w:bottom w:w="0" w:type="dxa"/>
          </w:tblCellMar>
        </w:tblPrEx>
        <w:trPr>
          <w:jc w:val="center"/>
        </w:trPr>
        <w:tc>
          <w:tcPr>
            <w:tcW w:w="3056" w:type="dxa"/>
            <w:tcBorders>
              <w:top w:val="single" w:sz="6" w:space="0" w:color="auto"/>
              <w:left w:val="single" w:sz="6" w:space="0" w:color="auto"/>
              <w:bottom w:val="single" w:sz="6" w:space="0" w:color="auto"/>
              <w:right w:val="single" w:sz="6" w:space="0" w:color="auto"/>
            </w:tcBorders>
            <w:vAlign w:val="center"/>
          </w:tcPr>
          <w:p w:rsidR="00012172" w:rsidRDefault="00012172">
            <w:pPr>
              <w:ind w:right="-1"/>
              <w:rPr>
                <w:caps/>
                <w:sz w:val="16"/>
              </w:rPr>
            </w:pPr>
            <w:r>
              <w:rPr>
                <w:caps/>
                <w:sz w:val="16"/>
              </w:rPr>
              <w:t>ŽUPNI URED</w:t>
            </w:r>
          </w:p>
        </w:tc>
        <w:tc>
          <w:tcPr>
            <w:tcW w:w="128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r>
              <w:rPr>
                <w:caps/>
                <w:sz w:val="18"/>
              </w:rPr>
              <w:t>+</w:t>
            </w:r>
          </w:p>
        </w:tc>
        <w:tc>
          <w:tcPr>
            <w:tcW w:w="1017"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c>
          <w:tcPr>
            <w:tcW w:w="1262" w:type="dxa"/>
            <w:tcBorders>
              <w:top w:val="single" w:sz="6" w:space="0" w:color="auto"/>
              <w:left w:val="single" w:sz="6" w:space="0" w:color="auto"/>
              <w:bottom w:val="single" w:sz="6" w:space="0" w:color="auto"/>
              <w:right w:val="single" w:sz="6" w:space="0" w:color="auto"/>
            </w:tcBorders>
          </w:tcPr>
          <w:p w:rsidR="00012172" w:rsidRDefault="00012172">
            <w:pPr>
              <w:ind w:right="-1"/>
              <w:jc w:val="center"/>
              <w:rPr>
                <w:caps/>
                <w:sz w:val="18"/>
              </w:rPr>
            </w:pPr>
          </w:p>
        </w:tc>
      </w:tr>
    </w:tbl>
    <w:p w:rsidR="00012172" w:rsidRDefault="00012172">
      <w:pPr>
        <w:ind w:right="-1"/>
        <w:jc w:val="both"/>
        <w:rPr>
          <w:rFonts w:ascii="Arial" w:hAnsi="Arial" w:cs="Arial"/>
          <w:caps/>
          <w:sz w:val="18"/>
        </w:rPr>
      </w:pPr>
    </w:p>
    <w:p w:rsidR="00012172" w:rsidRDefault="00012172">
      <w:pPr>
        <w:ind w:left="708" w:right="-1" w:firstLine="708"/>
        <w:jc w:val="both"/>
        <w:rPr>
          <w:sz w:val="22"/>
        </w:rPr>
      </w:pPr>
      <w:r>
        <w:rPr>
          <w:sz w:val="22"/>
        </w:rPr>
        <w:t>+ sadržaj ili funkcija postoji</w:t>
      </w:r>
    </w:p>
    <w:p w:rsidR="00012172" w:rsidRDefault="00012172">
      <w:pPr>
        <w:ind w:right="-1"/>
        <w:jc w:val="both"/>
        <w:rPr>
          <w:rFonts w:ascii="Arial" w:hAnsi="Arial" w:cs="Arial"/>
          <w:caps/>
          <w:sz w:val="18"/>
        </w:rPr>
      </w:pPr>
    </w:p>
    <w:p w:rsidR="00012172" w:rsidRDefault="00012172">
      <w:pPr>
        <w:rPr>
          <w:rFonts w:ascii="Arial" w:hAnsi="Arial" w:cs="Arial"/>
          <w:sz w:val="22"/>
          <w:szCs w:val="22"/>
        </w:rPr>
      </w:pPr>
    </w:p>
    <w:p w:rsidR="00E75E08" w:rsidRDefault="00E75E08">
      <w:pPr>
        <w:rPr>
          <w:rFonts w:ascii="Arial" w:hAnsi="Arial" w:cs="Arial"/>
          <w:sz w:val="22"/>
          <w:szCs w:val="22"/>
        </w:rPr>
      </w:pPr>
    </w:p>
    <w:p w:rsidR="00E75E08" w:rsidRDefault="00E75E08">
      <w:pPr>
        <w:rPr>
          <w:rFonts w:ascii="Arial" w:hAnsi="Arial" w:cs="Arial"/>
          <w:sz w:val="22"/>
          <w:szCs w:val="22"/>
        </w:rPr>
      </w:pPr>
    </w:p>
    <w:p w:rsidR="00E75E08" w:rsidRDefault="00E75E08">
      <w:pPr>
        <w:rPr>
          <w:rFonts w:ascii="Arial" w:hAnsi="Arial" w:cs="Arial"/>
          <w:sz w:val="22"/>
          <w:szCs w:val="22"/>
        </w:rPr>
      </w:pPr>
    </w:p>
    <w:p w:rsidR="00E75E08" w:rsidRDefault="00E75E08">
      <w:pPr>
        <w:rPr>
          <w:rFonts w:ascii="Arial" w:hAnsi="Arial" w:cs="Arial"/>
          <w:sz w:val="22"/>
          <w:szCs w:val="22"/>
        </w:rPr>
      </w:pPr>
    </w:p>
    <w:p w:rsidR="00E75E08" w:rsidRDefault="00E75E08">
      <w:pPr>
        <w:rPr>
          <w:rFonts w:ascii="Arial" w:hAnsi="Arial" w:cs="Arial"/>
          <w:sz w:val="22"/>
          <w:szCs w:val="22"/>
        </w:rPr>
      </w:pPr>
    </w:p>
    <w:p w:rsidR="00E75E08" w:rsidRDefault="00E75E08">
      <w:pPr>
        <w:rPr>
          <w:rFonts w:ascii="Arial" w:hAnsi="Arial" w:cs="Arial"/>
          <w:sz w:val="22"/>
          <w:szCs w:val="22"/>
        </w:rPr>
      </w:pPr>
    </w:p>
    <w:p w:rsidR="00E75E08" w:rsidRDefault="00E75E08">
      <w:pPr>
        <w:rPr>
          <w:rFonts w:ascii="Arial" w:hAnsi="Arial" w:cs="Arial"/>
          <w:sz w:val="22"/>
          <w:szCs w:val="22"/>
        </w:rPr>
      </w:pPr>
    </w:p>
    <w:p w:rsidR="00E75E08" w:rsidRDefault="00E75E08">
      <w:pPr>
        <w:rPr>
          <w:rFonts w:ascii="Arial" w:hAnsi="Arial" w:cs="Arial"/>
          <w:sz w:val="22"/>
          <w:szCs w:val="22"/>
        </w:rPr>
      </w:pPr>
    </w:p>
    <w:p w:rsidR="00E75E08" w:rsidRDefault="00E75E08">
      <w:pPr>
        <w:rPr>
          <w:rFonts w:ascii="Arial" w:hAnsi="Arial" w:cs="Arial"/>
          <w:sz w:val="22"/>
          <w:szCs w:val="22"/>
        </w:rPr>
      </w:pPr>
    </w:p>
    <w:p w:rsidR="00E75E08" w:rsidRDefault="00E75E08">
      <w:pPr>
        <w:rPr>
          <w:rFonts w:ascii="Arial" w:hAnsi="Arial" w:cs="Arial"/>
          <w:sz w:val="22"/>
          <w:szCs w:val="22"/>
        </w:rPr>
      </w:pPr>
    </w:p>
    <w:p w:rsidR="00E75E08" w:rsidRDefault="00E75E08">
      <w:pPr>
        <w:rPr>
          <w:rFonts w:ascii="Arial" w:hAnsi="Arial" w:cs="Arial"/>
          <w:sz w:val="22"/>
          <w:szCs w:val="22"/>
        </w:rPr>
      </w:pPr>
    </w:p>
    <w:p w:rsidR="00E75E08" w:rsidRDefault="00E75E08">
      <w:pPr>
        <w:rPr>
          <w:rFonts w:ascii="Arial" w:hAnsi="Arial" w:cs="Arial"/>
          <w:sz w:val="22"/>
          <w:szCs w:val="22"/>
        </w:rPr>
      </w:pPr>
    </w:p>
    <w:p w:rsidR="00E75E08" w:rsidRDefault="00E75E08">
      <w:pPr>
        <w:rPr>
          <w:rFonts w:ascii="Arial" w:hAnsi="Arial" w:cs="Arial"/>
          <w:sz w:val="22"/>
          <w:szCs w:val="22"/>
        </w:rPr>
      </w:pPr>
    </w:p>
    <w:p w:rsidR="00E75E08" w:rsidRDefault="00E75E08">
      <w:pPr>
        <w:rPr>
          <w:rFonts w:ascii="Arial" w:hAnsi="Arial" w:cs="Arial"/>
          <w:sz w:val="22"/>
          <w:szCs w:val="22"/>
        </w:rPr>
      </w:pPr>
    </w:p>
    <w:p w:rsidR="00E75E08" w:rsidRDefault="00E75E08">
      <w:pPr>
        <w:rPr>
          <w:rFonts w:ascii="Arial" w:hAnsi="Arial" w:cs="Arial"/>
          <w:sz w:val="22"/>
          <w:szCs w:val="22"/>
        </w:rPr>
      </w:pPr>
    </w:p>
    <w:p w:rsidR="00E75E08" w:rsidRDefault="00E75E08">
      <w:pPr>
        <w:rPr>
          <w:rFonts w:ascii="Arial" w:hAnsi="Arial" w:cs="Arial"/>
          <w:sz w:val="22"/>
          <w:szCs w:val="22"/>
        </w:rPr>
      </w:pPr>
    </w:p>
    <w:p w:rsidR="00E75E08" w:rsidRDefault="00E75E08">
      <w:pPr>
        <w:rPr>
          <w:rFonts w:ascii="Arial" w:hAnsi="Arial" w:cs="Arial"/>
          <w:sz w:val="22"/>
          <w:szCs w:val="22"/>
        </w:rPr>
      </w:pPr>
    </w:p>
    <w:p w:rsidR="00E75E08" w:rsidRDefault="00E75E08">
      <w:pPr>
        <w:rPr>
          <w:rFonts w:ascii="Arial" w:hAnsi="Arial" w:cs="Arial"/>
          <w:sz w:val="22"/>
          <w:szCs w:val="22"/>
        </w:rPr>
      </w:pPr>
    </w:p>
    <w:p w:rsidR="00E75E08" w:rsidRDefault="00E75E08">
      <w:pPr>
        <w:rPr>
          <w:rFonts w:ascii="Arial" w:hAnsi="Arial" w:cs="Arial"/>
          <w:sz w:val="22"/>
          <w:szCs w:val="22"/>
        </w:rPr>
      </w:pPr>
    </w:p>
    <w:p w:rsidR="00012172" w:rsidRDefault="00012172">
      <w:pPr>
        <w:pStyle w:val="Naslov2"/>
      </w:pPr>
      <w:bookmarkStart w:id="55" w:name="_Toc95140603"/>
      <w:r>
        <w:t>3.4. Uvjeti korištenja, uređenja i zaštite prostora</w:t>
      </w:r>
      <w:bookmarkEnd w:id="55"/>
      <w:r>
        <w:t xml:space="preserve"> </w:t>
      </w:r>
    </w:p>
    <w:p w:rsidR="00012172" w:rsidRDefault="00012172">
      <w:pPr>
        <w:rPr>
          <w:rFonts w:ascii="Arial" w:hAnsi="Arial" w:cs="Arial"/>
          <w:sz w:val="22"/>
          <w:szCs w:val="22"/>
        </w:rPr>
      </w:pPr>
    </w:p>
    <w:p w:rsidR="00012172" w:rsidRDefault="00012172">
      <w:pPr>
        <w:pStyle w:val="Tijeloteksta"/>
        <w:rPr>
          <w:b/>
          <w:bCs/>
          <w:sz w:val="20"/>
        </w:rPr>
      </w:pPr>
      <w:r>
        <w:rPr>
          <w:b/>
          <w:bCs/>
          <w:sz w:val="20"/>
        </w:rPr>
        <w:t>Tablica  br. 73</w:t>
      </w:r>
    </w:p>
    <w:tbl>
      <w:tblPr>
        <w:tblW w:w="8640" w:type="dxa"/>
        <w:tblInd w:w="108" w:type="dxa"/>
        <w:tblBorders>
          <w:top w:val="double" w:sz="18" w:space="0" w:color="auto"/>
          <w:left w:val="double" w:sz="18" w:space="0" w:color="auto"/>
          <w:bottom w:val="double" w:sz="18" w:space="0" w:color="auto"/>
          <w:right w:val="double" w:sz="18" w:space="0" w:color="auto"/>
          <w:insideH w:val="single" w:sz="4" w:space="0" w:color="auto"/>
          <w:insideV w:val="single" w:sz="4" w:space="0" w:color="auto"/>
        </w:tblBorders>
        <w:tblLayout w:type="fixed"/>
        <w:tblLook w:val="0000" w:firstRow="0" w:lastRow="0" w:firstColumn="0" w:lastColumn="0" w:noHBand="0" w:noVBand="0"/>
      </w:tblPr>
      <w:tblGrid>
        <w:gridCol w:w="720"/>
        <w:gridCol w:w="3780"/>
        <w:gridCol w:w="900"/>
        <w:gridCol w:w="1440"/>
        <w:gridCol w:w="900"/>
        <w:gridCol w:w="900"/>
      </w:tblGrid>
      <w:tr w:rsidR="00012172">
        <w:tblPrEx>
          <w:tblCellMar>
            <w:top w:w="0" w:type="dxa"/>
            <w:bottom w:w="0" w:type="dxa"/>
          </w:tblCellMar>
        </w:tblPrEx>
        <w:trPr>
          <w:trHeight w:val="1107"/>
        </w:trPr>
        <w:tc>
          <w:tcPr>
            <w:tcW w:w="720" w:type="dxa"/>
            <w:tcBorders>
              <w:top w:val="double" w:sz="18" w:space="0" w:color="auto"/>
              <w:bottom w:val="single" w:sz="18" w:space="0" w:color="auto"/>
            </w:tcBorders>
            <w:vAlign w:val="center"/>
          </w:tcPr>
          <w:p w:rsidR="00012172" w:rsidRDefault="00012172">
            <w:pPr>
              <w:pStyle w:val="Tijeloteksta"/>
              <w:rPr>
                <w:b/>
              </w:rPr>
            </w:pPr>
            <w:r>
              <w:rPr>
                <w:b/>
              </w:rPr>
              <w:t>Red.</w:t>
            </w:r>
          </w:p>
          <w:p w:rsidR="00012172" w:rsidRDefault="00012172">
            <w:pPr>
              <w:pStyle w:val="Tijeloteksta"/>
              <w:rPr>
                <w:b/>
              </w:rPr>
            </w:pPr>
            <w:r>
              <w:rPr>
                <w:b/>
              </w:rPr>
              <w:t>broj</w:t>
            </w:r>
          </w:p>
        </w:tc>
        <w:tc>
          <w:tcPr>
            <w:tcW w:w="3780" w:type="dxa"/>
            <w:tcBorders>
              <w:top w:val="double" w:sz="18" w:space="0" w:color="auto"/>
              <w:bottom w:val="single" w:sz="18" w:space="0" w:color="auto"/>
            </w:tcBorders>
            <w:vAlign w:val="center"/>
          </w:tcPr>
          <w:p w:rsidR="00012172" w:rsidRDefault="00012172">
            <w:pPr>
              <w:pStyle w:val="Tijeloteksta"/>
              <w:jc w:val="center"/>
              <w:rPr>
                <w:b/>
              </w:rPr>
            </w:pPr>
            <w:r>
              <w:rPr>
                <w:b/>
              </w:rPr>
              <w:t>Naziv Županije/općine/grada</w:t>
            </w:r>
          </w:p>
          <w:p w:rsidR="00012172" w:rsidRDefault="00012172">
            <w:pPr>
              <w:pStyle w:val="Tijeloteksta"/>
              <w:jc w:val="center"/>
              <w:rPr>
                <w:b/>
              </w:rPr>
            </w:pPr>
            <w:r>
              <w:rPr>
                <w:b/>
              </w:rPr>
              <w:t>OPĆINA GORNJA RIJEKA</w:t>
            </w:r>
          </w:p>
        </w:tc>
        <w:tc>
          <w:tcPr>
            <w:tcW w:w="900" w:type="dxa"/>
            <w:tcBorders>
              <w:top w:val="double" w:sz="18" w:space="0" w:color="auto"/>
              <w:bottom w:val="single" w:sz="18" w:space="0" w:color="auto"/>
            </w:tcBorders>
          </w:tcPr>
          <w:p w:rsidR="00012172" w:rsidRDefault="00012172">
            <w:pPr>
              <w:pStyle w:val="Tijeloteksta"/>
              <w:rPr>
                <w:b/>
              </w:rPr>
            </w:pPr>
          </w:p>
          <w:p w:rsidR="00012172" w:rsidRDefault="00012172">
            <w:pPr>
              <w:pStyle w:val="Tijeloteksta"/>
              <w:rPr>
                <w:b/>
                <w:sz w:val="20"/>
              </w:rPr>
            </w:pPr>
          </w:p>
          <w:p w:rsidR="00012172" w:rsidRDefault="00012172">
            <w:pPr>
              <w:pStyle w:val="Tijeloteksta"/>
              <w:rPr>
                <w:b/>
                <w:sz w:val="20"/>
              </w:rPr>
            </w:pPr>
            <w:r>
              <w:rPr>
                <w:b/>
                <w:sz w:val="20"/>
              </w:rPr>
              <w:t>Oznaka</w:t>
            </w:r>
          </w:p>
        </w:tc>
        <w:tc>
          <w:tcPr>
            <w:tcW w:w="1440" w:type="dxa"/>
            <w:tcBorders>
              <w:top w:val="double" w:sz="18" w:space="0" w:color="auto"/>
              <w:bottom w:val="single" w:sz="18" w:space="0" w:color="auto"/>
            </w:tcBorders>
            <w:vAlign w:val="center"/>
          </w:tcPr>
          <w:p w:rsidR="00012172" w:rsidRDefault="00012172">
            <w:pPr>
              <w:pStyle w:val="Tijeloteksta"/>
              <w:spacing w:line="360" w:lineRule="auto"/>
              <w:jc w:val="center"/>
              <w:rPr>
                <w:b/>
              </w:rPr>
            </w:pPr>
            <w:r>
              <w:rPr>
                <w:b/>
              </w:rPr>
              <w:t>Ukupno /ha/</w:t>
            </w:r>
          </w:p>
        </w:tc>
        <w:tc>
          <w:tcPr>
            <w:tcW w:w="900" w:type="dxa"/>
            <w:tcBorders>
              <w:top w:val="double" w:sz="18" w:space="0" w:color="auto"/>
              <w:bottom w:val="single" w:sz="18" w:space="0" w:color="auto"/>
            </w:tcBorders>
            <w:vAlign w:val="center"/>
          </w:tcPr>
          <w:p w:rsidR="00012172" w:rsidRDefault="00012172">
            <w:pPr>
              <w:pStyle w:val="Tijeloteksta"/>
              <w:jc w:val="center"/>
              <w:rPr>
                <w:b/>
                <w:sz w:val="18"/>
              </w:rPr>
            </w:pPr>
            <w:r>
              <w:rPr>
                <w:b/>
                <w:sz w:val="18"/>
              </w:rPr>
              <w:t>% od</w:t>
            </w:r>
          </w:p>
          <w:p w:rsidR="00012172" w:rsidRDefault="00012172">
            <w:pPr>
              <w:pStyle w:val="Tijeloteksta"/>
              <w:jc w:val="center"/>
              <w:rPr>
                <w:b/>
                <w:sz w:val="18"/>
              </w:rPr>
            </w:pPr>
            <w:r>
              <w:rPr>
                <w:b/>
                <w:sz w:val="18"/>
              </w:rPr>
              <w:t>površine</w:t>
            </w:r>
          </w:p>
          <w:p w:rsidR="00012172" w:rsidRDefault="00012172">
            <w:pPr>
              <w:pStyle w:val="Tijeloteksta"/>
              <w:jc w:val="center"/>
              <w:rPr>
                <w:b/>
              </w:rPr>
            </w:pPr>
            <w:r>
              <w:rPr>
                <w:b/>
                <w:sz w:val="18"/>
              </w:rPr>
              <w:t>općine</w:t>
            </w:r>
          </w:p>
        </w:tc>
        <w:tc>
          <w:tcPr>
            <w:tcW w:w="900" w:type="dxa"/>
            <w:tcBorders>
              <w:top w:val="double" w:sz="18" w:space="0" w:color="auto"/>
              <w:bottom w:val="single" w:sz="18" w:space="0" w:color="auto"/>
            </w:tcBorders>
            <w:vAlign w:val="center"/>
          </w:tcPr>
          <w:p w:rsidR="00012172" w:rsidRDefault="00012172">
            <w:pPr>
              <w:pStyle w:val="Tijeloteksta"/>
              <w:rPr>
                <w:b/>
                <w:sz w:val="18"/>
              </w:rPr>
            </w:pPr>
            <w:r>
              <w:rPr>
                <w:b/>
                <w:sz w:val="18"/>
              </w:rPr>
              <w:t>stan/ha</w:t>
            </w:r>
          </w:p>
          <w:p w:rsidR="00012172" w:rsidRDefault="00012172">
            <w:pPr>
              <w:pStyle w:val="Tijeloteksta"/>
              <w:rPr>
                <w:b/>
              </w:rPr>
            </w:pPr>
            <w:r>
              <w:rPr>
                <w:b/>
                <w:sz w:val="18"/>
              </w:rPr>
              <w:t>ha/stan*</w:t>
            </w:r>
          </w:p>
        </w:tc>
      </w:tr>
      <w:tr w:rsidR="00012172">
        <w:tblPrEx>
          <w:tblCellMar>
            <w:top w:w="0" w:type="dxa"/>
            <w:bottom w:w="0" w:type="dxa"/>
          </w:tblCellMar>
        </w:tblPrEx>
        <w:trPr>
          <w:cantSplit/>
        </w:trPr>
        <w:tc>
          <w:tcPr>
            <w:tcW w:w="720" w:type="dxa"/>
            <w:tcBorders>
              <w:top w:val="nil"/>
            </w:tcBorders>
          </w:tcPr>
          <w:p w:rsidR="00012172" w:rsidRDefault="00012172">
            <w:pPr>
              <w:pStyle w:val="Tijeloteksta"/>
            </w:pPr>
            <w:r>
              <w:t>2.0.</w:t>
            </w:r>
          </w:p>
        </w:tc>
        <w:tc>
          <w:tcPr>
            <w:tcW w:w="3780" w:type="dxa"/>
            <w:tcBorders>
              <w:top w:val="nil"/>
            </w:tcBorders>
          </w:tcPr>
          <w:p w:rsidR="00012172" w:rsidRDefault="00012172">
            <w:pPr>
              <w:pStyle w:val="Tijeloteksta"/>
              <w:jc w:val="center"/>
              <w:rPr>
                <w:b/>
              </w:rPr>
            </w:pPr>
            <w:r>
              <w:rPr>
                <w:b/>
              </w:rPr>
              <w:t>ZAŠTIĆENE CJELINE</w:t>
            </w:r>
          </w:p>
        </w:tc>
        <w:tc>
          <w:tcPr>
            <w:tcW w:w="4140" w:type="dxa"/>
            <w:gridSpan w:val="4"/>
            <w:tcBorders>
              <w:top w:val="nil"/>
            </w:tcBorders>
          </w:tcPr>
          <w:p w:rsidR="00012172" w:rsidRDefault="00012172">
            <w:pPr>
              <w:pStyle w:val="Tijeloteksta"/>
            </w:pPr>
          </w:p>
        </w:tc>
      </w:tr>
      <w:tr w:rsidR="00012172">
        <w:tblPrEx>
          <w:tblCellMar>
            <w:top w:w="0" w:type="dxa"/>
            <w:bottom w:w="0" w:type="dxa"/>
          </w:tblCellMar>
        </w:tblPrEx>
        <w:tc>
          <w:tcPr>
            <w:tcW w:w="720" w:type="dxa"/>
          </w:tcPr>
          <w:p w:rsidR="00012172" w:rsidRDefault="00012172">
            <w:pPr>
              <w:pStyle w:val="Tijeloteksta"/>
            </w:pPr>
            <w:r>
              <w:t>2.1.</w:t>
            </w:r>
          </w:p>
        </w:tc>
        <w:tc>
          <w:tcPr>
            <w:tcW w:w="3780" w:type="dxa"/>
          </w:tcPr>
          <w:p w:rsidR="00012172" w:rsidRDefault="00012172">
            <w:pPr>
              <w:pStyle w:val="Tijeloteksta"/>
            </w:pPr>
            <w:r>
              <w:t>Zaštićena prirodna baština                ukupno</w:t>
            </w:r>
          </w:p>
          <w:p w:rsidR="00012172" w:rsidRDefault="00012172">
            <w:pPr>
              <w:pStyle w:val="Tijeloteksta"/>
              <w:numPr>
                <w:ilvl w:val="0"/>
                <w:numId w:val="16"/>
              </w:numPr>
            </w:pPr>
            <w:r>
              <w:t>Značajni krajobraz Kalnik</w:t>
            </w:r>
          </w:p>
          <w:p w:rsidR="00012172" w:rsidRDefault="00012172">
            <w:pPr>
              <w:pStyle w:val="Tijeloteksta"/>
              <w:numPr>
                <w:ilvl w:val="0"/>
                <w:numId w:val="16"/>
              </w:numPr>
            </w:pPr>
            <w:r>
              <w:t xml:space="preserve">Posebni </w:t>
            </w:r>
            <w:r w:rsidR="004C746B">
              <w:t>posebni botanički rezervat</w:t>
            </w:r>
            <w:r>
              <w:t xml:space="preserve"> Mali Kalnik</w:t>
            </w:r>
          </w:p>
        </w:tc>
        <w:tc>
          <w:tcPr>
            <w:tcW w:w="900" w:type="dxa"/>
          </w:tcPr>
          <w:p w:rsidR="00012172" w:rsidRDefault="00012172">
            <w:pPr>
              <w:pStyle w:val="Tijeloteksta"/>
            </w:pPr>
          </w:p>
          <w:p w:rsidR="00012172" w:rsidRDefault="00012172">
            <w:pPr>
              <w:pStyle w:val="Tijeloteksta"/>
              <w:rPr>
                <w:b/>
              </w:rPr>
            </w:pPr>
          </w:p>
          <w:p w:rsidR="00012172" w:rsidRDefault="00012172">
            <w:pPr>
              <w:pStyle w:val="Tijeloteksta"/>
              <w:jc w:val="center"/>
              <w:rPr>
                <w:b/>
              </w:rPr>
            </w:pPr>
          </w:p>
          <w:p w:rsidR="00012172" w:rsidRDefault="00012172">
            <w:pPr>
              <w:pStyle w:val="Tijeloteksta"/>
              <w:jc w:val="center"/>
              <w:rPr>
                <w:b/>
              </w:rPr>
            </w:pPr>
          </w:p>
        </w:tc>
        <w:tc>
          <w:tcPr>
            <w:tcW w:w="1440" w:type="dxa"/>
            <w:vAlign w:val="center"/>
          </w:tcPr>
          <w:p w:rsidR="00012172" w:rsidRDefault="00012172">
            <w:pPr>
              <w:pStyle w:val="Tijeloteksta"/>
              <w:jc w:val="center"/>
            </w:pPr>
          </w:p>
          <w:p w:rsidR="00012172" w:rsidRDefault="00012172">
            <w:pPr>
              <w:pStyle w:val="Tijeloteksta"/>
              <w:jc w:val="center"/>
            </w:pPr>
            <w:r>
              <w:t>4 200</w:t>
            </w:r>
          </w:p>
          <w:p w:rsidR="00012172" w:rsidRDefault="00012172">
            <w:pPr>
              <w:pStyle w:val="Tijeloteksta"/>
              <w:jc w:val="center"/>
            </w:pPr>
            <w:r>
              <w:t xml:space="preserve">5,35 </w:t>
            </w:r>
          </w:p>
        </w:tc>
        <w:tc>
          <w:tcPr>
            <w:tcW w:w="900" w:type="dxa"/>
            <w:vAlign w:val="center"/>
          </w:tcPr>
          <w:p w:rsidR="00012172" w:rsidRDefault="00012172">
            <w:pPr>
              <w:pStyle w:val="Tijeloteksta"/>
              <w:jc w:val="center"/>
            </w:pPr>
            <w:r>
              <w:t>1,28</w:t>
            </w:r>
          </w:p>
        </w:tc>
        <w:tc>
          <w:tcPr>
            <w:tcW w:w="900" w:type="dxa"/>
            <w:vAlign w:val="center"/>
          </w:tcPr>
          <w:p w:rsidR="00012172" w:rsidRDefault="00012172" w:rsidP="00DE239B">
            <w:pPr>
              <w:pStyle w:val="Tijeloteksta"/>
              <w:jc w:val="center"/>
            </w:pPr>
          </w:p>
          <w:p w:rsidR="00012172" w:rsidRDefault="00012172" w:rsidP="00DE239B">
            <w:pPr>
              <w:pStyle w:val="Tijeloteksta"/>
              <w:jc w:val="center"/>
            </w:pPr>
            <w:r>
              <w:t>0,48</w:t>
            </w:r>
          </w:p>
          <w:p w:rsidR="00012172" w:rsidRDefault="00012172" w:rsidP="00DE239B">
            <w:pPr>
              <w:pStyle w:val="Tijeloteksta"/>
              <w:jc w:val="center"/>
            </w:pPr>
          </w:p>
        </w:tc>
      </w:tr>
      <w:tr w:rsidR="00012172">
        <w:tblPrEx>
          <w:tblCellMar>
            <w:top w:w="0" w:type="dxa"/>
            <w:bottom w:w="0" w:type="dxa"/>
          </w:tblCellMar>
        </w:tblPrEx>
        <w:tc>
          <w:tcPr>
            <w:tcW w:w="720" w:type="dxa"/>
          </w:tcPr>
          <w:p w:rsidR="00012172" w:rsidRDefault="00012172">
            <w:pPr>
              <w:pStyle w:val="Tijeloteksta"/>
            </w:pPr>
            <w:r>
              <w:t>2.2.</w:t>
            </w:r>
          </w:p>
        </w:tc>
        <w:tc>
          <w:tcPr>
            <w:tcW w:w="3780" w:type="dxa"/>
          </w:tcPr>
          <w:p w:rsidR="00012172" w:rsidRDefault="00012172">
            <w:pPr>
              <w:pStyle w:val="Tijeloteksta"/>
            </w:pPr>
            <w:r>
              <w:t>Zaštićena graditeljska baština</w:t>
            </w:r>
          </w:p>
          <w:p w:rsidR="00012172" w:rsidRDefault="00012172">
            <w:pPr>
              <w:pStyle w:val="Tijeloteksta"/>
              <w:numPr>
                <w:ilvl w:val="0"/>
                <w:numId w:val="14"/>
              </w:numPr>
              <w:spacing w:after="0"/>
            </w:pPr>
            <w:r>
              <w:t>arheološka područja</w:t>
            </w:r>
          </w:p>
          <w:p w:rsidR="00012172" w:rsidRDefault="00012172">
            <w:pPr>
              <w:pStyle w:val="Tijeloteksta"/>
              <w:numPr>
                <w:ilvl w:val="0"/>
                <w:numId w:val="14"/>
              </w:numPr>
              <w:spacing w:after="0"/>
            </w:pPr>
            <w:r>
              <w:t>povijesne graditeljske cjeline</w:t>
            </w:r>
          </w:p>
        </w:tc>
        <w:tc>
          <w:tcPr>
            <w:tcW w:w="900" w:type="dxa"/>
          </w:tcPr>
          <w:p w:rsidR="00012172" w:rsidRDefault="00012172">
            <w:pPr>
              <w:pStyle w:val="Tijeloteksta"/>
            </w:pPr>
          </w:p>
        </w:tc>
        <w:tc>
          <w:tcPr>
            <w:tcW w:w="1440" w:type="dxa"/>
          </w:tcPr>
          <w:p w:rsidR="00012172" w:rsidRDefault="00012172">
            <w:pPr>
              <w:pStyle w:val="Tijeloteksta"/>
            </w:pPr>
          </w:p>
        </w:tc>
        <w:tc>
          <w:tcPr>
            <w:tcW w:w="900" w:type="dxa"/>
          </w:tcPr>
          <w:p w:rsidR="00012172" w:rsidRDefault="00012172">
            <w:pPr>
              <w:pStyle w:val="Tijeloteksta"/>
            </w:pPr>
          </w:p>
        </w:tc>
        <w:tc>
          <w:tcPr>
            <w:tcW w:w="900" w:type="dxa"/>
          </w:tcPr>
          <w:p w:rsidR="00012172" w:rsidRDefault="00012172">
            <w:pPr>
              <w:pStyle w:val="Tijeloteksta"/>
            </w:pPr>
          </w:p>
        </w:tc>
      </w:tr>
      <w:tr w:rsidR="00012172">
        <w:tblPrEx>
          <w:tblCellMar>
            <w:top w:w="0" w:type="dxa"/>
            <w:bottom w:w="0" w:type="dxa"/>
          </w:tblCellMar>
        </w:tblPrEx>
        <w:tc>
          <w:tcPr>
            <w:tcW w:w="720" w:type="dxa"/>
          </w:tcPr>
          <w:p w:rsidR="00012172" w:rsidRDefault="00012172">
            <w:pPr>
              <w:pStyle w:val="Tijeloteksta"/>
            </w:pPr>
          </w:p>
        </w:tc>
        <w:tc>
          <w:tcPr>
            <w:tcW w:w="3780" w:type="dxa"/>
          </w:tcPr>
          <w:p w:rsidR="00012172" w:rsidRDefault="00012172">
            <w:pPr>
              <w:pStyle w:val="Tijeloteksta"/>
              <w:rPr>
                <w:b/>
              </w:rPr>
            </w:pPr>
            <w:r>
              <w:rPr>
                <w:b/>
              </w:rPr>
              <w:t>Županija/općina/grad          ukupno</w:t>
            </w:r>
          </w:p>
        </w:tc>
        <w:tc>
          <w:tcPr>
            <w:tcW w:w="900" w:type="dxa"/>
          </w:tcPr>
          <w:p w:rsidR="00012172" w:rsidRDefault="00012172">
            <w:pPr>
              <w:pStyle w:val="Tijeloteksta"/>
            </w:pPr>
          </w:p>
        </w:tc>
        <w:tc>
          <w:tcPr>
            <w:tcW w:w="1440" w:type="dxa"/>
          </w:tcPr>
          <w:p w:rsidR="00012172" w:rsidRDefault="00012172">
            <w:pPr>
              <w:pStyle w:val="Tijeloteksta"/>
            </w:pPr>
          </w:p>
        </w:tc>
        <w:tc>
          <w:tcPr>
            <w:tcW w:w="900" w:type="dxa"/>
          </w:tcPr>
          <w:p w:rsidR="00012172" w:rsidRDefault="00012172">
            <w:pPr>
              <w:pStyle w:val="Tijeloteksta"/>
            </w:pPr>
          </w:p>
        </w:tc>
        <w:tc>
          <w:tcPr>
            <w:tcW w:w="900" w:type="dxa"/>
          </w:tcPr>
          <w:p w:rsidR="00012172" w:rsidRDefault="00012172">
            <w:pPr>
              <w:pStyle w:val="Tijeloteksta"/>
            </w:pPr>
          </w:p>
        </w:tc>
      </w:tr>
      <w:tr w:rsidR="00012172">
        <w:tblPrEx>
          <w:tblCellMar>
            <w:top w:w="0" w:type="dxa"/>
            <w:bottom w:w="0" w:type="dxa"/>
          </w:tblCellMar>
        </w:tblPrEx>
        <w:tc>
          <w:tcPr>
            <w:tcW w:w="720" w:type="dxa"/>
          </w:tcPr>
          <w:p w:rsidR="00012172" w:rsidRDefault="00012172">
            <w:pPr>
              <w:pStyle w:val="Tijeloteksta"/>
            </w:pPr>
            <w:r>
              <w:t>3.0.</w:t>
            </w:r>
          </w:p>
        </w:tc>
        <w:tc>
          <w:tcPr>
            <w:tcW w:w="3780" w:type="dxa"/>
          </w:tcPr>
          <w:p w:rsidR="00012172" w:rsidRDefault="00012172">
            <w:pPr>
              <w:pStyle w:val="Tijeloteksta"/>
              <w:jc w:val="center"/>
              <w:rPr>
                <w:b/>
              </w:rPr>
            </w:pPr>
            <w:r>
              <w:rPr>
                <w:b/>
              </w:rPr>
              <w:t>KORIŠTENJE RESURSA</w:t>
            </w:r>
          </w:p>
        </w:tc>
        <w:tc>
          <w:tcPr>
            <w:tcW w:w="900" w:type="dxa"/>
          </w:tcPr>
          <w:p w:rsidR="00012172" w:rsidRDefault="00012172">
            <w:pPr>
              <w:pStyle w:val="Tijeloteksta"/>
              <w:rPr>
                <w:sz w:val="20"/>
              </w:rPr>
            </w:pPr>
            <w:r>
              <w:rPr>
                <w:sz w:val="20"/>
              </w:rPr>
              <w:t>jedinica</w:t>
            </w:r>
          </w:p>
        </w:tc>
        <w:tc>
          <w:tcPr>
            <w:tcW w:w="1440" w:type="dxa"/>
          </w:tcPr>
          <w:p w:rsidR="00012172" w:rsidRDefault="00012172">
            <w:pPr>
              <w:pStyle w:val="Tijeloteksta"/>
              <w:rPr>
                <w:sz w:val="20"/>
              </w:rPr>
            </w:pPr>
            <w:r>
              <w:rPr>
                <w:sz w:val="20"/>
              </w:rPr>
              <w:t>količina</w:t>
            </w:r>
          </w:p>
        </w:tc>
        <w:tc>
          <w:tcPr>
            <w:tcW w:w="900" w:type="dxa"/>
          </w:tcPr>
          <w:p w:rsidR="00012172" w:rsidRDefault="00012172">
            <w:pPr>
              <w:pStyle w:val="Tijeloteksta"/>
            </w:pPr>
          </w:p>
        </w:tc>
        <w:tc>
          <w:tcPr>
            <w:tcW w:w="900" w:type="dxa"/>
          </w:tcPr>
          <w:p w:rsidR="00012172" w:rsidRDefault="00012172">
            <w:pPr>
              <w:pStyle w:val="Tijeloteksta"/>
            </w:pPr>
          </w:p>
        </w:tc>
      </w:tr>
      <w:tr w:rsidR="00012172">
        <w:tblPrEx>
          <w:tblCellMar>
            <w:top w:w="0" w:type="dxa"/>
            <w:bottom w:w="0" w:type="dxa"/>
          </w:tblCellMar>
        </w:tblPrEx>
        <w:trPr>
          <w:cantSplit/>
        </w:trPr>
        <w:tc>
          <w:tcPr>
            <w:tcW w:w="720" w:type="dxa"/>
          </w:tcPr>
          <w:p w:rsidR="00012172" w:rsidRDefault="00012172">
            <w:pPr>
              <w:pStyle w:val="Tijeloteksta"/>
            </w:pPr>
            <w:r>
              <w:t>3.1.</w:t>
            </w:r>
          </w:p>
        </w:tc>
        <w:tc>
          <w:tcPr>
            <w:tcW w:w="3780" w:type="dxa"/>
          </w:tcPr>
          <w:p w:rsidR="00012172" w:rsidRDefault="00012172">
            <w:pPr>
              <w:pStyle w:val="Tijeloteksta"/>
            </w:pPr>
            <w:r>
              <w:t>Energija                               proizvodnja</w:t>
            </w:r>
          </w:p>
          <w:p w:rsidR="00012172" w:rsidRDefault="00012172">
            <w:pPr>
              <w:pStyle w:val="Tijeloteksta"/>
            </w:pPr>
            <w:r>
              <w:t xml:space="preserve">                                            potrošnja</w:t>
            </w:r>
          </w:p>
        </w:tc>
        <w:tc>
          <w:tcPr>
            <w:tcW w:w="900" w:type="dxa"/>
          </w:tcPr>
          <w:p w:rsidR="00012172" w:rsidRDefault="00012172">
            <w:pPr>
              <w:pStyle w:val="Tijeloteksta"/>
            </w:pPr>
          </w:p>
        </w:tc>
        <w:tc>
          <w:tcPr>
            <w:tcW w:w="1440" w:type="dxa"/>
          </w:tcPr>
          <w:p w:rsidR="00012172" w:rsidRDefault="00012172">
            <w:pPr>
              <w:pStyle w:val="Tijeloteksta"/>
            </w:pPr>
          </w:p>
        </w:tc>
        <w:tc>
          <w:tcPr>
            <w:tcW w:w="1800" w:type="dxa"/>
            <w:gridSpan w:val="2"/>
            <w:vMerge w:val="restart"/>
          </w:tcPr>
          <w:p w:rsidR="00012172" w:rsidRDefault="00012172">
            <w:pPr>
              <w:pStyle w:val="Tijeloteksta"/>
            </w:pPr>
          </w:p>
          <w:p w:rsidR="00012172" w:rsidRDefault="00012172">
            <w:pPr>
              <w:pStyle w:val="Tijeloteksta"/>
            </w:pPr>
          </w:p>
          <w:p w:rsidR="00012172" w:rsidRDefault="00012172">
            <w:pPr>
              <w:pStyle w:val="Tijeloteksta"/>
            </w:pPr>
            <w:r>
              <w:t xml:space="preserve">   ne iskazuje se</w:t>
            </w:r>
          </w:p>
        </w:tc>
      </w:tr>
      <w:tr w:rsidR="00012172">
        <w:tblPrEx>
          <w:tblCellMar>
            <w:top w:w="0" w:type="dxa"/>
            <w:bottom w:w="0" w:type="dxa"/>
          </w:tblCellMar>
        </w:tblPrEx>
        <w:trPr>
          <w:cantSplit/>
        </w:trPr>
        <w:tc>
          <w:tcPr>
            <w:tcW w:w="720" w:type="dxa"/>
          </w:tcPr>
          <w:p w:rsidR="00012172" w:rsidRDefault="00012172">
            <w:pPr>
              <w:pStyle w:val="Tijeloteksta"/>
            </w:pPr>
            <w:r>
              <w:t>3.2.</w:t>
            </w:r>
          </w:p>
        </w:tc>
        <w:tc>
          <w:tcPr>
            <w:tcW w:w="3780" w:type="dxa"/>
          </w:tcPr>
          <w:p w:rsidR="00012172" w:rsidRDefault="00012172">
            <w:pPr>
              <w:pStyle w:val="Tijeloteksta"/>
            </w:pPr>
            <w:r>
              <w:t>Voda                                   vodozahvat</w:t>
            </w:r>
          </w:p>
        </w:tc>
        <w:tc>
          <w:tcPr>
            <w:tcW w:w="900" w:type="dxa"/>
          </w:tcPr>
          <w:p w:rsidR="00012172" w:rsidRDefault="00012172">
            <w:pPr>
              <w:pStyle w:val="Tijeloteksta"/>
            </w:pPr>
            <w:r>
              <w:t>l/sek</w:t>
            </w:r>
          </w:p>
        </w:tc>
        <w:tc>
          <w:tcPr>
            <w:tcW w:w="1440" w:type="dxa"/>
          </w:tcPr>
          <w:p w:rsidR="00012172" w:rsidRDefault="00012172">
            <w:pPr>
              <w:pStyle w:val="Tijeloteksta"/>
            </w:pPr>
          </w:p>
        </w:tc>
        <w:tc>
          <w:tcPr>
            <w:tcW w:w="1800" w:type="dxa"/>
            <w:gridSpan w:val="2"/>
            <w:vMerge/>
          </w:tcPr>
          <w:p w:rsidR="00012172" w:rsidRDefault="00012172">
            <w:pPr>
              <w:pStyle w:val="Tijeloteksta"/>
            </w:pPr>
          </w:p>
        </w:tc>
      </w:tr>
      <w:tr w:rsidR="00012172">
        <w:tblPrEx>
          <w:tblCellMar>
            <w:top w:w="0" w:type="dxa"/>
            <w:bottom w:w="0" w:type="dxa"/>
          </w:tblCellMar>
        </w:tblPrEx>
        <w:trPr>
          <w:cantSplit/>
        </w:trPr>
        <w:tc>
          <w:tcPr>
            <w:tcW w:w="720" w:type="dxa"/>
          </w:tcPr>
          <w:p w:rsidR="00012172" w:rsidRDefault="00012172">
            <w:pPr>
              <w:pStyle w:val="Tijeloteksta"/>
            </w:pPr>
            <w:r>
              <w:t>3.3.</w:t>
            </w:r>
          </w:p>
        </w:tc>
        <w:tc>
          <w:tcPr>
            <w:tcW w:w="3780" w:type="dxa"/>
          </w:tcPr>
          <w:p w:rsidR="00012172" w:rsidRDefault="00012172">
            <w:pPr>
              <w:pStyle w:val="Tijeloteksta"/>
            </w:pPr>
            <w:r>
              <w:t>Mineralne sirovine                       plin</w:t>
            </w:r>
          </w:p>
          <w:p w:rsidR="00012172" w:rsidRDefault="00012172">
            <w:pPr>
              <w:pStyle w:val="Tijeloteksta"/>
            </w:pPr>
            <w:r>
              <w:t xml:space="preserve">                                                     nafta</w:t>
            </w:r>
          </w:p>
        </w:tc>
        <w:tc>
          <w:tcPr>
            <w:tcW w:w="900" w:type="dxa"/>
          </w:tcPr>
          <w:p w:rsidR="00012172" w:rsidRDefault="00012172">
            <w:pPr>
              <w:pStyle w:val="Tijeloteksta"/>
            </w:pPr>
            <w:r>
              <w:t>m</w:t>
            </w:r>
            <w:r>
              <w:rPr>
                <w:vertAlign w:val="superscript"/>
              </w:rPr>
              <w:t>3</w:t>
            </w:r>
            <w:r>
              <w:t>/god</w:t>
            </w:r>
          </w:p>
          <w:p w:rsidR="00012172" w:rsidRDefault="00012172">
            <w:pPr>
              <w:pStyle w:val="Tijeloteksta"/>
            </w:pPr>
            <w:r>
              <w:t>t/god</w:t>
            </w:r>
          </w:p>
        </w:tc>
        <w:tc>
          <w:tcPr>
            <w:tcW w:w="1440" w:type="dxa"/>
          </w:tcPr>
          <w:p w:rsidR="00012172" w:rsidRDefault="00012172">
            <w:pPr>
              <w:pStyle w:val="Tijeloteksta"/>
            </w:pPr>
          </w:p>
        </w:tc>
        <w:tc>
          <w:tcPr>
            <w:tcW w:w="1800" w:type="dxa"/>
            <w:gridSpan w:val="2"/>
            <w:vMerge/>
          </w:tcPr>
          <w:p w:rsidR="00012172" w:rsidRDefault="00012172">
            <w:pPr>
              <w:pStyle w:val="Tijeloteksta"/>
            </w:pPr>
          </w:p>
        </w:tc>
      </w:tr>
      <w:tr w:rsidR="00012172">
        <w:tblPrEx>
          <w:tblCellMar>
            <w:top w:w="0" w:type="dxa"/>
            <w:bottom w:w="0" w:type="dxa"/>
          </w:tblCellMar>
        </w:tblPrEx>
        <w:tc>
          <w:tcPr>
            <w:tcW w:w="720" w:type="dxa"/>
          </w:tcPr>
          <w:p w:rsidR="00012172" w:rsidRDefault="00012172">
            <w:pPr>
              <w:pStyle w:val="Tijeloteksta"/>
            </w:pPr>
          </w:p>
        </w:tc>
        <w:tc>
          <w:tcPr>
            <w:tcW w:w="3780" w:type="dxa"/>
          </w:tcPr>
          <w:p w:rsidR="00012172" w:rsidRDefault="00012172">
            <w:pPr>
              <w:pStyle w:val="Tijeloteksta"/>
              <w:rPr>
                <w:b/>
              </w:rPr>
            </w:pPr>
            <w:r>
              <w:rPr>
                <w:b/>
              </w:rPr>
              <w:t>Županija/općina/grad           ukupno</w:t>
            </w:r>
          </w:p>
        </w:tc>
        <w:tc>
          <w:tcPr>
            <w:tcW w:w="900" w:type="dxa"/>
          </w:tcPr>
          <w:p w:rsidR="00012172" w:rsidRDefault="00012172">
            <w:pPr>
              <w:pStyle w:val="Tijeloteksta"/>
            </w:pPr>
          </w:p>
        </w:tc>
        <w:tc>
          <w:tcPr>
            <w:tcW w:w="1440" w:type="dxa"/>
            <w:vAlign w:val="center"/>
          </w:tcPr>
          <w:p w:rsidR="00012172" w:rsidRDefault="00DE239B" w:rsidP="00DE239B">
            <w:pPr>
              <w:pStyle w:val="Tijeloteksta"/>
              <w:jc w:val="center"/>
            </w:pPr>
            <w:r>
              <w:t>3272</w:t>
            </w:r>
          </w:p>
        </w:tc>
        <w:tc>
          <w:tcPr>
            <w:tcW w:w="900" w:type="dxa"/>
            <w:vAlign w:val="center"/>
          </w:tcPr>
          <w:p w:rsidR="00012172" w:rsidRDefault="00DE239B" w:rsidP="00DE239B">
            <w:pPr>
              <w:pStyle w:val="Tijeloteksta"/>
              <w:jc w:val="center"/>
            </w:pPr>
            <w:r>
              <w:t>100</w:t>
            </w:r>
          </w:p>
        </w:tc>
        <w:tc>
          <w:tcPr>
            <w:tcW w:w="900" w:type="dxa"/>
            <w:vAlign w:val="center"/>
          </w:tcPr>
          <w:p w:rsidR="00012172" w:rsidRDefault="00DE239B" w:rsidP="00DE239B">
            <w:pPr>
              <w:pStyle w:val="Tijeloteksta"/>
              <w:jc w:val="center"/>
            </w:pPr>
            <w:r>
              <w:t>0,6</w:t>
            </w:r>
          </w:p>
        </w:tc>
      </w:tr>
    </w:tbl>
    <w:p w:rsidR="00012172" w:rsidRDefault="00012172">
      <w:pPr>
        <w:rPr>
          <w:sz w:val="22"/>
        </w:rPr>
      </w:pPr>
    </w:p>
    <w:p w:rsidR="00012172" w:rsidRDefault="00012172">
      <w:pPr>
        <w:rPr>
          <w:b/>
          <w:bCs/>
          <w:sz w:val="28"/>
        </w:rPr>
      </w:pPr>
    </w:p>
    <w:p w:rsidR="00012172" w:rsidRDefault="00012172">
      <w:pPr>
        <w:rPr>
          <w:b/>
          <w:bCs/>
          <w:sz w:val="28"/>
        </w:rPr>
      </w:pPr>
    </w:p>
    <w:p w:rsidR="00012172" w:rsidRDefault="00012172">
      <w:pPr>
        <w:pStyle w:val="Naslov7"/>
        <w:rPr>
          <w:rFonts w:cs="Arial"/>
        </w:rPr>
      </w:pPr>
      <w:r>
        <w:rPr>
          <w:rFonts w:cs="Arial"/>
        </w:rPr>
        <w:t>Prirodna baština</w:t>
      </w:r>
    </w:p>
    <w:p w:rsidR="00012172" w:rsidRDefault="00012172">
      <w:pPr>
        <w:jc w:val="both"/>
        <w:rPr>
          <w:color w:val="FF0000"/>
        </w:rPr>
      </w:pPr>
    </w:p>
    <w:p w:rsidR="00012172" w:rsidRDefault="00012172">
      <w:pPr>
        <w:ind w:firstLine="360"/>
        <w:jc w:val="both"/>
        <w:rPr>
          <w:rFonts w:ascii="Arial" w:hAnsi="Arial" w:cs="Arial"/>
          <w:sz w:val="22"/>
        </w:rPr>
      </w:pPr>
      <w:r>
        <w:rPr>
          <w:rFonts w:ascii="Arial" w:hAnsi="Arial" w:cs="Arial"/>
          <w:sz w:val="22"/>
        </w:rPr>
        <w:t>Prirodno vrijedna područja koja su dokumentima prostornog uređenja utvrđena kao prirodne vrijednosti koje će se zaštititi određenim režimom zaštite nalaze se pod privremenom zaštitom od dana stupanja na snagu dokumenata prostornog uređenja, odnosno od dana donošenja novog  Zakona o zaštiti prirode .</w:t>
      </w:r>
    </w:p>
    <w:p w:rsidR="00012172" w:rsidRDefault="00012172">
      <w:pPr>
        <w:ind w:firstLine="360"/>
        <w:jc w:val="both"/>
        <w:rPr>
          <w:rFonts w:ascii="Arial" w:hAnsi="Arial" w:cs="Arial"/>
          <w:sz w:val="22"/>
        </w:rPr>
      </w:pPr>
      <w:r>
        <w:rPr>
          <w:rFonts w:ascii="Arial" w:hAnsi="Arial" w:cs="Arial"/>
          <w:sz w:val="22"/>
        </w:rPr>
        <w:t>Prostornim planom Koprivničko-križevačke županije izrečena je potreba izrade Prostornog plana područja posebnih obilježja Kalnika te bi se u dogledno vrijeme trebalo prisrupiti izradi relevantnih znanstvenih istraživanja  i izradi spomenutog PPPPO Kalnik.</w:t>
      </w:r>
    </w:p>
    <w:p w:rsidR="00012172" w:rsidRDefault="00012172">
      <w:pPr>
        <w:pStyle w:val="GLAVALIJEVA"/>
        <w:widowControl/>
        <w:ind w:firstLine="360"/>
        <w:jc w:val="both"/>
        <w:rPr>
          <w:rFonts w:ascii="Arial" w:hAnsi="Arial" w:cs="Arial"/>
          <w:sz w:val="22"/>
          <w:lang w:val="hr-HR"/>
        </w:rPr>
      </w:pPr>
      <w:r>
        <w:rPr>
          <w:rFonts w:ascii="Arial" w:hAnsi="Arial" w:cs="Arial"/>
          <w:sz w:val="22"/>
        </w:rPr>
        <w:t>Trenutno</w:t>
      </w:r>
      <w:r>
        <w:rPr>
          <w:rFonts w:ascii="Arial" w:hAnsi="Arial" w:cs="Arial"/>
          <w:sz w:val="22"/>
          <w:lang w:val="hr-HR"/>
        </w:rPr>
        <w:t xml:space="preserve"> </w:t>
      </w:r>
      <w:r>
        <w:rPr>
          <w:rFonts w:ascii="Arial" w:hAnsi="Arial" w:cs="Arial"/>
          <w:sz w:val="22"/>
        </w:rPr>
        <w:t>se</w:t>
      </w:r>
      <w:r>
        <w:rPr>
          <w:rFonts w:ascii="Arial" w:hAnsi="Arial" w:cs="Arial"/>
          <w:sz w:val="22"/>
          <w:lang w:val="hr-HR"/>
        </w:rPr>
        <w:t xml:space="preserve"> </w:t>
      </w:r>
      <w:r>
        <w:rPr>
          <w:rFonts w:ascii="Arial" w:hAnsi="Arial" w:cs="Arial"/>
          <w:sz w:val="22"/>
        </w:rPr>
        <w:t>na</w:t>
      </w:r>
      <w:r>
        <w:rPr>
          <w:rFonts w:ascii="Arial" w:hAnsi="Arial" w:cs="Arial"/>
          <w:sz w:val="22"/>
          <w:lang w:val="hr-HR"/>
        </w:rPr>
        <w:t xml:space="preserve"> </w:t>
      </w:r>
      <w:r>
        <w:rPr>
          <w:rFonts w:ascii="Arial" w:hAnsi="Arial" w:cs="Arial"/>
          <w:sz w:val="22"/>
        </w:rPr>
        <w:t>podru</w:t>
      </w:r>
      <w:r>
        <w:rPr>
          <w:rFonts w:ascii="Arial" w:hAnsi="Arial" w:cs="Arial"/>
          <w:sz w:val="22"/>
          <w:lang w:val="hr-HR"/>
        </w:rPr>
        <w:t>č</w:t>
      </w:r>
      <w:r>
        <w:rPr>
          <w:rFonts w:ascii="Arial" w:hAnsi="Arial" w:cs="Arial"/>
          <w:sz w:val="22"/>
        </w:rPr>
        <w:t>ju</w:t>
      </w:r>
      <w:r>
        <w:rPr>
          <w:rFonts w:ascii="Arial" w:hAnsi="Arial" w:cs="Arial"/>
          <w:sz w:val="22"/>
          <w:lang w:val="hr-HR"/>
        </w:rPr>
        <w:t xml:space="preserve"> </w:t>
      </w:r>
      <w:r>
        <w:rPr>
          <w:rFonts w:ascii="Arial" w:hAnsi="Arial" w:cs="Arial"/>
          <w:sz w:val="22"/>
        </w:rPr>
        <w:t>op</w:t>
      </w:r>
      <w:r>
        <w:rPr>
          <w:rFonts w:ascii="Arial" w:hAnsi="Arial" w:cs="Arial"/>
          <w:sz w:val="22"/>
          <w:lang w:val="hr-HR"/>
        </w:rPr>
        <w:t>ć</w:t>
      </w:r>
      <w:r>
        <w:rPr>
          <w:rFonts w:ascii="Arial" w:hAnsi="Arial" w:cs="Arial"/>
          <w:sz w:val="22"/>
        </w:rPr>
        <w:t>ine</w:t>
      </w:r>
      <w:r>
        <w:rPr>
          <w:rFonts w:ascii="Arial" w:hAnsi="Arial" w:cs="Arial"/>
          <w:sz w:val="22"/>
          <w:lang w:val="hr-HR"/>
        </w:rPr>
        <w:t xml:space="preserve"> </w:t>
      </w:r>
      <w:r>
        <w:rPr>
          <w:rFonts w:ascii="Arial" w:hAnsi="Arial" w:cs="Arial"/>
          <w:sz w:val="22"/>
        </w:rPr>
        <w:t>nalazi</w:t>
      </w:r>
      <w:r>
        <w:rPr>
          <w:rFonts w:ascii="Arial" w:hAnsi="Arial" w:cs="Arial"/>
          <w:sz w:val="22"/>
          <w:lang w:val="hr-HR"/>
        </w:rPr>
        <w:t xml:space="preserve"> </w:t>
      </w:r>
      <w:r>
        <w:rPr>
          <w:rFonts w:ascii="Arial" w:hAnsi="Arial" w:cs="Arial"/>
          <w:snapToGrid/>
          <w:sz w:val="22"/>
          <w:szCs w:val="24"/>
          <w:lang w:val="hr-HR" w:eastAsia="hr-HR"/>
        </w:rPr>
        <w:t xml:space="preserve">značajni krajobraz Kalnik unutar kojeg se nalazi posebni </w:t>
      </w:r>
      <w:r w:rsidR="004C746B">
        <w:rPr>
          <w:rFonts w:ascii="Arial" w:hAnsi="Arial" w:cs="Arial"/>
          <w:snapToGrid/>
          <w:sz w:val="22"/>
          <w:szCs w:val="24"/>
          <w:lang w:val="hr-HR" w:eastAsia="hr-HR"/>
        </w:rPr>
        <w:t>posebni botanički rezervat</w:t>
      </w:r>
      <w:r>
        <w:rPr>
          <w:rFonts w:ascii="Arial" w:hAnsi="Arial" w:cs="Arial"/>
          <w:snapToGrid/>
          <w:sz w:val="22"/>
          <w:szCs w:val="24"/>
          <w:lang w:val="hr-HR" w:eastAsia="hr-HR"/>
        </w:rPr>
        <w:t xml:space="preserve"> Mali Kalnik. Zaštita spomenutih područja se temelji i provodi po odrednicama Zakona o zaštiti prirode. Spomenutim područjima,  do sada se upravljalo temeljem Šumskih gospodarskih osnova, dok Unutarnje planove upravljanja zaštićenim područjima sa propisanim mjerama zaštite još uvjek nemaju. Potrebno je izraditi spomenute Planove i njima točno definirati gospodarske dijelatnosti koje se smiju obavljati unutar značajnog krajobraza i unutar botaničkog rezervata. Održivi razvoj ne pobija gospodarske dijelatnosti unutar zaštićenih područja, apsurdno je zabranjivati djelatnosti koje bi omogućile gospodarski razvoj kraja. Potrebno je omogućiti znanstveni, kulturni, edukativni i rekreacijski turizam (naravno uz poštivanje strogih pravila Zakona o zaštiti prirode).</w:t>
      </w:r>
    </w:p>
    <w:p w:rsidR="00012172" w:rsidRDefault="00012172" w:rsidP="0067261B">
      <w:pPr>
        <w:pStyle w:val="GLAVALIJEVA"/>
        <w:widowControl/>
        <w:ind w:firstLine="284"/>
        <w:jc w:val="both"/>
        <w:rPr>
          <w:rFonts w:ascii="Arial" w:hAnsi="Arial" w:cs="Arial"/>
          <w:snapToGrid/>
          <w:sz w:val="22"/>
          <w:szCs w:val="24"/>
          <w:lang w:val="hr-HR" w:eastAsia="hr-HR"/>
        </w:rPr>
      </w:pPr>
      <w:r>
        <w:rPr>
          <w:rFonts w:ascii="Arial" w:hAnsi="Arial" w:cs="Arial"/>
          <w:sz w:val="22"/>
          <w:lang w:val="hr-HR"/>
        </w:rPr>
        <w:t xml:space="preserve">Van značajnog krajobraza, a u blizini naselja Gornja Rijeka (udaljenost </w:t>
      </w:r>
      <w:smartTag w:uri="urn:schemas-microsoft-com:office:smarttags" w:element="metricconverter">
        <w:smartTagPr>
          <w:attr w:name="ProductID" w:val="800 m"/>
        </w:smartTagPr>
        <w:r>
          <w:rPr>
            <w:rFonts w:ascii="Arial" w:hAnsi="Arial" w:cs="Arial"/>
            <w:sz w:val="22"/>
            <w:lang w:val="hr-HR"/>
          </w:rPr>
          <w:t>800</w:t>
        </w:r>
        <w:r w:rsidR="0067261B">
          <w:rPr>
            <w:rFonts w:ascii="Arial" w:hAnsi="Arial" w:cs="Arial"/>
            <w:sz w:val="22"/>
            <w:lang w:val="hr-HR"/>
          </w:rPr>
          <w:t xml:space="preserve"> </w:t>
        </w:r>
        <w:r>
          <w:rPr>
            <w:rFonts w:ascii="Arial" w:hAnsi="Arial" w:cs="Arial"/>
            <w:sz w:val="22"/>
            <w:lang w:val="hr-HR"/>
          </w:rPr>
          <w:t>m</w:t>
        </w:r>
      </w:smartTag>
      <w:r>
        <w:rPr>
          <w:rFonts w:ascii="Arial" w:hAnsi="Arial" w:cs="Arial"/>
          <w:sz w:val="22"/>
          <w:lang w:val="hr-HR"/>
        </w:rPr>
        <w:t xml:space="preserve">), nalazi se slap Sopot. Stanište slapa se predlaže za zaštitu (najpovoljnije u kategoriji </w:t>
      </w:r>
      <w:r w:rsidR="00DF1808">
        <w:rPr>
          <w:rFonts w:ascii="Arial" w:hAnsi="Arial" w:cs="Arial"/>
          <w:sz w:val="22"/>
          <w:lang w:val="hr-HR"/>
        </w:rPr>
        <w:t>spomenik prirode</w:t>
      </w:r>
      <w:r>
        <w:rPr>
          <w:rFonts w:ascii="Arial" w:hAnsi="Arial" w:cs="Arial"/>
          <w:sz w:val="22"/>
          <w:lang w:val="hr-HR"/>
        </w:rPr>
        <w:t xml:space="preserve">). </w:t>
      </w:r>
      <w:r>
        <w:rPr>
          <w:rFonts w:ascii="Arial" w:hAnsi="Arial" w:cs="Arial"/>
          <w:sz w:val="22"/>
        </w:rPr>
        <w:t>Potrebno</w:t>
      </w:r>
      <w:r>
        <w:rPr>
          <w:rFonts w:ascii="Arial" w:hAnsi="Arial" w:cs="Arial"/>
          <w:sz w:val="22"/>
          <w:lang w:val="hr-HR"/>
        </w:rPr>
        <w:t xml:space="preserve"> je </w:t>
      </w:r>
      <w:r>
        <w:rPr>
          <w:rFonts w:ascii="Arial" w:hAnsi="Arial" w:cs="Arial"/>
          <w:sz w:val="22"/>
        </w:rPr>
        <w:t>istra</w:t>
      </w:r>
      <w:r>
        <w:rPr>
          <w:rFonts w:ascii="Arial" w:hAnsi="Arial" w:cs="Arial"/>
          <w:sz w:val="22"/>
          <w:lang w:val="hr-HR"/>
        </w:rPr>
        <w:t>ž</w:t>
      </w:r>
      <w:r>
        <w:rPr>
          <w:rFonts w:ascii="Arial" w:hAnsi="Arial" w:cs="Arial"/>
          <w:sz w:val="22"/>
        </w:rPr>
        <w:t>iti</w:t>
      </w:r>
      <w:r>
        <w:rPr>
          <w:rFonts w:ascii="Arial" w:hAnsi="Arial" w:cs="Arial"/>
          <w:sz w:val="22"/>
          <w:lang w:val="hr-HR"/>
        </w:rPr>
        <w:t xml:space="preserve"> </w:t>
      </w:r>
      <w:r>
        <w:rPr>
          <w:rFonts w:ascii="Arial" w:hAnsi="Arial" w:cs="Arial"/>
          <w:sz w:val="22"/>
        </w:rPr>
        <w:t>ekolo</w:t>
      </w:r>
      <w:r>
        <w:rPr>
          <w:rFonts w:ascii="Arial" w:hAnsi="Arial" w:cs="Arial"/>
          <w:sz w:val="22"/>
          <w:lang w:val="hr-HR"/>
        </w:rPr>
        <w:t>š</w:t>
      </w:r>
      <w:r>
        <w:rPr>
          <w:rFonts w:ascii="Arial" w:hAnsi="Arial" w:cs="Arial"/>
          <w:sz w:val="22"/>
        </w:rPr>
        <w:t>ke</w:t>
      </w:r>
      <w:r>
        <w:rPr>
          <w:rFonts w:ascii="Arial" w:hAnsi="Arial" w:cs="Arial"/>
          <w:sz w:val="22"/>
          <w:lang w:val="hr-HR"/>
        </w:rPr>
        <w:t xml:space="preserve"> </w:t>
      </w:r>
      <w:r>
        <w:rPr>
          <w:rFonts w:ascii="Arial" w:hAnsi="Arial" w:cs="Arial"/>
          <w:sz w:val="22"/>
        </w:rPr>
        <w:t>osobitosti</w:t>
      </w:r>
      <w:r>
        <w:rPr>
          <w:rFonts w:ascii="Arial" w:hAnsi="Arial" w:cs="Arial"/>
          <w:sz w:val="22"/>
          <w:lang w:val="hr-HR"/>
        </w:rPr>
        <w:t xml:space="preserve"> </w:t>
      </w:r>
      <w:r>
        <w:rPr>
          <w:rFonts w:ascii="Arial" w:hAnsi="Arial" w:cs="Arial"/>
          <w:sz w:val="22"/>
        </w:rPr>
        <w:t>spomenutog</w:t>
      </w:r>
      <w:r>
        <w:rPr>
          <w:rFonts w:ascii="Arial" w:hAnsi="Arial" w:cs="Arial"/>
          <w:sz w:val="22"/>
          <w:lang w:val="hr-HR"/>
        </w:rPr>
        <w:t xml:space="preserve"> </w:t>
      </w:r>
      <w:r>
        <w:rPr>
          <w:rFonts w:ascii="Arial" w:hAnsi="Arial" w:cs="Arial"/>
          <w:sz w:val="22"/>
        </w:rPr>
        <w:t>stani</w:t>
      </w:r>
      <w:r>
        <w:rPr>
          <w:rFonts w:ascii="Arial" w:hAnsi="Arial" w:cs="Arial"/>
          <w:sz w:val="22"/>
          <w:lang w:val="hr-HR"/>
        </w:rPr>
        <w:t>š</w:t>
      </w:r>
      <w:r>
        <w:rPr>
          <w:rFonts w:ascii="Arial" w:hAnsi="Arial" w:cs="Arial"/>
          <w:sz w:val="22"/>
        </w:rPr>
        <w:t>ta</w:t>
      </w:r>
      <w:r>
        <w:rPr>
          <w:rFonts w:ascii="Arial" w:hAnsi="Arial" w:cs="Arial"/>
          <w:sz w:val="22"/>
          <w:lang w:val="hr-HR"/>
        </w:rPr>
        <w:t xml:space="preserve"> (</w:t>
      </w:r>
      <w:r>
        <w:rPr>
          <w:rFonts w:ascii="Arial" w:hAnsi="Arial" w:cs="Arial"/>
          <w:sz w:val="22"/>
        </w:rPr>
        <w:t>inventarizirati</w:t>
      </w:r>
      <w:r>
        <w:rPr>
          <w:rFonts w:ascii="Arial" w:hAnsi="Arial" w:cs="Arial"/>
          <w:sz w:val="22"/>
          <w:lang w:val="hr-HR"/>
        </w:rPr>
        <w:t xml:space="preserve"> </w:t>
      </w:r>
      <w:r>
        <w:rPr>
          <w:rFonts w:ascii="Arial" w:hAnsi="Arial" w:cs="Arial"/>
          <w:sz w:val="22"/>
        </w:rPr>
        <w:t>floru</w:t>
      </w:r>
      <w:r>
        <w:rPr>
          <w:rFonts w:ascii="Arial" w:hAnsi="Arial" w:cs="Arial"/>
          <w:sz w:val="22"/>
          <w:lang w:val="hr-HR"/>
        </w:rPr>
        <w:t xml:space="preserve"> </w:t>
      </w:r>
      <w:r>
        <w:rPr>
          <w:rFonts w:ascii="Arial" w:hAnsi="Arial" w:cs="Arial"/>
          <w:sz w:val="22"/>
        </w:rPr>
        <w:t>i</w:t>
      </w:r>
      <w:r>
        <w:rPr>
          <w:rFonts w:ascii="Arial" w:hAnsi="Arial" w:cs="Arial"/>
          <w:sz w:val="22"/>
          <w:lang w:val="hr-HR"/>
        </w:rPr>
        <w:t xml:space="preserve"> </w:t>
      </w:r>
      <w:r>
        <w:rPr>
          <w:rFonts w:ascii="Arial" w:hAnsi="Arial" w:cs="Arial"/>
          <w:sz w:val="22"/>
        </w:rPr>
        <w:t>faunu</w:t>
      </w:r>
      <w:r>
        <w:rPr>
          <w:rFonts w:ascii="Arial" w:hAnsi="Arial" w:cs="Arial"/>
          <w:sz w:val="22"/>
          <w:lang w:val="hr-HR"/>
        </w:rPr>
        <w:t>) te osigurati bolje uvjete održavanja.</w:t>
      </w:r>
      <w:r>
        <w:rPr>
          <w:rFonts w:ascii="Arial" w:hAnsi="Arial" w:cs="Arial"/>
          <w:snapToGrid/>
          <w:sz w:val="22"/>
          <w:szCs w:val="24"/>
          <w:lang w:val="hr-HR" w:eastAsia="hr-HR"/>
        </w:rPr>
        <w:t xml:space="preserve"> </w:t>
      </w:r>
    </w:p>
    <w:p w:rsidR="00012172" w:rsidRDefault="00012172">
      <w:pPr>
        <w:jc w:val="both"/>
        <w:rPr>
          <w:color w:val="FF0000"/>
        </w:rPr>
      </w:pPr>
    </w:p>
    <w:p w:rsidR="00012172" w:rsidRDefault="00012172">
      <w:pPr>
        <w:rPr>
          <w:b/>
        </w:rPr>
      </w:pPr>
    </w:p>
    <w:p w:rsidR="00012172" w:rsidRDefault="00012172">
      <w:pPr>
        <w:rPr>
          <w:rFonts w:ascii="Arial" w:hAnsi="Arial" w:cs="Arial"/>
          <w:b/>
          <w:sz w:val="22"/>
          <w:szCs w:val="22"/>
        </w:rPr>
      </w:pPr>
      <w:r>
        <w:rPr>
          <w:rFonts w:ascii="Arial" w:hAnsi="Arial" w:cs="Arial"/>
          <w:b/>
          <w:sz w:val="22"/>
          <w:szCs w:val="22"/>
        </w:rPr>
        <w:t>Kulturna baština</w:t>
      </w:r>
    </w:p>
    <w:p w:rsidR="00012172" w:rsidRDefault="00012172">
      <w:pPr>
        <w:rPr>
          <w:rFonts w:ascii="Arial" w:hAnsi="Arial" w:cs="Arial"/>
          <w:b/>
          <w:sz w:val="22"/>
        </w:rPr>
      </w:pPr>
    </w:p>
    <w:p w:rsidR="0067261B" w:rsidRPr="0067261B" w:rsidRDefault="0067261B" w:rsidP="0067261B">
      <w:pPr>
        <w:spacing w:line="360" w:lineRule="auto"/>
        <w:rPr>
          <w:rFonts w:ascii="Arial" w:hAnsi="Arial" w:cs="Arial"/>
          <w:b/>
          <w:sz w:val="22"/>
          <w:szCs w:val="22"/>
        </w:rPr>
      </w:pPr>
      <w:r w:rsidRPr="0067261B">
        <w:rPr>
          <w:rFonts w:ascii="Arial" w:hAnsi="Arial" w:cs="Arial"/>
          <w:b/>
          <w:sz w:val="22"/>
          <w:szCs w:val="22"/>
        </w:rPr>
        <w:t xml:space="preserve">Inventarizacija i sistematizacija nepokretnih  kulturnih dobara  </w:t>
      </w:r>
    </w:p>
    <w:p w:rsidR="0067261B" w:rsidRPr="0067261B" w:rsidRDefault="0067261B" w:rsidP="0067261B">
      <w:pPr>
        <w:pStyle w:val="Tekstkrajnjebiljeke"/>
        <w:widowControl/>
        <w:ind w:firstLine="284"/>
        <w:jc w:val="both"/>
        <w:rPr>
          <w:rFonts w:ascii="Arial" w:hAnsi="Arial" w:cs="Arial"/>
          <w:sz w:val="22"/>
          <w:szCs w:val="22"/>
          <w:lang w:val="hr-HR"/>
        </w:rPr>
      </w:pPr>
      <w:r w:rsidRPr="0067261B">
        <w:rPr>
          <w:rFonts w:ascii="Arial" w:hAnsi="Arial" w:cs="Arial"/>
          <w:sz w:val="22"/>
          <w:szCs w:val="22"/>
        </w:rPr>
        <w:t>Unutar</w:t>
      </w:r>
      <w:r w:rsidRPr="0067261B">
        <w:rPr>
          <w:rFonts w:ascii="Arial" w:hAnsi="Arial" w:cs="Arial"/>
          <w:sz w:val="22"/>
          <w:szCs w:val="22"/>
          <w:lang w:val="hr-HR"/>
        </w:rPr>
        <w:t xml:space="preserve"> </w:t>
      </w:r>
      <w:r w:rsidRPr="0067261B">
        <w:rPr>
          <w:rFonts w:ascii="Arial" w:hAnsi="Arial" w:cs="Arial"/>
          <w:sz w:val="22"/>
          <w:szCs w:val="22"/>
        </w:rPr>
        <w:t>kulturnog</w:t>
      </w:r>
      <w:r w:rsidRPr="0067261B">
        <w:rPr>
          <w:rFonts w:ascii="Arial" w:hAnsi="Arial" w:cs="Arial"/>
          <w:sz w:val="22"/>
          <w:szCs w:val="22"/>
          <w:lang w:val="hr-HR"/>
        </w:rPr>
        <w:t xml:space="preserve"> </w:t>
      </w:r>
      <w:r w:rsidRPr="0067261B">
        <w:rPr>
          <w:rFonts w:ascii="Arial" w:hAnsi="Arial" w:cs="Arial"/>
          <w:sz w:val="22"/>
          <w:szCs w:val="22"/>
        </w:rPr>
        <w:t>krajolika</w:t>
      </w:r>
      <w:r w:rsidRPr="0067261B">
        <w:rPr>
          <w:rFonts w:ascii="Arial" w:hAnsi="Arial" w:cs="Arial"/>
          <w:sz w:val="22"/>
          <w:szCs w:val="22"/>
          <w:lang w:val="hr-HR"/>
        </w:rPr>
        <w:t xml:space="preserve"> </w:t>
      </w:r>
      <w:r w:rsidRPr="0067261B">
        <w:rPr>
          <w:rFonts w:ascii="Arial" w:hAnsi="Arial" w:cs="Arial"/>
          <w:sz w:val="22"/>
          <w:szCs w:val="22"/>
        </w:rPr>
        <w:t>promatranog</w:t>
      </w:r>
      <w:r w:rsidRPr="0067261B">
        <w:rPr>
          <w:rFonts w:ascii="Arial" w:hAnsi="Arial" w:cs="Arial"/>
          <w:sz w:val="22"/>
          <w:szCs w:val="22"/>
          <w:lang w:val="hr-HR"/>
        </w:rPr>
        <w:t xml:space="preserve"> </w:t>
      </w:r>
      <w:r w:rsidRPr="0067261B">
        <w:rPr>
          <w:rFonts w:ascii="Arial" w:hAnsi="Arial" w:cs="Arial"/>
          <w:sz w:val="22"/>
          <w:szCs w:val="22"/>
        </w:rPr>
        <w:t>podru</w:t>
      </w:r>
      <w:r w:rsidRPr="0067261B">
        <w:rPr>
          <w:rFonts w:ascii="Arial" w:hAnsi="Arial" w:cs="Arial"/>
          <w:sz w:val="22"/>
          <w:szCs w:val="22"/>
          <w:lang w:val="hr-HR"/>
        </w:rPr>
        <w:t>č</w:t>
      </w:r>
      <w:r w:rsidRPr="0067261B">
        <w:rPr>
          <w:rFonts w:ascii="Arial" w:hAnsi="Arial" w:cs="Arial"/>
          <w:sz w:val="22"/>
          <w:szCs w:val="22"/>
        </w:rPr>
        <w:t>ja</w:t>
      </w:r>
      <w:r w:rsidRPr="0067261B">
        <w:rPr>
          <w:rFonts w:ascii="Arial" w:hAnsi="Arial" w:cs="Arial"/>
          <w:sz w:val="22"/>
          <w:szCs w:val="22"/>
          <w:lang w:val="hr-HR"/>
        </w:rPr>
        <w:t xml:space="preserve"> ,</w:t>
      </w:r>
      <w:r w:rsidRPr="0067261B">
        <w:rPr>
          <w:rFonts w:ascii="Arial" w:hAnsi="Arial" w:cs="Arial"/>
          <w:sz w:val="22"/>
          <w:szCs w:val="22"/>
        </w:rPr>
        <w:t>formiranog</w:t>
      </w:r>
      <w:r w:rsidRPr="0067261B">
        <w:rPr>
          <w:rFonts w:ascii="Arial" w:hAnsi="Arial" w:cs="Arial"/>
          <w:sz w:val="22"/>
          <w:szCs w:val="22"/>
          <w:lang w:val="hr-HR"/>
        </w:rPr>
        <w:t xml:space="preserve"> </w:t>
      </w:r>
      <w:r w:rsidRPr="0067261B">
        <w:rPr>
          <w:rFonts w:ascii="Arial" w:hAnsi="Arial" w:cs="Arial"/>
          <w:sz w:val="22"/>
          <w:szCs w:val="22"/>
        </w:rPr>
        <w:t>kroz</w:t>
      </w:r>
      <w:r w:rsidRPr="0067261B">
        <w:rPr>
          <w:rFonts w:ascii="Arial" w:hAnsi="Arial" w:cs="Arial"/>
          <w:sz w:val="22"/>
          <w:szCs w:val="22"/>
          <w:lang w:val="hr-HR"/>
        </w:rPr>
        <w:t xml:space="preserve"> </w:t>
      </w:r>
      <w:r w:rsidRPr="0067261B">
        <w:rPr>
          <w:rFonts w:ascii="Arial" w:hAnsi="Arial" w:cs="Arial"/>
          <w:sz w:val="22"/>
          <w:szCs w:val="22"/>
        </w:rPr>
        <w:t>povijest</w:t>
      </w:r>
      <w:r w:rsidRPr="0067261B">
        <w:rPr>
          <w:rFonts w:ascii="Arial" w:hAnsi="Arial" w:cs="Arial"/>
          <w:sz w:val="22"/>
          <w:szCs w:val="22"/>
          <w:lang w:val="hr-HR"/>
        </w:rPr>
        <w:t xml:space="preserve">,  </w:t>
      </w:r>
      <w:r w:rsidRPr="0067261B">
        <w:rPr>
          <w:rFonts w:ascii="Arial" w:hAnsi="Arial" w:cs="Arial"/>
          <w:sz w:val="22"/>
          <w:szCs w:val="22"/>
        </w:rPr>
        <w:t>pro</w:t>
      </w:r>
      <w:r w:rsidRPr="0067261B">
        <w:rPr>
          <w:rFonts w:ascii="Arial" w:hAnsi="Arial" w:cs="Arial"/>
          <w:sz w:val="22"/>
          <w:szCs w:val="22"/>
          <w:lang w:val="hr-HR"/>
        </w:rPr>
        <w:t>ž</w:t>
      </w:r>
      <w:r w:rsidRPr="0067261B">
        <w:rPr>
          <w:rFonts w:ascii="Arial" w:hAnsi="Arial" w:cs="Arial"/>
          <w:sz w:val="22"/>
          <w:szCs w:val="22"/>
        </w:rPr>
        <w:t>imaju</w:t>
      </w:r>
      <w:r w:rsidRPr="0067261B">
        <w:rPr>
          <w:rFonts w:ascii="Arial" w:hAnsi="Arial" w:cs="Arial"/>
          <w:sz w:val="22"/>
          <w:szCs w:val="22"/>
          <w:lang w:val="hr-HR"/>
        </w:rPr>
        <w:t xml:space="preserve">  </w:t>
      </w:r>
      <w:r w:rsidRPr="0067261B">
        <w:rPr>
          <w:rFonts w:ascii="Arial" w:hAnsi="Arial" w:cs="Arial"/>
          <w:sz w:val="22"/>
          <w:szCs w:val="22"/>
        </w:rPr>
        <w:t>se</w:t>
      </w:r>
      <w:r w:rsidRPr="0067261B">
        <w:rPr>
          <w:rFonts w:ascii="Arial" w:hAnsi="Arial" w:cs="Arial"/>
          <w:sz w:val="22"/>
          <w:szCs w:val="22"/>
          <w:lang w:val="hr-HR"/>
        </w:rPr>
        <w:t xml:space="preserve"> </w:t>
      </w:r>
      <w:r w:rsidRPr="0067261B">
        <w:rPr>
          <w:rFonts w:ascii="Arial" w:hAnsi="Arial" w:cs="Arial"/>
          <w:sz w:val="22"/>
          <w:szCs w:val="22"/>
        </w:rPr>
        <w:t>prirodni</w:t>
      </w:r>
      <w:r w:rsidRPr="0067261B">
        <w:rPr>
          <w:rFonts w:ascii="Arial" w:hAnsi="Arial" w:cs="Arial"/>
          <w:sz w:val="22"/>
          <w:szCs w:val="22"/>
          <w:lang w:val="hr-HR"/>
        </w:rPr>
        <w:t xml:space="preserve"> </w:t>
      </w:r>
      <w:r w:rsidRPr="0067261B">
        <w:rPr>
          <w:rFonts w:ascii="Arial" w:hAnsi="Arial" w:cs="Arial"/>
          <w:sz w:val="22"/>
          <w:szCs w:val="22"/>
        </w:rPr>
        <w:t>i</w:t>
      </w:r>
      <w:r w:rsidRPr="0067261B">
        <w:rPr>
          <w:rFonts w:ascii="Arial" w:hAnsi="Arial" w:cs="Arial"/>
          <w:sz w:val="22"/>
          <w:szCs w:val="22"/>
          <w:lang w:val="hr-HR"/>
        </w:rPr>
        <w:t xml:space="preserve"> </w:t>
      </w:r>
      <w:r w:rsidRPr="0067261B">
        <w:rPr>
          <w:rFonts w:ascii="Arial" w:hAnsi="Arial" w:cs="Arial"/>
          <w:sz w:val="22"/>
          <w:szCs w:val="22"/>
        </w:rPr>
        <w:t>kultivirani</w:t>
      </w:r>
      <w:r w:rsidRPr="0067261B">
        <w:rPr>
          <w:rFonts w:ascii="Arial" w:hAnsi="Arial" w:cs="Arial"/>
          <w:sz w:val="22"/>
          <w:szCs w:val="22"/>
          <w:lang w:val="hr-HR"/>
        </w:rPr>
        <w:t xml:space="preserve"> </w:t>
      </w:r>
      <w:r w:rsidRPr="0067261B">
        <w:rPr>
          <w:rFonts w:ascii="Arial" w:hAnsi="Arial" w:cs="Arial"/>
          <w:sz w:val="22"/>
          <w:szCs w:val="22"/>
        </w:rPr>
        <w:t>krajolik</w:t>
      </w:r>
      <w:r w:rsidRPr="0067261B">
        <w:rPr>
          <w:rFonts w:ascii="Arial" w:hAnsi="Arial" w:cs="Arial"/>
          <w:sz w:val="22"/>
          <w:szCs w:val="22"/>
          <w:lang w:val="hr-HR"/>
        </w:rPr>
        <w:t xml:space="preserve"> </w:t>
      </w:r>
      <w:r w:rsidRPr="0067261B">
        <w:rPr>
          <w:rFonts w:ascii="Arial" w:hAnsi="Arial" w:cs="Arial"/>
          <w:sz w:val="22"/>
          <w:szCs w:val="22"/>
        </w:rPr>
        <w:t>sa</w:t>
      </w:r>
      <w:r w:rsidRPr="0067261B">
        <w:rPr>
          <w:rFonts w:ascii="Arial" w:hAnsi="Arial" w:cs="Arial"/>
          <w:sz w:val="22"/>
          <w:szCs w:val="22"/>
          <w:lang w:val="hr-HR"/>
        </w:rPr>
        <w:t xml:space="preserve"> </w:t>
      </w:r>
      <w:r w:rsidRPr="0067261B">
        <w:rPr>
          <w:rFonts w:ascii="Arial" w:hAnsi="Arial" w:cs="Arial"/>
          <w:sz w:val="22"/>
          <w:szCs w:val="22"/>
        </w:rPr>
        <w:t>graditeljskim</w:t>
      </w:r>
      <w:r w:rsidRPr="0067261B">
        <w:rPr>
          <w:rFonts w:ascii="Arial" w:hAnsi="Arial" w:cs="Arial"/>
          <w:sz w:val="22"/>
          <w:szCs w:val="22"/>
          <w:lang w:val="hr-HR"/>
        </w:rPr>
        <w:t xml:space="preserve"> </w:t>
      </w:r>
      <w:r w:rsidRPr="0067261B">
        <w:rPr>
          <w:rFonts w:ascii="Arial" w:hAnsi="Arial" w:cs="Arial"/>
          <w:sz w:val="22"/>
          <w:szCs w:val="22"/>
        </w:rPr>
        <w:t>naslije</w:t>
      </w:r>
      <w:r w:rsidRPr="0067261B">
        <w:rPr>
          <w:rFonts w:ascii="Arial" w:hAnsi="Arial" w:cs="Arial"/>
          <w:sz w:val="22"/>
          <w:szCs w:val="22"/>
          <w:lang w:val="hr-HR"/>
        </w:rPr>
        <w:t>đ</w:t>
      </w:r>
      <w:r w:rsidRPr="0067261B">
        <w:rPr>
          <w:rFonts w:ascii="Arial" w:hAnsi="Arial" w:cs="Arial"/>
          <w:sz w:val="22"/>
          <w:szCs w:val="22"/>
        </w:rPr>
        <w:t>em</w:t>
      </w:r>
      <w:r w:rsidRPr="0067261B">
        <w:rPr>
          <w:rFonts w:ascii="Arial" w:hAnsi="Arial" w:cs="Arial"/>
          <w:sz w:val="22"/>
          <w:szCs w:val="22"/>
          <w:lang w:val="hr-HR"/>
        </w:rPr>
        <w:t xml:space="preserve">, </w:t>
      </w:r>
      <w:r w:rsidRPr="0067261B">
        <w:rPr>
          <w:rFonts w:ascii="Arial" w:hAnsi="Arial" w:cs="Arial"/>
          <w:sz w:val="22"/>
          <w:szCs w:val="22"/>
        </w:rPr>
        <w:t>pa</w:t>
      </w:r>
      <w:r w:rsidRPr="0067261B">
        <w:rPr>
          <w:rFonts w:ascii="Arial" w:hAnsi="Arial" w:cs="Arial"/>
          <w:sz w:val="22"/>
          <w:szCs w:val="22"/>
          <w:lang w:val="hr-HR"/>
        </w:rPr>
        <w:t xml:space="preserve"> </w:t>
      </w:r>
      <w:r w:rsidRPr="0067261B">
        <w:rPr>
          <w:rFonts w:ascii="Arial" w:hAnsi="Arial" w:cs="Arial"/>
          <w:sz w:val="22"/>
          <w:szCs w:val="22"/>
        </w:rPr>
        <w:t>ih</w:t>
      </w:r>
      <w:r w:rsidRPr="0067261B">
        <w:rPr>
          <w:rFonts w:ascii="Arial" w:hAnsi="Arial" w:cs="Arial"/>
          <w:sz w:val="22"/>
          <w:szCs w:val="22"/>
          <w:lang w:val="hr-HR"/>
        </w:rPr>
        <w:t xml:space="preserve">  </w:t>
      </w:r>
      <w:r w:rsidRPr="0067261B">
        <w:rPr>
          <w:rFonts w:ascii="Arial" w:hAnsi="Arial" w:cs="Arial"/>
          <w:sz w:val="22"/>
          <w:szCs w:val="22"/>
        </w:rPr>
        <w:t>valoriziramo</w:t>
      </w:r>
      <w:r w:rsidRPr="0067261B">
        <w:rPr>
          <w:rFonts w:ascii="Arial" w:hAnsi="Arial" w:cs="Arial"/>
          <w:sz w:val="22"/>
          <w:szCs w:val="22"/>
          <w:lang w:val="hr-HR"/>
        </w:rPr>
        <w:t xml:space="preserve"> </w:t>
      </w:r>
      <w:r w:rsidRPr="0067261B">
        <w:rPr>
          <w:rFonts w:ascii="Arial" w:hAnsi="Arial" w:cs="Arial"/>
          <w:sz w:val="22"/>
          <w:szCs w:val="22"/>
        </w:rPr>
        <w:t>sagledavaju</w:t>
      </w:r>
      <w:r w:rsidRPr="0067261B">
        <w:rPr>
          <w:rFonts w:ascii="Arial" w:hAnsi="Arial" w:cs="Arial"/>
          <w:sz w:val="22"/>
          <w:szCs w:val="22"/>
          <w:lang w:val="hr-HR"/>
        </w:rPr>
        <w:t>ć</w:t>
      </w:r>
      <w:r w:rsidRPr="0067261B">
        <w:rPr>
          <w:rFonts w:ascii="Arial" w:hAnsi="Arial" w:cs="Arial"/>
          <w:sz w:val="22"/>
          <w:szCs w:val="22"/>
        </w:rPr>
        <w:t>i</w:t>
      </w:r>
      <w:r w:rsidRPr="0067261B">
        <w:rPr>
          <w:rFonts w:ascii="Arial" w:hAnsi="Arial" w:cs="Arial"/>
          <w:sz w:val="22"/>
          <w:szCs w:val="22"/>
          <w:lang w:val="hr-HR"/>
        </w:rPr>
        <w:t xml:space="preserve"> </w:t>
      </w:r>
      <w:r w:rsidRPr="0067261B">
        <w:rPr>
          <w:rFonts w:ascii="Arial" w:hAnsi="Arial" w:cs="Arial"/>
          <w:sz w:val="22"/>
          <w:szCs w:val="22"/>
        </w:rPr>
        <w:t>ih</w:t>
      </w:r>
      <w:r w:rsidRPr="0067261B">
        <w:rPr>
          <w:rFonts w:ascii="Arial" w:hAnsi="Arial" w:cs="Arial"/>
          <w:sz w:val="22"/>
          <w:szCs w:val="22"/>
          <w:lang w:val="hr-HR"/>
        </w:rPr>
        <w:t xml:space="preserve"> kao integralnu kulturnu baštinu</w:t>
      </w:r>
      <w:r>
        <w:rPr>
          <w:rFonts w:ascii="Arial" w:hAnsi="Arial" w:cs="Arial"/>
          <w:sz w:val="22"/>
          <w:szCs w:val="22"/>
          <w:lang w:val="hr-HR"/>
        </w:rPr>
        <w:t xml:space="preserve">. </w:t>
      </w:r>
      <w:r w:rsidRPr="0067261B">
        <w:rPr>
          <w:rFonts w:ascii="Arial" w:hAnsi="Arial" w:cs="Arial"/>
          <w:sz w:val="22"/>
          <w:szCs w:val="22"/>
        </w:rPr>
        <w:t>Na</w:t>
      </w:r>
      <w:r w:rsidRPr="0067261B">
        <w:rPr>
          <w:rFonts w:ascii="Arial" w:hAnsi="Arial" w:cs="Arial"/>
          <w:sz w:val="22"/>
          <w:szCs w:val="22"/>
          <w:lang w:val="hr-HR"/>
        </w:rPr>
        <w:t xml:space="preserve"> </w:t>
      </w:r>
      <w:r w:rsidRPr="0067261B">
        <w:rPr>
          <w:rFonts w:ascii="Arial" w:hAnsi="Arial" w:cs="Arial"/>
          <w:sz w:val="22"/>
          <w:szCs w:val="22"/>
        </w:rPr>
        <w:t>osnovu</w:t>
      </w:r>
      <w:r w:rsidRPr="0067261B">
        <w:rPr>
          <w:rFonts w:ascii="Arial" w:hAnsi="Arial" w:cs="Arial"/>
          <w:sz w:val="22"/>
          <w:szCs w:val="22"/>
          <w:lang w:val="hr-HR"/>
        </w:rPr>
        <w:t xml:space="preserve"> </w:t>
      </w:r>
      <w:r w:rsidRPr="0067261B">
        <w:rPr>
          <w:rFonts w:ascii="Arial" w:hAnsi="Arial" w:cs="Arial"/>
          <w:sz w:val="22"/>
          <w:szCs w:val="22"/>
        </w:rPr>
        <w:t>sveobuhvatne</w:t>
      </w:r>
      <w:r w:rsidRPr="0067261B">
        <w:rPr>
          <w:rFonts w:ascii="Arial" w:hAnsi="Arial" w:cs="Arial"/>
          <w:sz w:val="22"/>
          <w:szCs w:val="22"/>
          <w:lang w:val="hr-HR"/>
        </w:rPr>
        <w:t xml:space="preserve">  </w:t>
      </w:r>
      <w:r w:rsidRPr="0067261B">
        <w:rPr>
          <w:rFonts w:ascii="Arial" w:hAnsi="Arial" w:cs="Arial"/>
          <w:sz w:val="22"/>
          <w:szCs w:val="22"/>
        </w:rPr>
        <w:t>evidencije</w:t>
      </w:r>
      <w:r w:rsidRPr="0067261B">
        <w:rPr>
          <w:rFonts w:ascii="Arial" w:hAnsi="Arial" w:cs="Arial"/>
          <w:sz w:val="22"/>
          <w:szCs w:val="22"/>
          <w:lang w:val="hr-HR"/>
        </w:rPr>
        <w:t xml:space="preserve"> </w:t>
      </w:r>
      <w:r w:rsidRPr="0067261B">
        <w:rPr>
          <w:rFonts w:ascii="Arial" w:hAnsi="Arial" w:cs="Arial"/>
          <w:sz w:val="22"/>
          <w:szCs w:val="22"/>
        </w:rPr>
        <w:t>i</w:t>
      </w:r>
      <w:r w:rsidRPr="0067261B">
        <w:rPr>
          <w:rFonts w:ascii="Arial" w:hAnsi="Arial" w:cs="Arial"/>
          <w:sz w:val="22"/>
          <w:szCs w:val="22"/>
          <w:lang w:val="hr-HR"/>
        </w:rPr>
        <w:t xml:space="preserve"> </w:t>
      </w:r>
      <w:r w:rsidRPr="0067261B">
        <w:rPr>
          <w:rFonts w:ascii="Arial" w:hAnsi="Arial" w:cs="Arial"/>
          <w:sz w:val="22"/>
          <w:szCs w:val="22"/>
        </w:rPr>
        <w:t>valorizacije</w:t>
      </w:r>
      <w:r w:rsidRPr="0067261B">
        <w:rPr>
          <w:rFonts w:ascii="Arial" w:hAnsi="Arial" w:cs="Arial"/>
          <w:sz w:val="22"/>
          <w:szCs w:val="22"/>
          <w:lang w:val="hr-HR"/>
        </w:rPr>
        <w:t xml:space="preserve"> </w:t>
      </w:r>
      <w:r w:rsidRPr="0067261B">
        <w:rPr>
          <w:rFonts w:ascii="Arial" w:hAnsi="Arial" w:cs="Arial"/>
          <w:sz w:val="22"/>
          <w:szCs w:val="22"/>
        </w:rPr>
        <w:t>kulturno</w:t>
      </w:r>
      <w:r w:rsidRPr="0067261B">
        <w:rPr>
          <w:rFonts w:ascii="Arial" w:hAnsi="Arial" w:cs="Arial"/>
          <w:sz w:val="22"/>
          <w:szCs w:val="22"/>
          <w:lang w:val="hr-HR"/>
        </w:rPr>
        <w:t xml:space="preserve"> </w:t>
      </w:r>
      <w:r w:rsidRPr="0067261B">
        <w:rPr>
          <w:rFonts w:ascii="Arial" w:hAnsi="Arial" w:cs="Arial"/>
          <w:sz w:val="22"/>
          <w:szCs w:val="22"/>
        </w:rPr>
        <w:t>povijesnih</w:t>
      </w:r>
      <w:r w:rsidRPr="0067261B">
        <w:rPr>
          <w:rFonts w:ascii="Arial" w:hAnsi="Arial" w:cs="Arial"/>
          <w:sz w:val="22"/>
          <w:szCs w:val="22"/>
          <w:lang w:val="hr-HR"/>
        </w:rPr>
        <w:t xml:space="preserve"> </w:t>
      </w:r>
      <w:r w:rsidRPr="0067261B">
        <w:rPr>
          <w:rFonts w:ascii="Arial" w:hAnsi="Arial" w:cs="Arial"/>
          <w:sz w:val="22"/>
          <w:szCs w:val="22"/>
        </w:rPr>
        <w:t>i</w:t>
      </w:r>
      <w:r w:rsidRPr="0067261B">
        <w:rPr>
          <w:rFonts w:ascii="Arial" w:hAnsi="Arial" w:cs="Arial"/>
          <w:sz w:val="22"/>
          <w:szCs w:val="22"/>
          <w:lang w:val="hr-HR"/>
        </w:rPr>
        <w:t xml:space="preserve"> </w:t>
      </w:r>
      <w:r w:rsidRPr="0067261B">
        <w:rPr>
          <w:rFonts w:ascii="Arial" w:hAnsi="Arial" w:cs="Arial"/>
          <w:sz w:val="22"/>
          <w:szCs w:val="22"/>
        </w:rPr>
        <w:t>prostornih</w:t>
      </w:r>
      <w:r w:rsidRPr="0067261B">
        <w:rPr>
          <w:rFonts w:ascii="Arial" w:hAnsi="Arial" w:cs="Arial"/>
          <w:sz w:val="22"/>
          <w:szCs w:val="22"/>
          <w:lang w:val="hr-HR"/>
        </w:rPr>
        <w:t xml:space="preserve"> </w:t>
      </w:r>
      <w:r w:rsidRPr="0067261B">
        <w:rPr>
          <w:rFonts w:ascii="Arial" w:hAnsi="Arial" w:cs="Arial"/>
          <w:sz w:val="22"/>
          <w:szCs w:val="22"/>
        </w:rPr>
        <w:t>vrijednosti</w:t>
      </w:r>
      <w:r w:rsidRPr="0067261B">
        <w:rPr>
          <w:rFonts w:ascii="Arial" w:hAnsi="Arial" w:cs="Arial"/>
          <w:sz w:val="22"/>
          <w:szCs w:val="22"/>
          <w:lang w:val="hr-HR"/>
        </w:rPr>
        <w:t xml:space="preserve"> </w:t>
      </w:r>
      <w:r w:rsidRPr="0067261B">
        <w:rPr>
          <w:rFonts w:ascii="Arial" w:hAnsi="Arial" w:cs="Arial"/>
          <w:sz w:val="22"/>
          <w:szCs w:val="22"/>
        </w:rPr>
        <w:t>podru</w:t>
      </w:r>
      <w:r w:rsidRPr="0067261B">
        <w:rPr>
          <w:rFonts w:ascii="Arial" w:hAnsi="Arial" w:cs="Arial"/>
          <w:sz w:val="22"/>
          <w:szCs w:val="22"/>
          <w:lang w:val="hr-HR"/>
        </w:rPr>
        <w:t>č</w:t>
      </w:r>
      <w:r w:rsidRPr="0067261B">
        <w:rPr>
          <w:rFonts w:ascii="Arial" w:hAnsi="Arial" w:cs="Arial"/>
          <w:sz w:val="22"/>
          <w:szCs w:val="22"/>
        </w:rPr>
        <w:t>ja</w:t>
      </w:r>
      <w:r w:rsidRPr="0067261B">
        <w:rPr>
          <w:rFonts w:ascii="Arial" w:hAnsi="Arial" w:cs="Arial"/>
          <w:sz w:val="22"/>
          <w:szCs w:val="22"/>
          <w:lang w:val="hr-HR"/>
        </w:rPr>
        <w:t xml:space="preserve">  </w:t>
      </w:r>
      <w:r w:rsidRPr="0067261B">
        <w:rPr>
          <w:rFonts w:ascii="Arial" w:hAnsi="Arial" w:cs="Arial"/>
          <w:sz w:val="22"/>
          <w:szCs w:val="22"/>
        </w:rPr>
        <w:t>op</w:t>
      </w:r>
      <w:r w:rsidRPr="0067261B">
        <w:rPr>
          <w:rFonts w:ascii="Arial" w:hAnsi="Arial" w:cs="Arial"/>
          <w:sz w:val="22"/>
          <w:szCs w:val="22"/>
          <w:lang w:val="hr-HR"/>
        </w:rPr>
        <w:t>ć</w:t>
      </w:r>
      <w:r w:rsidRPr="0067261B">
        <w:rPr>
          <w:rFonts w:ascii="Arial" w:hAnsi="Arial" w:cs="Arial"/>
          <w:sz w:val="22"/>
          <w:szCs w:val="22"/>
        </w:rPr>
        <w:t>ine</w:t>
      </w:r>
      <w:r w:rsidRPr="0067261B">
        <w:rPr>
          <w:rFonts w:ascii="Arial" w:hAnsi="Arial" w:cs="Arial"/>
          <w:sz w:val="22"/>
          <w:szCs w:val="22"/>
          <w:lang w:val="hr-HR"/>
        </w:rPr>
        <w:t xml:space="preserve"> </w:t>
      </w:r>
      <w:r w:rsidRPr="0067261B">
        <w:rPr>
          <w:rFonts w:ascii="Arial" w:hAnsi="Arial" w:cs="Arial"/>
          <w:sz w:val="22"/>
          <w:szCs w:val="22"/>
        </w:rPr>
        <w:t>Gornje</w:t>
      </w:r>
      <w:r w:rsidRPr="0067261B">
        <w:rPr>
          <w:rFonts w:ascii="Arial" w:hAnsi="Arial" w:cs="Arial"/>
          <w:sz w:val="22"/>
          <w:szCs w:val="22"/>
          <w:lang w:val="hr-HR"/>
        </w:rPr>
        <w:t xml:space="preserve"> </w:t>
      </w:r>
      <w:r w:rsidRPr="0067261B">
        <w:rPr>
          <w:rFonts w:ascii="Arial" w:hAnsi="Arial" w:cs="Arial"/>
          <w:sz w:val="22"/>
          <w:szCs w:val="22"/>
        </w:rPr>
        <w:t>Rijeke</w:t>
      </w:r>
      <w:r w:rsidRPr="0067261B">
        <w:rPr>
          <w:rFonts w:ascii="Arial" w:hAnsi="Arial" w:cs="Arial"/>
          <w:sz w:val="22"/>
          <w:szCs w:val="22"/>
          <w:lang w:val="hr-HR"/>
        </w:rPr>
        <w:t>,</w:t>
      </w:r>
      <w:r w:rsidRPr="0067261B">
        <w:rPr>
          <w:rFonts w:ascii="Arial" w:hAnsi="Arial" w:cs="Arial"/>
          <w:sz w:val="22"/>
          <w:szCs w:val="22"/>
        </w:rPr>
        <w:t>napravljena</w:t>
      </w:r>
      <w:r w:rsidRPr="0067261B">
        <w:rPr>
          <w:rFonts w:ascii="Arial" w:hAnsi="Arial" w:cs="Arial"/>
          <w:sz w:val="22"/>
          <w:szCs w:val="22"/>
          <w:lang w:val="hr-HR"/>
        </w:rPr>
        <w:t xml:space="preserve"> </w:t>
      </w:r>
      <w:r w:rsidRPr="0067261B">
        <w:rPr>
          <w:rFonts w:ascii="Arial" w:hAnsi="Arial" w:cs="Arial"/>
          <w:sz w:val="22"/>
          <w:szCs w:val="22"/>
        </w:rPr>
        <w:t>je</w:t>
      </w:r>
      <w:r w:rsidRPr="0067261B">
        <w:rPr>
          <w:rFonts w:ascii="Arial" w:hAnsi="Arial" w:cs="Arial"/>
          <w:sz w:val="22"/>
          <w:szCs w:val="22"/>
          <w:lang w:val="hr-HR"/>
        </w:rPr>
        <w:t xml:space="preserve"> </w:t>
      </w:r>
      <w:r w:rsidRPr="0067261B">
        <w:rPr>
          <w:rFonts w:ascii="Arial" w:hAnsi="Arial" w:cs="Arial"/>
          <w:sz w:val="22"/>
          <w:szCs w:val="22"/>
        </w:rPr>
        <w:t>njihova</w:t>
      </w:r>
      <w:r w:rsidRPr="0067261B">
        <w:rPr>
          <w:rFonts w:ascii="Arial" w:hAnsi="Arial" w:cs="Arial"/>
          <w:sz w:val="22"/>
          <w:szCs w:val="22"/>
          <w:lang w:val="hr-HR"/>
        </w:rPr>
        <w:t xml:space="preserve">  </w:t>
      </w:r>
      <w:r w:rsidRPr="0067261B">
        <w:rPr>
          <w:rFonts w:ascii="Arial" w:hAnsi="Arial" w:cs="Arial"/>
          <w:sz w:val="22"/>
          <w:szCs w:val="22"/>
        </w:rPr>
        <w:t>inventarizacija</w:t>
      </w:r>
      <w:r w:rsidRPr="0067261B">
        <w:rPr>
          <w:rFonts w:ascii="Arial" w:hAnsi="Arial" w:cs="Arial"/>
          <w:sz w:val="22"/>
          <w:szCs w:val="22"/>
          <w:lang w:val="hr-HR"/>
        </w:rPr>
        <w:t xml:space="preserve"> </w:t>
      </w:r>
      <w:r w:rsidRPr="0067261B">
        <w:rPr>
          <w:rFonts w:ascii="Arial" w:hAnsi="Arial" w:cs="Arial"/>
          <w:sz w:val="22"/>
          <w:szCs w:val="22"/>
        </w:rPr>
        <w:t>i</w:t>
      </w:r>
      <w:r w:rsidRPr="0067261B">
        <w:rPr>
          <w:rFonts w:ascii="Arial" w:hAnsi="Arial" w:cs="Arial"/>
          <w:sz w:val="22"/>
          <w:szCs w:val="22"/>
          <w:lang w:val="hr-HR"/>
        </w:rPr>
        <w:t xml:space="preserve"> </w:t>
      </w:r>
      <w:r w:rsidRPr="0067261B">
        <w:rPr>
          <w:rFonts w:ascii="Arial" w:hAnsi="Arial" w:cs="Arial"/>
          <w:sz w:val="22"/>
          <w:szCs w:val="22"/>
        </w:rPr>
        <w:t>sistematizacija</w:t>
      </w:r>
      <w:r w:rsidRPr="0067261B">
        <w:rPr>
          <w:rFonts w:ascii="Arial" w:hAnsi="Arial" w:cs="Arial"/>
          <w:sz w:val="22"/>
          <w:szCs w:val="22"/>
          <w:lang w:val="hr-HR"/>
        </w:rPr>
        <w:t xml:space="preserve">  </w:t>
      </w:r>
      <w:r w:rsidRPr="0067261B">
        <w:rPr>
          <w:rFonts w:ascii="Arial" w:hAnsi="Arial" w:cs="Arial"/>
          <w:sz w:val="22"/>
          <w:szCs w:val="22"/>
        </w:rPr>
        <w:t>prema</w:t>
      </w:r>
      <w:r w:rsidRPr="0067261B">
        <w:rPr>
          <w:rFonts w:ascii="Arial" w:hAnsi="Arial" w:cs="Arial"/>
          <w:sz w:val="22"/>
          <w:szCs w:val="22"/>
          <w:lang w:val="hr-HR"/>
        </w:rPr>
        <w:t xml:space="preserve">  </w:t>
      </w:r>
      <w:r w:rsidRPr="0067261B">
        <w:rPr>
          <w:rFonts w:ascii="Arial" w:hAnsi="Arial" w:cs="Arial"/>
          <w:sz w:val="22"/>
          <w:szCs w:val="22"/>
        </w:rPr>
        <w:t>prema</w:t>
      </w:r>
      <w:r w:rsidRPr="0067261B">
        <w:rPr>
          <w:rFonts w:ascii="Arial" w:hAnsi="Arial" w:cs="Arial"/>
          <w:sz w:val="22"/>
          <w:szCs w:val="22"/>
          <w:lang w:val="hr-HR"/>
        </w:rPr>
        <w:t xml:space="preserve"> </w:t>
      </w:r>
      <w:r w:rsidRPr="0067261B">
        <w:rPr>
          <w:rFonts w:ascii="Arial" w:hAnsi="Arial" w:cs="Arial"/>
          <w:sz w:val="22"/>
          <w:szCs w:val="22"/>
        </w:rPr>
        <w:t>Zakonu</w:t>
      </w:r>
      <w:r w:rsidRPr="0067261B">
        <w:rPr>
          <w:rFonts w:ascii="Arial" w:hAnsi="Arial" w:cs="Arial"/>
          <w:sz w:val="22"/>
          <w:szCs w:val="22"/>
          <w:lang w:val="hr-HR"/>
        </w:rPr>
        <w:t xml:space="preserve"> </w:t>
      </w:r>
      <w:r w:rsidRPr="0067261B">
        <w:rPr>
          <w:rFonts w:ascii="Arial" w:hAnsi="Arial" w:cs="Arial"/>
          <w:sz w:val="22"/>
          <w:szCs w:val="22"/>
        </w:rPr>
        <w:t>o</w:t>
      </w:r>
      <w:r w:rsidRPr="0067261B">
        <w:rPr>
          <w:rFonts w:ascii="Arial" w:hAnsi="Arial" w:cs="Arial"/>
          <w:sz w:val="22"/>
          <w:szCs w:val="22"/>
          <w:lang w:val="hr-HR"/>
        </w:rPr>
        <w:t xml:space="preserve"> </w:t>
      </w:r>
      <w:r w:rsidRPr="0067261B">
        <w:rPr>
          <w:rFonts w:ascii="Arial" w:hAnsi="Arial" w:cs="Arial"/>
          <w:sz w:val="22"/>
          <w:szCs w:val="22"/>
        </w:rPr>
        <w:t>za</w:t>
      </w:r>
      <w:r w:rsidRPr="0067261B">
        <w:rPr>
          <w:rFonts w:ascii="Arial" w:hAnsi="Arial" w:cs="Arial"/>
          <w:sz w:val="22"/>
          <w:szCs w:val="22"/>
          <w:lang w:val="hr-HR"/>
        </w:rPr>
        <w:t>š</w:t>
      </w:r>
      <w:r w:rsidRPr="0067261B">
        <w:rPr>
          <w:rFonts w:ascii="Arial" w:hAnsi="Arial" w:cs="Arial"/>
          <w:sz w:val="22"/>
          <w:szCs w:val="22"/>
        </w:rPr>
        <w:t>titi</w:t>
      </w:r>
      <w:r w:rsidRPr="0067261B">
        <w:rPr>
          <w:rFonts w:ascii="Arial" w:hAnsi="Arial" w:cs="Arial"/>
          <w:sz w:val="22"/>
          <w:szCs w:val="22"/>
          <w:lang w:val="hr-HR"/>
        </w:rPr>
        <w:t xml:space="preserve"> </w:t>
      </w:r>
      <w:r w:rsidRPr="0067261B">
        <w:rPr>
          <w:rFonts w:ascii="Arial" w:hAnsi="Arial" w:cs="Arial"/>
          <w:sz w:val="22"/>
          <w:szCs w:val="22"/>
        </w:rPr>
        <w:t>kulturnih</w:t>
      </w:r>
      <w:r w:rsidRPr="0067261B">
        <w:rPr>
          <w:rFonts w:ascii="Arial" w:hAnsi="Arial" w:cs="Arial"/>
          <w:sz w:val="22"/>
          <w:szCs w:val="22"/>
          <w:lang w:val="hr-HR"/>
        </w:rPr>
        <w:t xml:space="preserve"> </w:t>
      </w:r>
      <w:r w:rsidRPr="0067261B">
        <w:rPr>
          <w:rFonts w:ascii="Arial" w:hAnsi="Arial" w:cs="Arial"/>
          <w:sz w:val="22"/>
          <w:szCs w:val="22"/>
        </w:rPr>
        <w:t>dobara</w:t>
      </w:r>
      <w:r w:rsidRPr="0067261B">
        <w:rPr>
          <w:rFonts w:ascii="Arial" w:hAnsi="Arial" w:cs="Arial"/>
          <w:sz w:val="22"/>
          <w:szCs w:val="22"/>
          <w:lang w:val="hr-HR"/>
        </w:rPr>
        <w:t xml:space="preserve">  </w:t>
      </w:r>
      <w:r w:rsidRPr="0067261B">
        <w:rPr>
          <w:rFonts w:ascii="Arial" w:hAnsi="Arial" w:cs="Arial"/>
          <w:sz w:val="22"/>
          <w:szCs w:val="22"/>
        </w:rPr>
        <w:t>R</w:t>
      </w:r>
      <w:r w:rsidRPr="0067261B">
        <w:rPr>
          <w:rFonts w:ascii="Arial" w:hAnsi="Arial" w:cs="Arial"/>
          <w:sz w:val="22"/>
          <w:szCs w:val="22"/>
          <w:lang w:val="hr-HR"/>
        </w:rPr>
        <w:t>.</w:t>
      </w:r>
      <w:r w:rsidRPr="0067261B">
        <w:rPr>
          <w:rFonts w:ascii="Arial" w:hAnsi="Arial" w:cs="Arial"/>
          <w:sz w:val="22"/>
          <w:szCs w:val="22"/>
        </w:rPr>
        <w:t>H</w:t>
      </w:r>
      <w:r w:rsidRPr="0067261B">
        <w:rPr>
          <w:rFonts w:ascii="Arial" w:hAnsi="Arial" w:cs="Arial"/>
          <w:sz w:val="22"/>
          <w:szCs w:val="22"/>
          <w:lang w:val="hr-HR"/>
        </w:rPr>
        <w:t xml:space="preserve">. </w:t>
      </w:r>
    </w:p>
    <w:p w:rsidR="0067261B" w:rsidRPr="0067261B" w:rsidRDefault="0067261B" w:rsidP="0067261B">
      <w:pPr>
        <w:pStyle w:val="Tijeloteksta"/>
        <w:jc w:val="both"/>
        <w:rPr>
          <w:rFonts w:ascii="Arial" w:hAnsi="Arial" w:cs="Arial"/>
          <w:sz w:val="22"/>
        </w:rPr>
      </w:pPr>
      <w:r w:rsidRPr="0067261B">
        <w:rPr>
          <w:rFonts w:ascii="Arial" w:hAnsi="Arial" w:cs="Arial"/>
          <w:sz w:val="22"/>
        </w:rPr>
        <w:t xml:space="preserve">Evidencijom zatećenih kulturno povijesnih vrijednosti u skladu sa suvremenim  načelima i prihvaćenim stručnim konzervatorskim standardima vrednovanja integralne kulturne baštine povećao  se i  broj dobara za koje se predpostavlja da imaju svojstva kulturnog dobra kao i  dobara  lokalne vrijednosti  koji  svojim tipološkim  obilježjima  doprinose prepoznatljivosti i vrijednosti toga prostora i obogačuju kulturno povijesni i prirodni ambient . Ta dobra naročito su značajna  za  lokalnu zajednicu te je u njezinom interesu da se o njima skrbi na način da se omogući sprovođenje svih onih mjera zaštite i očuvanja koje Zakon </w:t>
      </w:r>
      <w:r>
        <w:rPr>
          <w:rFonts w:ascii="Arial" w:hAnsi="Arial" w:cs="Arial"/>
          <w:sz w:val="22"/>
        </w:rPr>
        <w:t>propisuje kod kulturnih dobara.</w:t>
      </w:r>
    </w:p>
    <w:p w:rsidR="0067261B" w:rsidRDefault="0067261B" w:rsidP="0067261B">
      <w:pPr>
        <w:jc w:val="both"/>
        <w:rPr>
          <w:rFonts w:ascii="Arial" w:hAnsi="Arial" w:cs="Arial"/>
          <w:sz w:val="22"/>
          <w:szCs w:val="22"/>
        </w:rPr>
      </w:pPr>
      <w:r w:rsidRPr="00A577D4">
        <w:rPr>
          <w:rFonts w:ascii="Arial" w:hAnsi="Arial" w:cs="Arial"/>
          <w:sz w:val="22"/>
          <w:szCs w:val="22"/>
        </w:rPr>
        <w:t>Kako bi sačuvali najvrijednije prostore i pojedinačne građevine tradicijske izgradnje ,</w:t>
      </w:r>
      <w:r>
        <w:rPr>
          <w:rFonts w:ascii="Arial" w:hAnsi="Arial" w:cs="Arial"/>
          <w:sz w:val="22"/>
          <w:szCs w:val="22"/>
        </w:rPr>
        <w:t xml:space="preserve">osim već zaštićenih kulturnih dobara  </w:t>
      </w:r>
      <w:r w:rsidRPr="0085689E">
        <w:rPr>
          <w:rFonts w:ascii="Arial" w:hAnsi="Arial" w:cs="Arial"/>
          <w:b/>
          <w:sz w:val="22"/>
          <w:szCs w:val="22"/>
        </w:rPr>
        <w:t>R</w:t>
      </w:r>
      <w:r>
        <w:rPr>
          <w:rFonts w:ascii="Arial" w:hAnsi="Arial" w:cs="Arial"/>
          <w:b/>
          <w:sz w:val="22"/>
          <w:szCs w:val="22"/>
        </w:rPr>
        <w:t>- registracija  ili PR-preventivna zaštita</w:t>
      </w:r>
      <w:r w:rsidRPr="00A577D4">
        <w:rPr>
          <w:rFonts w:ascii="Arial" w:hAnsi="Arial" w:cs="Arial"/>
          <w:sz w:val="22"/>
          <w:szCs w:val="22"/>
        </w:rPr>
        <w:t xml:space="preserve"> predloženi su za zaštitu djelovi naselja (potezi i manje skupine</w:t>
      </w:r>
      <w:r>
        <w:rPr>
          <w:rFonts w:ascii="Arial" w:hAnsi="Arial" w:cs="Arial"/>
          <w:b/>
          <w:sz w:val="22"/>
          <w:szCs w:val="22"/>
        </w:rPr>
        <w:t>,</w:t>
      </w:r>
      <w:r w:rsidRPr="00A577D4">
        <w:rPr>
          <w:rFonts w:ascii="Arial" w:hAnsi="Arial" w:cs="Arial"/>
          <w:sz w:val="22"/>
          <w:szCs w:val="22"/>
        </w:rPr>
        <w:t xml:space="preserve">obuhvaćeni  zonom zaštite drugog stupnja </w:t>
      </w:r>
      <w:r>
        <w:rPr>
          <w:rFonts w:ascii="Arial" w:hAnsi="Arial" w:cs="Arial"/>
          <w:sz w:val="22"/>
          <w:szCs w:val="22"/>
        </w:rPr>
        <w:t xml:space="preserve">, te </w:t>
      </w:r>
      <w:r w:rsidRPr="00A577D4">
        <w:rPr>
          <w:rFonts w:ascii="Arial" w:hAnsi="Arial" w:cs="Arial"/>
          <w:sz w:val="22"/>
          <w:szCs w:val="22"/>
        </w:rPr>
        <w:t>pojedinačn</w:t>
      </w:r>
      <w:r>
        <w:rPr>
          <w:rFonts w:ascii="Arial" w:hAnsi="Arial" w:cs="Arial"/>
          <w:sz w:val="22"/>
          <w:szCs w:val="22"/>
        </w:rPr>
        <w:t>i objekti sa njihovim pripadajućim okolišem,</w:t>
      </w:r>
      <w:r w:rsidRPr="00A577D4">
        <w:rPr>
          <w:rFonts w:ascii="Arial" w:hAnsi="Arial" w:cs="Arial"/>
          <w:b/>
          <w:sz w:val="22"/>
          <w:szCs w:val="22"/>
        </w:rPr>
        <w:t xml:space="preserve"> PZ</w:t>
      </w:r>
      <w:r>
        <w:rPr>
          <w:rFonts w:ascii="Arial" w:hAnsi="Arial" w:cs="Arial"/>
          <w:b/>
          <w:sz w:val="22"/>
          <w:szCs w:val="22"/>
        </w:rPr>
        <w:t>-prijedlog zaštite ,</w:t>
      </w:r>
      <w:r w:rsidRPr="00A577D4">
        <w:rPr>
          <w:rFonts w:ascii="Arial" w:hAnsi="Arial" w:cs="Arial"/>
          <w:sz w:val="22"/>
          <w:szCs w:val="22"/>
        </w:rPr>
        <w:t>dok za  ostale</w:t>
      </w:r>
      <w:r>
        <w:rPr>
          <w:rFonts w:ascii="Arial" w:hAnsi="Arial" w:cs="Arial"/>
          <w:sz w:val="22"/>
          <w:szCs w:val="22"/>
        </w:rPr>
        <w:t xml:space="preserve"> evidentirane kulturno povijesne vrijednosti</w:t>
      </w:r>
      <w:r w:rsidRPr="00A577D4">
        <w:rPr>
          <w:rFonts w:ascii="Arial" w:hAnsi="Arial" w:cs="Arial"/>
          <w:sz w:val="22"/>
          <w:szCs w:val="22"/>
        </w:rPr>
        <w:t xml:space="preserve"> </w:t>
      </w:r>
      <w:r w:rsidRPr="00FF6A81">
        <w:rPr>
          <w:rFonts w:ascii="Arial" w:hAnsi="Arial" w:cs="Arial"/>
          <w:b/>
          <w:sz w:val="22"/>
          <w:szCs w:val="22"/>
        </w:rPr>
        <w:t>E</w:t>
      </w:r>
      <w:r w:rsidRPr="00A577D4">
        <w:rPr>
          <w:rFonts w:ascii="Arial" w:hAnsi="Arial" w:cs="Arial"/>
          <w:sz w:val="22"/>
          <w:szCs w:val="22"/>
        </w:rPr>
        <w:t xml:space="preserve"> </w:t>
      </w:r>
      <w:r>
        <w:rPr>
          <w:rFonts w:ascii="Arial" w:hAnsi="Arial" w:cs="Arial"/>
          <w:sz w:val="22"/>
          <w:szCs w:val="22"/>
        </w:rPr>
        <w:t>,</w:t>
      </w:r>
      <w:r w:rsidRPr="00A577D4">
        <w:rPr>
          <w:rFonts w:ascii="Arial" w:hAnsi="Arial" w:cs="Arial"/>
          <w:sz w:val="22"/>
          <w:szCs w:val="22"/>
        </w:rPr>
        <w:t xml:space="preserve">date su preporuke za </w:t>
      </w:r>
      <w:r>
        <w:rPr>
          <w:rFonts w:ascii="Arial" w:hAnsi="Arial" w:cs="Arial"/>
          <w:sz w:val="22"/>
          <w:szCs w:val="22"/>
        </w:rPr>
        <w:t>njihovo očuvanje.</w:t>
      </w:r>
    </w:p>
    <w:p w:rsidR="0067261B" w:rsidRDefault="0067261B" w:rsidP="0067261B">
      <w:pPr>
        <w:jc w:val="both"/>
        <w:rPr>
          <w:rFonts w:ascii="Arial" w:hAnsi="Arial" w:cs="Arial"/>
          <w:sz w:val="22"/>
          <w:szCs w:val="22"/>
        </w:rPr>
      </w:pPr>
      <w:r>
        <w:rPr>
          <w:rFonts w:ascii="Arial" w:hAnsi="Arial" w:cs="Arial"/>
          <w:sz w:val="22"/>
          <w:szCs w:val="22"/>
        </w:rPr>
        <w:t xml:space="preserve">Zbog nepotpune i nekonsekventne  numeracije  objekata  te mnogo napuštenih kuća u selima, u priloženom  </w:t>
      </w:r>
      <w:r>
        <w:rPr>
          <w:rFonts w:ascii="Arial" w:hAnsi="Arial" w:cs="Arial"/>
          <w:b/>
          <w:sz w:val="22"/>
          <w:szCs w:val="22"/>
        </w:rPr>
        <w:t>Popisu nepokretnih kulturnih dobara,</w:t>
      </w:r>
      <w:r>
        <w:rPr>
          <w:rFonts w:ascii="Arial" w:hAnsi="Arial" w:cs="Arial"/>
          <w:sz w:val="22"/>
          <w:szCs w:val="22"/>
        </w:rPr>
        <w:t xml:space="preserve">za veliki broj evidentiranih kuća ruralnog tradicijskog graditeljstva nije se mogao navesti kućni broj pa su označeni sa  </w:t>
      </w:r>
      <w:r>
        <w:rPr>
          <w:rFonts w:ascii="Arial" w:hAnsi="Arial" w:cs="Arial"/>
          <w:b/>
          <w:sz w:val="22"/>
          <w:szCs w:val="22"/>
        </w:rPr>
        <w:t>bb.  ,</w:t>
      </w:r>
      <w:r w:rsidRPr="0076773B">
        <w:rPr>
          <w:rFonts w:ascii="Arial" w:hAnsi="Arial" w:cs="Arial"/>
          <w:sz w:val="22"/>
          <w:szCs w:val="22"/>
        </w:rPr>
        <w:t>kako bi se imao pregled nad brojem još</w:t>
      </w:r>
      <w:r>
        <w:rPr>
          <w:rFonts w:ascii="Arial" w:hAnsi="Arial" w:cs="Arial"/>
          <w:sz w:val="22"/>
          <w:szCs w:val="22"/>
        </w:rPr>
        <w:t xml:space="preserve"> sačuvane ruralne tradicijske</w:t>
      </w:r>
    </w:p>
    <w:p w:rsidR="0067261B" w:rsidRPr="00A577D4" w:rsidRDefault="0067261B" w:rsidP="0067261B">
      <w:pPr>
        <w:jc w:val="both"/>
        <w:rPr>
          <w:rFonts w:ascii="Arial" w:hAnsi="Arial" w:cs="Arial"/>
          <w:b/>
          <w:sz w:val="22"/>
          <w:szCs w:val="22"/>
        </w:rPr>
      </w:pPr>
      <w:r>
        <w:rPr>
          <w:rFonts w:ascii="Arial" w:hAnsi="Arial" w:cs="Arial"/>
          <w:sz w:val="22"/>
          <w:szCs w:val="22"/>
        </w:rPr>
        <w:t>Nepokretna kulturna dobra obuhvaćaju:</w:t>
      </w:r>
    </w:p>
    <w:p w:rsidR="0067261B" w:rsidRDefault="0067261B" w:rsidP="0067261B">
      <w:pPr>
        <w:spacing w:line="360" w:lineRule="auto"/>
        <w:jc w:val="both"/>
        <w:rPr>
          <w:rFonts w:ascii="Arial" w:hAnsi="Arial" w:cs="Arial"/>
          <w:sz w:val="22"/>
          <w:szCs w:val="22"/>
        </w:rPr>
      </w:pPr>
    </w:p>
    <w:p w:rsidR="0067261B" w:rsidRDefault="0067261B" w:rsidP="0067261B">
      <w:pPr>
        <w:spacing w:line="360" w:lineRule="auto"/>
        <w:jc w:val="both"/>
        <w:rPr>
          <w:rFonts w:ascii="Arial" w:hAnsi="Arial" w:cs="Arial"/>
          <w:sz w:val="22"/>
          <w:szCs w:val="22"/>
        </w:rPr>
      </w:pPr>
    </w:p>
    <w:p w:rsidR="0067261B" w:rsidRPr="0076773B" w:rsidRDefault="0067261B" w:rsidP="0067261B">
      <w:pPr>
        <w:spacing w:line="360" w:lineRule="auto"/>
        <w:jc w:val="both"/>
        <w:rPr>
          <w:rFonts w:ascii="Arial" w:hAnsi="Arial" w:cs="Arial"/>
          <w:sz w:val="22"/>
          <w:szCs w:val="22"/>
        </w:rPr>
      </w:pPr>
    </w:p>
    <w:p w:rsidR="0067261B" w:rsidRPr="0076773B" w:rsidRDefault="0067261B" w:rsidP="0067261B">
      <w:pPr>
        <w:spacing w:line="360" w:lineRule="auto"/>
        <w:jc w:val="both"/>
        <w:rPr>
          <w:rFonts w:ascii="Arial" w:hAnsi="Arial" w:cs="Arial"/>
          <w:sz w:val="22"/>
          <w:szCs w:val="22"/>
        </w:rPr>
      </w:pPr>
      <w:r w:rsidRPr="0076773B">
        <w:rPr>
          <w:rFonts w:ascii="Arial" w:hAnsi="Arial" w:cs="Arial"/>
          <w:sz w:val="22"/>
          <w:szCs w:val="22"/>
        </w:rPr>
        <w:t>1.POVIJESNA NASELJA  I  DJELOVI NASELJA</w:t>
      </w:r>
    </w:p>
    <w:p w:rsidR="0067261B" w:rsidRPr="0076773B" w:rsidRDefault="0067261B" w:rsidP="0067261B">
      <w:pPr>
        <w:spacing w:line="360" w:lineRule="auto"/>
        <w:jc w:val="both"/>
        <w:rPr>
          <w:rFonts w:ascii="Arial" w:hAnsi="Arial" w:cs="Arial"/>
          <w:sz w:val="22"/>
          <w:szCs w:val="22"/>
        </w:rPr>
      </w:pPr>
      <w:r w:rsidRPr="0076773B">
        <w:rPr>
          <w:rFonts w:ascii="Arial" w:hAnsi="Arial" w:cs="Arial"/>
          <w:sz w:val="22"/>
          <w:szCs w:val="22"/>
        </w:rPr>
        <w:t xml:space="preserve">     Gradsko seoskih obilježja</w:t>
      </w:r>
    </w:p>
    <w:p w:rsidR="0067261B" w:rsidRPr="0076773B" w:rsidRDefault="0067261B" w:rsidP="0067261B">
      <w:pPr>
        <w:spacing w:line="360" w:lineRule="auto"/>
        <w:jc w:val="both"/>
        <w:rPr>
          <w:rFonts w:ascii="Arial" w:hAnsi="Arial" w:cs="Arial"/>
          <w:sz w:val="22"/>
          <w:szCs w:val="22"/>
        </w:rPr>
      </w:pPr>
      <w:r w:rsidRPr="0076773B">
        <w:rPr>
          <w:rFonts w:ascii="Arial" w:hAnsi="Arial" w:cs="Arial"/>
          <w:sz w:val="22"/>
          <w:szCs w:val="22"/>
        </w:rPr>
        <w:t xml:space="preserve">     Seoskih obilježja</w:t>
      </w:r>
    </w:p>
    <w:p w:rsidR="0067261B" w:rsidRPr="0076773B" w:rsidRDefault="0067261B" w:rsidP="0067261B">
      <w:pPr>
        <w:spacing w:line="360" w:lineRule="auto"/>
        <w:jc w:val="both"/>
        <w:rPr>
          <w:rFonts w:ascii="Arial" w:hAnsi="Arial" w:cs="Arial"/>
          <w:sz w:val="22"/>
          <w:szCs w:val="22"/>
        </w:rPr>
      </w:pPr>
      <w:r w:rsidRPr="0076773B">
        <w:rPr>
          <w:rFonts w:ascii="Arial" w:hAnsi="Arial" w:cs="Arial"/>
          <w:sz w:val="22"/>
          <w:szCs w:val="22"/>
        </w:rPr>
        <w:t>2. POVIJESNE  GRAĐEVINE I SKLOPOVE</w:t>
      </w:r>
    </w:p>
    <w:p w:rsidR="0067261B" w:rsidRPr="0076773B" w:rsidRDefault="0067261B" w:rsidP="0067261B">
      <w:pPr>
        <w:spacing w:line="360" w:lineRule="auto"/>
        <w:ind w:left="60"/>
        <w:jc w:val="both"/>
        <w:rPr>
          <w:rFonts w:ascii="Arial" w:hAnsi="Arial" w:cs="Arial"/>
          <w:sz w:val="22"/>
          <w:szCs w:val="22"/>
        </w:rPr>
      </w:pPr>
      <w:r w:rsidRPr="0076773B">
        <w:rPr>
          <w:rFonts w:ascii="Arial" w:hAnsi="Arial" w:cs="Arial"/>
          <w:sz w:val="22"/>
          <w:szCs w:val="22"/>
        </w:rPr>
        <w:t xml:space="preserve">   2.1. SAKRALNE GRAĐEVINE</w:t>
      </w:r>
    </w:p>
    <w:p w:rsidR="0067261B" w:rsidRPr="0076773B" w:rsidRDefault="0067261B" w:rsidP="0067261B">
      <w:pPr>
        <w:spacing w:line="360" w:lineRule="auto"/>
        <w:ind w:left="60"/>
        <w:jc w:val="both"/>
        <w:rPr>
          <w:rFonts w:ascii="Arial" w:hAnsi="Arial" w:cs="Arial"/>
          <w:sz w:val="22"/>
          <w:szCs w:val="22"/>
        </w:rPr>
      </w:pPr>
      <w:r w:rsidRPr="0076773B">
        <w:rPr>
          <w:rFonts w:ascii="Arial" w:hAnsi="Arial" w:cs="Arial"/>
          <w:sz w:val="22"/>
          <w:szCs w:val="22"/>
        </w:rPr>
        <w:t xml:space="preserve">          2.1.1 crkve i kapele </w:t>
      </w:r>
    </w:p>
    <w:p w:rsidR="0067261B" w:rsidRPr="0076773B" w:rsidRDefault="0067261B" w:rsidP="0067261B">
      <w:pPr>
        <w:spacing w:line="360" w:lineRule="auto"/>
        <w:jc w:val="both"/>
        <w:rPr>
          <w:rFonts w:ascii="Arial" w:hAnsi="Arial" w:cs="Arial"/>
          <w:sz w:val="22"/>
          <w:szCs w:val="22"/>
        </w:rPr>
      </w:pPr>
      <w:r w:rsidRPr="0076773B">
        <w:rPr>
          <w:rFonts w:ascii="Arial" w:hAnsi="Arial" w:cs="Arial"/>
          <w:sz w:val="22"/>
          <w:szCs w:val="22"/>
        </w:rPr>
        <w:t xml:space="preserve">   2.2.CIVILNE  GRAĐEVINE</w:t>
      </w:r>
    </w:p>
    <w:p w:rsidR="0067261B" w:rsidRPr="0076773B" w:rsidRDefault="0067261B" w:rsidP="0067261B">
      <w:pPr>
        <w:spacing w:line="360" w:lineRule="auto"/>
        <w:ind w:left="300"/>
        <w:jc w:val="both"/>
        <w:rPr>
          <w:rFonts w:ascii="Arial" w:hAnsi="Arial" w:cs="Arial"/>
          <w:sz w:val="22"/>
          <w:szCs w:val="22"/>
        </w:rPr>
      </w:pPr>
      <w:r w:rsidRPr="0076773B">
        <w:rPr>
          <w:rFonts w:ascii="Arial" w:hAnsi="Arial" w:cs="Arial"/>
          <w:sz w:val="22"/>
          <w:szCs w:val="22"/>
        </w:rPr>
        <w:t xml:space="preserve">      2.2.1  stambene građevine </w:t>
      </w:r>
    </w:p>
    <w:p w:rsidR="0067261B" w:rsidRPr="0076773B" w:rsidRDefault="0067261B" w:rsidP="0067261B">
      <w:pPr>
        <w:spacing w:line="360" w:lineRule="auto"/>
        <w:ind w:left="300"/>
        <w:jc w:val="both"/>
        <w:rPr>
          <w:rFonts w:ascii="Arial" w:hAnsi="Arial" w:cs="Arial"/>
          <w:sz w:val="22"/>
          <w:szCs w:val="22"/>
        </w:rPr>
      </w:pPr>
      <w:r w:rsidRPr="0076773B">
        <w:rPr>
          <w:rFonts w:ascii="Arial" w:hAnsi="Arial" w:cs="Arial"/>
          <w:sz w:val="22"/>
          <w:szCs w:val="22"/>
        </w:rPr>
        <w:t xml:space="preserve">                 - gradskih obilježja</w:t>
      </w:r>
    </w:p>
    <w:p w:rsidR="0067261B" w:rsidRPr="0076773B" w:rsidRDefault="0067261B" w:rsidP="0067261B">
      <w:pPr>
        <w:spacing w:line="360" w:lineRule="auto"/>
        <w:ind w:left="300"/>
        <w:jc w:val="both"/>
        <w:rPr>
          <w:rFonts w:ascii="Arial" w:hAnsi="Arial" w:cs="Arial"/>
          <w:sz w:val="22"/>
          <w:szCs w:val="22"/>
        </w:rPr>
      </w:pPr>
      <w:r w:rsidRPr="0076773B">
        <w:rPr>
          <w:rFonts w:ascii="Arial" w:hAnsi="Arial" w:cs="Arial"/>
          <w:sz w:val="22"/>
          <w:szCs w:val="22"/>
        </w:rPr>
        <w:t xml:space="preserve">                 - tradicijskih seoskih obilježja</w:t>
      </w:r>
    </w:p>
    <w:p w:rsidR="0067261B" w:rsidRPr="0076773B" w:rsidRDefault="0067261B" w:rsidP="0067261B">
      <w:pPr>
        <w:spacing w:line="360" w:lineRule="auto"/>
        <w:ind w:left="300"/>
        <w:jc w:val="both"/>
        <w:rPr>
          <w:rFonts w:ascii="Arial" w:hAnsi="Arial" w:cs="Arial"/>
          <w:sz w:val="22"/>
          <w:szCs w:val="22"/>
        </w:rPr>
      </w:pPr>
      <w:r w:rsidRPr="0076773B">
        <w:rPr>
          <w:rFonts w:ascii="Arial" w:hAnsi="Arial" w:cs="Arial"/>
          <w:sz w:val="22"/>
          <w:szCs w:val="22"/>
        </w:rPr>
        <w:t xml:space="preserve">      2.2.2. dvorci</w:t>
      </w:r>
    </w:p>
    <w:p w:rsidR="0067261B" w:rsidRPr="0076773B" w:rsidRDefault="0067261B" w:rsidP="0067261B">
      <w:pPr>
        <w:spacing w:line="360" w:lineRule="auto"/>
        <w:ind w:left="300"/>
        <w:jc w:val="both"/>
        <w:rPr>
          <w:rFonts w:ascii="Arial" w:hAnsi="Arial" w:cs="Arial"/>
          <w:sz w:val="22"/>
          <w:szCs w:val="22"/>
        </w:rPr>
      </w:pPr>
      <w:r w:rsidRPr="0076773B">
        <w:rPr>
          <w:rFonts w:ascii="Arial" w:hAnsi="Arial" w:cs="Arial"/>
          <w:sz w:val="22"/>
          <w:szCs w:val="22"/>
        </w:rPr>
        <w:t xml:space="preserve">      2.2.3. javne i druge građevine</w:t>
      </w:r>
    </w:p>
    <w:p w:rsidR="0067261B" w:rsidRPr="0076773B" w:rsidRDefault="0067261B" w:rsidP="0067261B">
      <w:pPr>
        <w:spacing w:line="360" w:lineRule="auto"/>
        <w:jc w:val="both"/>
        <w:rPr>
          <w:rFonts w:ascii="Arial" w:hAnsi="Arial" w:cs="Arial"/>
          <w:sz w:val="22"/>
          <w:szCs w:val="22"/>
        </w:rPr>
      </w:pPr>
      <w:r w:rsidRPr="0076773B">
        <w:rPr>
          <w:rFonts w:ascii="Arial" w:hAnsi="Arial" w:cs="Arial"/>
          <w:sz w:val="22"/>
          <w:szCs w:val="22"/>
        </w:rPr>
        <w:t xml:space="preserve">           2.2.4. gospodarske građevine </w:t>
      </w:r>
    </w:p>
    <w:p w:rsidR="0067261B" w:rsidRPr="0076773B" w:rsidRDefault="0067261B" w:rsidP="0067261B">
      <w:pPr>
        <w:spacing w:line="360" w:lineRule="auto"/>
        <w:jc w:val="both"/>
        <w:rPr>
          <w:rFonts w:ascii="Arial" w:hAnsi="Arial" w:cs="Arial"/>
          <w:sz w:val="22"/>
          <w:szCs w:val="22"/>
        </w:rPr>
      </w:pPr>
      <w:r w:rsidRPr="0076773B">
        <w:rPr>
          <w:rFonts w:ascii="Arial" w:hAnsi="Arial" w:cs="Arial"/>
          <w:sz w:val="22"/>
          <w:szCs w:val="22"/>
        </w:rPr>
        <w:t xml:space="preserve">  2.3.     INŽENJERSKE I KOMUNALNO TEHNIČKE GRAĐEVINE</w:t>
      </w:r>
    </w:p>
    <w:p w:rsidR="0067261B" w:rsidRPr="0076773B" w:rsidRDefault="0067261B" w:rsidP="0067261B">
      <w:pPr>
        <w:spacing w:line="360" w:lineRule="auto"/>
        <w:jc w:val="both"/>
        <w:rPr>
          <w:rFonts w:ascii="Arial" w:hAnsi="Arial" w:cs="Arial"/>
          <w:sz w:val="22"/>
          <w:szCs w:val="22"/>
        </w:rPr>
      </w:pPr>
      <w:r w:rsidRPr="0076773B">
        <w:rPr>
          <w:rFonts w:ascii="Arial" w:hAnsi="Arial" w:cs="Arial"/>
          <w:sz w:val="22"/>
          <w:szCs w:val="22"/>
        </w:rPr>
        <w:t xml:space="preserve">  2.4  . FORTIFIKACIJSKE GRAĐEVINE</w:t>
      </w:r>
    </w:p>
    <w:p w:rsidR="0067261B" w:rsidRPr="0076773B" w:rsidRDefault="0067261B" w:rsidP="0067261B">
      <w:pPr>
        <w:spacing w:line="360" w:lineRule="auto"/>
        <w:jc w:val="both"/>
        <w:rPr>
          <w:rFonts w:ascii="Arial" w:hAnsi="Arial" w:cs="Arial"/>
          <w:sz w:val="22"/>
          <w:szCs w:val="22"/>
        </w:rPr>
      </w:pPr>
      <w:r w:rsidRPr="0076773B">
        <w:rPr>
          <w:rFonts w:ascii="Arial" w:hAnsi="Arial" w:cs="Arial"/>
          <w:sz w:val="22"/>
          <w:szCs w:val="22"/>
        </w:rPr>
        <w:t>3. OPREMU  NASELJA</w:t>
      </w:r>
    </w:p>
    <w:p w:rsidR="0067261B" w:rsidRPr="0076773B" w:rsidRDefault="0067261B" w:rsidP="0067261B">
      <w:pPr>
        <w:spacing w:line="360" w:lineRule="auto"/>
        <w:jc w:val="both"/>
        <w:rPr>
          <w:rFonts w:ascii="Arial" w:hAnsi="Arial" w:cs="Arial"/>
          <w:sz w:val="22"/>
          <w:szCs w:val="22"/>
        </w:rPr>
      </w:pPr>
      <w:r w:rsidRPr="0076773B">
        <w:rPr>
          <w:rFonts w:ascii="Arial" w:hAnsi="Arial" w:cs="Arial"/>
          <w:sz w:val="22"/>
          <w:szCs w:val="22"/>
        </w:rPr>
        <w:t>4. POVIJESNO MEMORIJALNE CJELINE I OBILJEŽJA</w:t>
      </w:r>
    </w:p>
    <w:p w:rsidR="0067261B" w:rsidRPr="0076773B" w:rsidRDefault="0067261B" w:rsidP="0067261B">
      <w:pPr>
        <w:spacing w:line="360" w:lineRule="auto"/>
        <w:ind w:left="360"/>
        <w:jc w:val="both"/>
        <w:rPr>
          <w:rFonts w:ascii="Arial" w:hAnsi="Arial" w:cs="Arial"/>
          <w:sz w:val="22"/>
          <w:szCs w:val="22"/>
        </w:rPr>
      </w:pPr>
      <w:r w:rsidRPr="0076773B">
        <w:rPr>
          <w:rFonts w:ascii="Arial" w:hAnsi="Arial" w:cs="Arial"/>
          <w:sz w:val="22"/>
          <w:szCs w:val="22"/>
        </w:rPr>
        <w:t>3.1.Groblja i lokaliteti starih groblja</w:t>
      </w:r>
    </w:p>
    <w:p w:rsidR="0067261B" w:rsidRPr="0076773B" w:rsidRDefault="0067261B" w:rsidP="0067261B">
      <w:pPr>
        <w:spacing w:line="360" w:lineRule="auto"/>
        <w:ind w:left="360"/>
        <w:jc w:val="both"/>
        <w:rPr>
          <w:rFonts w:ascii="Arial" w:hAnsi="Arial" w:cs="Arial"/>
          <w:sz w:val="22"/>
          <w:szCs w:val="22"/>
        </w:rPr>
      </w:pPr>
      <w:r w:rsidRPr="0076773B">
        <w:rPr>
          <w:rFonts w:ascii="Arial" w:hAnsi="Arial" w:cs="Arial"/>
          <w:sz w:val="22"/>
          <w:szCs w:val="22"/>
        </w:rPr>
        <w:t>3.2.Spomen obilježja</w:t>
      </w:r>
    </w:p>
    <w:p w:rsidR="0067261B" w:rsidRPr="0076773B" w:rsidRDefault="0067261B" w:rsidP="0067261B">
      <w:pPr>
        <w:spacing w:line="360" w:lineRule="auto"/>
        <w:jc w:val="both"/>
        <w:rPr>
          <w:rFonts w:ascii="Arial" w:hAnsi="Arial" w:cs="Arial"/>
          <w:sz w:val="22"/>
          <w:szCs w:val="22"/>
        </w:rPr>
      </w:pPr>
      <w:r w:rsidRPr="0076773B">
        <w:rPr>
          <w:rFonts w:ascii="Arial" w:hAnsi="Arial" w:cs="Arial"/>
          <w:sz w:val="22"/>
          <w:szCs w:val="22"/>
        </w:rPr>
        <w:t>5.  ARHEOLOŠKI  LOKALITETI I ZONE</w:t>
      </w:r>
    </w:p>
    <w:p w:rsidR="0067261B" w:rsidRPr="0076773B" w:rsidRDefault="0067261B" w:rsidP="0067261B">
      <w:pPr>
        <w:spacing w:line="360" w:lineRule="auto"/>
        <w:jc w:val="both"/>
        <w:rPr>
          <w:rFonts w:ascii="Arial" w:hAnsi="Arial" w:cs="Arial"/>
          <w:sz w:val="22"/>
          <w:szCs w:val="22"/>
        </w:rPr>
      </w:pPr>
      <w:r w:rsidRPr="0076773B">
        <w:rPr>
          <w:rFonts w:ascii="Arial" w:hAnsi="Arial" w:cs="Arial"/>
          <w:sz w:val="22"/>
          <w:szCs w:val="22"/>
        </w:rPr>
        <w:t xml:space="preserve">6.  DJELOVE KULTURNOG KRAJOLIKA </w:t>
      </w:r>
    </w:p>
    <w:p w:rsidR="0067261B" w:rsidRPr="0076773B" w:rsidRDefault="0067261B" w:rsidP="0067261B">
      <w:pPr>
        <w:spacing w:line="360" w:lineRule="auto"/>
        <w:jc w:val="both"/>
        <w:rPr>
          <w:rFonts w:ascii="Arial" w:hAnsi="Arial" w:cs="Arial"/>
          <w:sz w:val="22"/>
          <w:szCs w:val="22"/>
        </w:rPr>
      </w:pPr>
      <w:r w:rsidRPr="0076773B">
        <w:rPr>
          <w:rFonts w:ascii="Arial" w:hAnsi="Arial" w:cs="Arial"/>
          <w:sz w:val="22"/>
          <w:szCs w:val="22"/>
        </w:rPr>
        <w:t xml:space="preserve">     6.1. Vinogradarsko Etnološke zone</w:t>
      </w:r>
    </w:p>
    <w:p w:rsidR="0067261B" w:rsidRPr="0076773B" w:rsidRDefault="0067261B" w:rsidP="0067261B">
      <w:pPr>
        <w:spacing w:line="360" w:lineRule="auto"/>
        <w:jc w:val="both"/>
        <w:rPr>
          <w:rFonts w:ascii="Arial" w:hAnsi="Arial" w:cs="Arial"/>
          <w:sz w:val="22"/>
          <w:szCs w:val="22"/>
        </w:rPr>
      </w:pPr>
      <w:r w:rsidRPr="0076773B">
        <w:rPr>
          <w:rFonts w:ascii="Arial" w:hAnsi="Arial" w:cs="Arial"/>
          <w:sz w:val="22"/>
          <w:szCs w:val="22"/>
        </w:rPr>
        <w:t xml:space="preserve">     6..2.Osobito vrijedni predjeli</w:t>
      </w:r>
    </w:p>
    <w:p w:rsidR="0067261B" w:rsidRPr="0076773B" w:rsidRDefault="0067261B" w:rsidP="0067261B">
      <w:pPr>
        <w:spacing w:line="360" w:lineRule="auto"/>
        <w:jc w:val="both"/>
        <w:rPr>
          <w:rFonts w:ascii="Arial" w:hAnsi="Arial" w:cs="Arial"/>
          <w:sz w:val="22"/>
          <w:szCs w:val="22"/>
        </w:rPr>
      </w:pPr>
      <w:r w:rsidRPr="0076773B">
        <w:rPr>
          <w:rFonts w:ascii="Arial" w:hAnsi="Arial" w:cs="Arial"/>
          <w:sz w:val="22"/>
          <w:szCs w:val="22"/>
        </w:rPr>
        <w:t xml:space="preserve">     6.3 Značajne vizure</w:t>
      </w:r>
    </w:p>
    <w:p w:rsidR="0067261B" w:rsidRPr="0076773B" w:rsidRDefault="0067261B" w:rsidP="0067261B">
      <w:pPr>
        <w:spacing w:line="360" w:lineRule="auto"/>
        <w:jc w:val="both"/>
        <w:rPr>
          <w:rFonts w:ascii="Arial" w:hAnsi="Arial" w:cs="Arial"/>
          <w:sz w:val="22"/>
          <w:szCs w:val="22"/>
        </w:rPr>
      </w:pPr>
    </w:p>
    <w:p w:rsidR="0067261B" w:rsidRPr="003B218D" w:rsidRDefault="0067261B" w:rsidP="0067261B">
      <w:pPr>
        <w:spacing w:line="360" w:lineRule="auto"/>
        <w:jc w:val="both"/>
        <w:rPr>
          <w:rFonts w:ascii="Arial" w:hAnsi="Arial" w:cs="Arial"/>
          <w:b/>
          <w:u w:val="single"/>
        </w:rPr>
      </w:pPr>
      <w:r w:rsidRPr="003B218D">
        <w:rPr>
          <w:rFonts w:ascii="Arial" w:hAnsi="Arial" w:cs="Arial"/>
          <w:b/>
          <w:u w:val="single"/>
        </w:rPr>
        <w:t xml:space="preserve">POPIS   KULTURNIH DOBARA  </w:t>
      </w:r>
    </w:p>
    <w:p w:rsidR="0067261B" w:rsidRPr="003B218D" w:rsidRDefault="0067261B" w:rsidP="0067261B">
      <w:pPr>
        <w:spacing w:line="360" w:lineRule="auto"/>
        <w:jc w:val="both"/>
        <w:rPr>
          <w:rFonts w:ascii="Arial" w:hAnsi="Arial" w:cs="Arial"/>
          <w:b/>
          <w:sz w:val="22"/>
          <w:szCs w:val="22"/>
          <w:u w:val="single"/>
        </w:rPr>
      </w:pPr>
    </w:p>
    <w:p w:rsidR="0067261B" w:rsidRDefault="0067261B" w:rsidP="0067261B">
      <w:pPr>
        <w:spacing w:line="360" w:lineRule="auto"/>
        <w:jc w:val="both"/>
        <w:rPr>
          <w:rFonts w:ascii="Arial" w:hAnsi="Arial" w:cs="Arial"/>
          <w:b/>
          <w:sz w:val="22"/>
          <w:szCs w:val="22"/>
        </w:rPr>
      </w:pPr>
    </w:p>
    <w:p w:rsidR="0067261B" w:rsidRPr="0059544A" w:rsidRDefault="0067261B" w:rsidP="0067261B">
      <w:pPr>
        <w:spacing w:line="360" w:lineRule="auto"/>
        <w:jc w:val="both"/>
        <w:rPr>
          <w:rFonts w:ascii="Arial" w:hAnsi="Arial" w:cs="Arial"/>
          <w:b/>
          <w:sz w:val="22"/>
          <w:szCs w:val="22"/>
        </w:rPr>
      </w:pPr>
      <w:r w:rsidRPr="0059544A">
        <w:rPr>
          <w:rFonts w:ascii="Arial" w:hAnsi="Arial" w:cs="Arial"/>
          <w:b/>
          <w:sz w:val="22"/>
          <w:szCs w:val="22"/>
        </w:rPr>
        <w:t xml:space="preserve">1.POVIJESNA NASELJA  I  DJELOVI NASELJA </w:t>
      </w:r>
    </w:p>
    <w:p w:rsidR="0067261B" w:rsidRPr="0059544A" w:rsidRDefault="0067261B" w:rsidP="0067261B">
      <w:pPr>
        <w:spacing w:line="360" w:lineRule="auto"/>
        <w:jc w:val="both"/>
        <w:rPr>
          <w:rFonts w:ascii="Arial" w:hAnsi="Arial" w:cs="Arial"/>
          <w:b/>
          <w:sz w:val="22"/>
          <w:szCs w:val="22"/>
        </w:rPr>
      </w:pPr>
      <w:r w:rsidRPr="0059544A">
        <w:rPr>
          <w:rFonts w:ascii="Arial" w:hAnsi="Arial" w:cs="Arial"/>
          <w:b/>
          <w:sz w:val="22"/>
          <w:szCs w:val="22"/>
        </w:rPr>
        <w:t xml:space="preserve">      Gradsko seoskih obilježja</w:t>
      </w:r>
    </w:p>
    <w:tbl>
      <w:tblPr>
        <w:tblStyle w:val="Reetkatablice"/>
        <w:tblW w:w="0" w:type="auto"/>
        <w:tblInd w:w="468" w:type="dxa"/>
        <w:tblLayout w:type="fixed"/>
        <w:tblLook w:val="01E0" w:firstRow="1" w:lastRow="1" w:firstColumn="1" w:lastColumn="1" w:noHBand="0" w:noVBand="0"/>
      </w:tblPr>
      <w:tblGrid>
        <w:gridCol w:w="900"/>
        <w:gridCol w:w="2520"/>
        <w:gridCol w:w="3240"/>
        <w:gridCol w:w="1620"/>
      </w:tblGrid>
      <w:tr w:rsidR="0067261B" w:rsidRPr="0059544A">
        <w:tc>
          <w:tcPr>
            <w:tcW w:w="90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Ident</w:t>
            </w:r>
          </w:p>
          <w:p w:rsidR="0067261B" w:rsidRPr="0059544A" w:rsidRDefault="0067261B" w:rsidP="00623F55">
            <w:pPr>
              <w:jc w:val="both"/>
              <w:rPr>
                <w:rFonts w:ascii="Arial" w:hAnsi="Arial" w:cs="Arial"/>
                <w:b/>
                <w:sz w:val="22"/>
                <w:szCs w:val="22"/>
              </w:rPr>
            </w:pPr>
            <w:r w:rsidRPr="0059544A">
              <w:rPr>
                <w:rFonts w:ascii="Arial" w:hAnsi="Arial" w:cs="Arial"/>
                <w:b/>
                <w:sz w:val="22"/>
                <w:szCs w:val="22"/>
              </w:rPr>
              <w:t>Br.</w:t>
            </w: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 xml:space="preserve">     Naselje</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Spomenik/kulturno. Povijesne vrijednosti</w:t>
            </w:r>
          </w:p>
        </w:tc>
        <w:tc>
          <w:tcPr>
            <w:tcW w:w="162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Spomenički status</w:t>
            </w:r>
          </w:p>
        </w:tc>
      </w:tr>
      <w:tr w:rsidR="0067261B" w:rsidRPr="0059544A">
        <w:tc>
          <w:tcPr>
            <w:tcW w:w="900" w:type="dxa"/>
          </w:tcPr>
          <w:p w:rsidR="0067261B" w:rsidRPr="0059544A" w:rsidRDefault="0067261B" w:rsidP="00623F55">
            <w:pPr>
              <w:spacing w:line="360" w:lineRule="auto"/>
              <w:jc w:val="both"/>
              <w:rPr>
                <w:rFonts w:ascii="Arial" w:hAnsi="Arial" w:cs="Arial"/>
                <w:b/>
                <w:sz w:val="22"/>
                <w:szCs w:val="22"/>
              </w:rPr>
            </w:pPr>
          </w:p>
        </w:tc>
        <w:tc>
          <w:tcPr>
            <w:tcW w:w="252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Gornja Rijeka</w:t>
            </w:r>
          </w:p>
        </w:tc>
        <w:tc>
          <w:tcPr>
            <w:tcW w:w="3240" w:type="dxa"/>
          </w:tcPr>
          <w:p w:rsidR="0067261B" w:rsidRPr="0059544A" w:rsidRDefault="0067261B" w:rsidP="00623F55">
            <w:pPr>
              <w:rPr>
                <w:rFonts w:ascii="Arial" w:hAnsi="Arial" w:cs="Arial"/>
                <w:b/>
                <w:sz w:val="22"/>
                <w:szCs w:val="22"/>
              </w:rPr>
            </w:pPr>
            <w:r w:rsidRPr="0059544A">
              <w:rPr>
                <w:rFonts w:ascii="Arial" w:hAnsi="Arial" w:cs="Arial"/>
                <w:sz w:val="22"/>
                <w:szCs w:val="22"/>
              </w:rPr>
              <w:t>Povijesna cjelina gradsko seoskih obilježija</w:t>
            </w:r>
          </w:p>
        </w:tc>
        <w:tc>
          <w:tcPr>
            <w:tcW w:w="1620" w:type="dxa"/>
          </w:tcPr>
          <w:p w:rsidR="0067261B" w:rsidRPr="0059544A" w:rsidRDefault="0067261B" w:rsidP="00623F55">
            <w:pPr>
              <w:rPr>
                <w:rFonts w:ascii="Arial" w:hAnsi="Arial" w:cs="Arial"/>
                <w:sz w:val="22"/>
                <w:szCs w:val="22"/>
              </w:rPr>
            </w:pPr>
            <w:r w:rsidRPr="0059544A">
              <w:rPr>
                <w:rFonts w:ascii="Arial" w:hAnsi="Arial" w:cs="Arial"/>
                <w:sz w:val="22"/>
                <w:szCs w:val="22"/>
              </w:rPr>
              <w:t>PZ</w:t>
            </w:r>
          </w:p>
        </w:tc>
      </w:tr>
    </w:tbl>
    <w:p w:rsidR="00165BAC" w:rsidRPr="0059544A" w:rsidRDefault="00165BAC" w:rsidP="0067261B">
      <w:pPr>
        <w:spacing w:line="360" w:lineRule="auto"/>
        <w:jc w:val="both"/>
        <w:rPr>
          <w:rFonts w:ascii="Arial" w:hAnsi="Arial" w:cs="Arial"/>
          <w:b/>
          <w:sz w:val="22"/>
          <w:szCs w:val="22"/>
        </w:rPr>
      </w:pPr>
    </w:p>
    <w:p w:rsidR="0067261B" w:rsidRPr="0059544A" w:rsidRDefault="0067261B" w:rsidP="0067261B">
      <w:pPr>
        <w:spacing w:line="360" w:lineRule="auto"/>
        <w:jc w:val="both"/>
        <w:rPr>
          <w:rFonts w:ascii="Arial" w:hAnsi="Arial" w:cs="Arial"/>
          <w:b/>
          <w:sz w:val="22"/>
          <w:szCs w:val="22"/>
        </w:rPr>
      </w:pPr>
      <w:r w:rsidRPr="0059544A">
        <w:rPr>
          <w:rFonts w:ascii="Arial" w:hAnsi="Arial" w:cs="Arial"/>
          <w:b/>
          <w:sz w:val="22"/>
          <w:szCs w:val="22"/>
        </w:rPr>
        <w:t xml:space="preserve">     Seoskih obilježja</w:t>
      </w:r>
    </w:p>
    <w:tbl>
      <w:tblPr>
        <w:tblStyle w:val="Reetkatablice"/>
        <w:tblW w:w="8280" w:type="dxa"/>
        <w:tblInd w:w="468" w:type="dxa"/>
        <w:tblLayout w:type="fixed"/>
        <w:tblLook w:val="01E0" w:firstRow="1" w:lastRow="1" w:firstColumn="1" w:lastColumn="1" w:noHBand="0" w:noVBand="0"/>
      </w:tblPr>
      <w:tblGrid>
        <w:gridCol w:w="900"/>
        <w:gridCol w:w="2520"/>
        <w:gridCol w:w="3240"/>
        <w:gridCol w:w="1620"/>
      </w:tblGrid>
      <w:tr w:rsidR="0067261B" w:rsidRPr="0059544A">
        <w:tc>
          <w:tcPr>
            <w:tcW w:w="90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Ident</w:t>
            </w:r>
          </w:p>
          <w:p w:rsidR="0067261B" w:rsidRPr="0059544A" w:rsidRDefault="0067261B" w:rsidP="00623F55">
            <w:pPr>
              <w:jc w:val="both"/>
              <w:rPr>
                <w:rFonts w:ascii="Arial" w:hAnsi="Arial" w:cs="Arial"/>
                <w:b/>
                <w:sz w:val="22"/>
                <w:szCs w:val="22"/>
              </w:rPr>
            </w:pPr>
            <w:r w:rsidRPr="0059544A">
              <w:rPr>
                <w:rFonts w:ascii="Arial" w:hAnsi="Arial" w:cs="Arial"/>
                <w:b/>
                <w:sz w:val="22"/>
                <w:szCs w:val="22"/>
              </w:rPr>
              <w:t>Br.</w:t>
            </w: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 xml:space="preserve">     Naselje</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Spomenik/kulturno. Povijesne vrijednosti</w:t>
            </w:r>
          </w:p>
        </w:tc>
        <w:tc>
          <w:tcPr>
            <w:tcW w:w="162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Spomenički status</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Deklešanec</w:t>
            </w:r>
          </w:p>
        </w:tc>
        <w:tc>
          <w:tcPr>
            <w:tcW w:w="3240" w:type="dxa"/>
          </w:tcPr>
          <w:p w:rsidR="0067261B" w:rsidRPr="0059544A" w:rsidRDefault="0067261B" w:rsidP="00623F55">
            <w:pPr>
              <w:rPr>
                <w:rFonts w:ascii="Arial" w:hAnsi="Arial" w:cs="Arial"/>
                <w:sz w:val="22"/>
                <w:szCs w:val="22"/>
              </w:rPr>
            </w:pPr>
            <w:r w:rsidRPr="0059544A">
              <w:rPr>
                <w:rFonts w:ascii="Arial" w:hAnsi="Arial" w:cs="Arial"/>
                <w:sz w:val="22"/>
                <w:szCs w:val="22"/>
              </w:rPr>
              <w:t>Povijesna  cjelina seoskih obilježija</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E</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Donja Rijeka</w:t>
            </w:r>
          </w:p>
        </w:tc>
        <w:tc>
          <w:tcPr>
            <w:tcW w:w="3240" w:type="dxa"/>
          </w:tcPr>
          <w:p w:rsidR="0067261B" w:rsidRPr="0059544A" w:rsidRDefault="0067261B" w:rsidP="00623F55">
            <w:pPr>
              <w:rPr>
                <w:rFonts w:ascii="Arial" w:hAnsi="Arial" w:cs="Arial"/>
                <w:sz w:val="22"/>
                <w:szCs w:val="22"/>
              </w:rPr>
            </w:pPr>
            <w:r w:rsidRPr="0059544A">
              <w:rPr>
                <w:rFonts w:ascii="Arial" w:hAnsi="Arial" w:cs="Arial"/>
                <w:sz w:val="22"/>
                <w:szCs w:val="22"/>
              </w:rPr>
              <w:t>Skup zaseoka</w:t>
            </w:r>
          </w:p>
        </w:tc>
        <w:tc>
          <w:tcPr>
            <w:tcW w:w="1620" w:type="dxa"/>
          </w:tcPr>
          <w:p w:rsidR="0067261B" w:rsidRPr="0059544A" w:rsidRDefault="0067261B" w:rsidP="00623F55">
            <w:pPr>
              <w:jc w:val="both"/>
              <w:rPr>
                <w:rFonts w:ascii="Arial" w:hAnsi="Arial" w:cs="Arial"/>
                <w:sz w:val="22"/>
                <w:szCs w:val="22"/>
              </w:rPr>
            </w:pP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Donja Rijeka-</w:t>
            </w:r>
            <w:r w:rsidRPr="0059544A">
              <w:rPr>
                <w:rFonts w:ascii="Arial" w:hAnsi="Arial" w:cs="Arial"/>
                <w:sz w:val="22"/>
                <w:szCs w:val="22"/>
              </w:rPr>
              <w:t>Berdovina/Jelaki/</w:t>
            </w:r>
          </w:p>
        </w:tc>
        <w:tc>
          <w:tcPr>
            <w:tcW w:w="324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Povijesna grupacije seoskih obilježija</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E</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Donja Rijeka-</w:t>
            </w:r>
            <w:r w:rsidRPr="0059544A">
              <w:rPr>
                <w:rFonts w:ascii="Arial" w:hAnsi="Arial" w:cs="Arial"/>
                <w:sz w:val="22"/>
                <w:szCs w:val="22"/>
              </w:rPr>
              <w:t>Oraki</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sz w:val="22"/>
                <w:szCs w:val="22"/>
              </w:rPr>
              <w:t>Povijesna grupacije seoskih obilježija-skupina okućnica naselja</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PZ</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 xml:space="preserve">Donja Rijeka </w:t>
            </w:r>
            <w:r w:rsidRPr="0059544A">
              <w:rPr>
                <w:rFonts w:ascii="Arial" w:hAnsi="Arial" w:cs="Arial"/>
                <w:sz w:val="22"/>
                <w:szCs w:val="22"/>
              </w:rPr>
              <w:t>-Šikač</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sz w:val="22"/>
                <w:szCs w:val="22"/>
              </w:rPr>
              <w:t>Povijesna grupacije seoskih obilježija</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E</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Donja Rijeka-</w:t>
            </w:r>
            <w:r w:rsidRPr="0059544A">
              <w:rPr>
                <w:rFonts w:ascii="Arial" w:hAnsi="Arial" w:cs="Arial"/>
                <w:sz w:val="22"/>
                <w:szCs w:val="22"/>
              </w:rPr>
              <w:t>i Batina</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sz w:val="22"/>
                <w:szCs w:val="22"/>
              </w:rPr>
              <w:t>Povijesna grupacije seoskih obilježija</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E</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Donja Rijeka -</w:t>
            </w:r>
            <w:r w:rsidRPr="0059544A">
              <w:rPr>
                <w:rFonts w:ascii="Arial" w:hAnsi="Arial" w:cs="Arial"/>
                <w:sz w:val="22"/>
                <w:szCs w:val="22"/>
              </w:rPr>
              <w:t>Podolski</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sz w:val="22"/>
                <w:szCs w:val="22"/>
              </w:rPr>
              <w:t>Povijesna grupacije seoskih obilježija</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E</w:t>
            </w:r>
          </w:p>
        </w:tc>
      </w:tr>
      <w:tr w:rsidR="0067261B" w:rsidRPr="0059544A">
        <w:tc>
          <w:tcPr>
            <w:tcW w:w="900" w:type="dxa"/>
          </w:tcPr>
          <w:p w:rsidR="0067261B" w:rsidRPr="0059544A" w:rsidRDefault="0067261B" w:rsidP="00623F55">
            <w:pPr>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Dropkovec -Štrigovec</w:t>
            </w:r>
          </w:p>
        </w:tc>
        <w:tc>
          <w:tcPr>
            <w:tcW w:w="3240" w:type="dxa"/>
          </w:tcPr>
          <w:p w:rsidR="0067261B" w:rsidRPr="0059544A" w:rsidRDefault="0067261B" w:rsidP="00623F55">
            <w:pPr>
              <w:rPr>
                <w:rFonts w:ascii="Arial" w:hAnsi="Arial" w:cs="Arial"/>
                <w:b/>
                <w:sz w:val="22"/>
                <w:szCs w:val="22"/>
              </w:rPr>
            </w:pPr>
            <w:r w:rsidRPr="0059544A">
              <w:rPr>
                <w:rFonts w:ascii="Arial" w:hAnsi="Arial" w:cs="Arial"/>
                <w:sz w:val="22"/>
                <w:szCs w:val="22"/>
              </w:rPr>
              <w:t>Povijesna  cjelina seoskih obilježija-dio naselja</w:t>
            </w:r>
          </w:p>
        </w:tc>
        <w:tc>
          <w:tcPr>
            <w:tcW w:w="1620" w:type="dxa"/>
          </w:tcPr>
          <w:p w:rsidR="0067261B" w:rsidRPr="0059544A" w:rsidRDefault="0067261B" w:rsidP="00623F55">
            <w:pPr>
              <w:rPr>
                <w:rFonts w:ascii="Arial" w:hAnsi="Arial" w:cs="Arial"/>
                <w:sz w:val="22"/>
                <w:szCs w:val="22"/>
              </w:rPr>
            </w:pPr>
            <w:r w:rsidRPr="0059544A">
              <w:rPr>
                <w:rFonts w:ascii="Arial" w:hAnsi="Arial" w:cs="Arial"/>
                <w:sz w:val="22"/>
                <w:szCs w:val="22"/>
              </w:rPr>
              <w:t>PZ</w:t>
            </w:r>
          </w:p>
        </w:tc>
      </w:tr>
      <w:tr w:rsidR="0067261B" w:rsidRPr="0059544A">
        <w:tc>
          <w:tcPr>
            <w:tcW w:w="900" w:type="dxa"/>
          </w:tcPr>
          <w:p w:rsidR="0067261B" w:rsidRPr="0059544A" w:rsidRDefault="0067261B" w:rsidP="00623F55">
            <w:pPr>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Fajerovec</w:t>
            </w:r>
          </w:p>
        </w:tc>
        <w:tc>
          <w:tcPr>
            <w:tcW w:w="3240" w:type="dxa"/>
          </w:tcPr>
          <w:p w:rsidR="0067261B" w:rsidRPr="0059544A" w:rsidRDefault="0067261B" w:rsidP="00623F55">
            <w:pPr>
              <w:rPr>
                <w:rFonts w:ascii="Arial" w:hAnsi="Arial" w:cs="Arial"/>
                <w:b/>
                <w:sz w:val="22"/>
                <w:szCs w:val="22"/>
              </w:rPr>
            </w:pPr>
            <w:r w:rsidRPr="0059544A">
              <w:rPr>
                <w:rFonts w:ascii="Arial" w:hAnsi="Arial" w:cs="Arial"/>
                <w:sz w:val="22"/>
                <w:szCs w:val="22"/>
              </w:rPr>
              <w:t>Povijesna  cjelina seoskih obilježija-skupina okućnica naselja</w:t>
            </w:r>
          </w:p>
        </w:tc>
        <w:tc>
          <w:tcPr>
            <w:tcW w:w="1620" w:type="dxa"/>
          </w:tcPr>
          <w:p w:rsidR="0067261B" w:rsidRPr="0059544A" w:rsidRDefault="0067261B" w:rsidP="00623F55">
            <w:pPr>
              <w:rPr>
                <w:rFonts w:ascii="Arial" w:hAnsi="Arial" w:cs="Arial"/>
                <w:sz w:val="22"/>
                <w:szCs w:val="22"/>
              </w:rPr>
            </w:pPr>
            <w:r w:rsidRPr="0059544A">
              <w:rPr>
                <w:rFonts w:ascii="Arial" w:hAnsi="Arial" w:cs="Arial"/>
                <w:sz w:val="22"/>
                <w:szCs w:val="22"/>
              </w:rPr>
              <w:t>PZ</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Fodorovec Riječki</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sz w:val="22"/>
                <w:szCs w:val="22"/>
              </w:rPr>
              <w:t>Povijesna  cjelina seoskih obilježija</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E</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Kolarec</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sz w:val="22"/>
                <w:szCs w:val="22"/>
              </w:rPr>
              <w:t>Povijesna  cjelina seoskih obilježija  -dio naselja</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PZ</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Kostanjevec Riječki</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sz w:val="22"/>
                <w:szCs w:val="22"/>
              </w:rPr>
              <w:t>Povijesna  cjelina seoskih obilježija</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E</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Lukačevec</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sz w:val="22"/>
                <w:szCs w:val="22"/>
              </w:rPr>
              <w:t>Povijesna  cjelina seoskih obilježija</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E</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Nemčevec</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sz w:val="22"/>
                <w:szCs w:val="22"/>
              </w:rPr>
              <w:t>Povijesna  cjelina seoskih obilježija- skupina okućnica</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PZ</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Pofuki</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sz w:val="22"/>
                <w:szCs w:val="22"/>
              </w:rPr>
              <w:t>Povijesna  cjelina seoskih obilježija</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E</w:t>
            </w:r>
          </w:p>
          <w:p w:rsidR="0067261B" w:rsidRPr="0059544A" w:rsidRDefault="0067261B" w:rsidP="00623F55">
            <w:pPr>
              <w:jc w:val="both"/>
              <w:rPr>
                <w:rFonts w:ascii="Arial" w:hAnsi="Arial" w:cs="Arial"/>
                <w:sz w:val="22"/>
                <w:szCs w:val="22"/>
              </w:rPr>
            </w:pPr>
          </w:p>
          <w:p w:rsidR="0067261B" w:rsidRPr="0059544A" w:rsidRDefault="0067261B" w:rsidP="00623F55">
            <w:pPr>
              <w:jc w:val="both"/>
              <w:rPr>
                <w:rFonts w:ascii="Arial" w:hAnsi="Arial" w:cs="Arial"/>
                <w:sz w:val="22"/>
                <w:szCs w:val="22"/>
              </w:rPr>
            </w:pP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Vukšinec Riječki</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sz w:val="22"/>
                <w:szCs w:val="22"/>
              </w:rPr>
              <w:t>Povijesna  cjelina seoskih obilježija</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E</w:t>
            </w:r>
          </w:p>
        </w:tc>
      </w:tr>
    </w:tbl>
    <w:p w:rsidR="0067261B" w:rsidRPr="0059544A" w:rsidRDefault="0067261B" w:rsidP="0067261B">
      <w:pPr>
        <w:jc w:val="both"/>
        <w:rPr>
          <w:b/>
          <w:sz w:val="22"/>
        </w:rPr>
      </w:pPr>
    </w:p>
    <w:p w:rsidR="0067261B" w:rsidRPr="0059544A" w:rsidRDefault="0067261B" w:rsidP="0067261B">
      <w:pPr>
        <w:spacing w:line="360" w:lineRule="auto"/>
        <w:jc w:val="both"/>
        <w:rPr>
          <w:rFonts w:ascii="Arial" w:hAnsi="Arial" w:cs="Arial"/>
          <w:b/>
          <w:sz w:val="22"/>
          <w:szCs w:val="22"/>
        </w:rPr>
      </w:pPr>
      <w:r w:rsidRPr="0059544A">
        <w:rPr>
          <w:rFonts w:ascii="Arial" w:hAnsi="Arial" w:cs="Arial"/>
          <w:b/>
          <w:sz w:val="22"/>
          <w:szCs w:val="22"/>
        </w:rPr>
        <w:t>2. POVIJESNE  GRAĐEVINE I SKLOPOVI</w:t>
      </w:r>
    </w:p>
    <w:p w:rsidR="0067261B" w:rsidRPr="0059544A" w:rsidRDefault="0067261B" w:rsidP="0067261B">
      <w:pPr>
        <w:spacing w:line="360" w:lineRule="auto"/>
        <w:jc w:val="both"/>
        <w:rPr>
          <w:rFonts w:ascii="Arial" w:hAnsi="Arial" w:cs="Arial"/>
          <w:sz w:val="22"/>
          <w:szCs w:val="22"/>
        </w:rPr>
      </w:pPr>
      <w:r w:rsidRPr="0059544A">
        <w:rPr>
          <w:rFonts w:ascii="Arial" w:hAnsi="Arial" w:cs="Arial"/>
          <w:b/>
          <w:sz w:val="22"/>
          <w:szCs w:val="22"/>
        </w:rPr>
        <w:t xml:space="preserve">     </w:t>
      </w:r>
      <w:r w:rsidRPr="0059544A">
        <w:rPr>
          <w:rFonts w:ascii="Arial" w:hAnsi="Arial" w:cs="Arial"/>
          <w:sz w:val="22"/>
          <w:szCs w:val="22"/>
        </w:rPr>
        <w:t>2.1.SAKRALNE GRAĐEVINE</w:t>
      </w:r>
    </w:p>
    <w:p w:rsidR="0067261B" w:rsidRPr="0059544A" w:rsidRDefault="0067261B" w:rsidP="0067261B">
      <w:pPr>
        <w:spacing w:line="360" w:lineRule="auto"/>
        <w:jc w:val="both"/>
        <w:rPr>
          <w:rFonts w:ascii="Arial" w:hAnsi="Arial" w:cs="Arial"/>
          <w:sz w:val="22"/>
          <w:szCs w:val="22"/>
        </w:rPr>
      </w:pPr>
      <w:r w:rsidRPr="0059544A">
        <w:rPr>
          <w:rFonts w:ascii="Arial" w:hAnsi="Arial" w:cs="Arial"/>
          <w:sz w:val="22"/>
          <w:szCs w:val="22"/>
        </w:rPr>
        <w:t xml:space="preserve">           Crkve i kapele</w:t>
      </w:r>
    </w:p>
    <w:tbl>
      <w:tblPr>
        <w:tblStyle w:val="Reetkatablice"/>
        <w:tblW w:w="0" w:type="auto"/>
        <w:tblInd w:w="468" w:type="dxa"/>
        <w:tblLayout w:type="fixed"/>
        <w:tblLook w:val="01E0" w:firstRow="1" w:lastRow="1" w:firstColumn="1" w:lastColumn="1" w:noHBand="0" w:noVBand="0"/>
      </w:tblPr>
      <w:tblGrid>
        <w:gridCol w:w="900"/>
        <w:gridCol w:w="2520"/>
        <w:gridCol w:w="3240"/>
        <w:gridCol w:w="1620"/>
      </w:tblGrid>
      <w:tr w:rsidR="0067261B" w:rsidRPr="0059544A">
        <w:tc>
          <w:tcPr>
            <w:tcW w:w="90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Ident</w:t>
            </w:r>
          </w:p>
          <w:p w:rsidR="0067261B" w:rsidRPr="0059544A" w:rsidRDefault="0067261B" w:rsidP="00623F55">
            <w:pPr>
              <w:jc w:val="both"/>
              <w:rPr>
                <w:rFonts w:ascii="Arial" w:hAnsi="Arial" w:cs="Arial"/>
                <w:b/>
                <w:sz w:val="22"/>
                <w:szCs w:val="22"/>
              </w:rPr>
            </w:pPr>
            <w:r w:rsidRPr="0059544A">
              <w:rPr>
                <w:rFonts w:ascii="Arial" w:hAnsi="Arial" w:cs="Arial"/>
                <w:b/>
                <w:sz w:val="22"/>
                <w:szCs w:val="22"/>
              </w:rPr>
              <w:t>Br.</w:t>
            </w: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 xml:space="preserve">     Naselje</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Spomenik/kulturno. Povijesne vrijednosti</w:t>
            </w:r>
          </w:p>
        </w:tc>
        <w:tc>
          <w:tcPr>
            <w:tcW w:w="162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Spomenički status</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Gornja Rijeka</w:t>
            </w:r>
          </w:p>
        </w:tc>
        <w:tc>
          <w:tcPr>
            <w:tcW w:w="324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ž.c..U.B.D.Marije</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R</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Dropkovec</w:t>
            </w:r>
          </w:p>
        </w:tc>
        <w:tc>
          <w:tcPr>
            <w:tcW w:w="3240" w:type="dxa"/>
          </w:tcPr>
          <w:p w:rsidR="0067261B" w:rsidRPr="0059544A" w:rsidRDefault="0067261B" w:rsidP="00623F55">
            <w:pPr>
              <w:rPr>
                <w:rFonts w:ascii="Arial" w:hAnsi="Arial" w:cs="Arial"/>
                <w:sz w:val="22"/>
                <w:szCs w:val="22"/>
              </w:rPr>
            </w:pPr>
            <w:r w:rsidRPr="0059544A">
              <w:rPr>
                <w:rFonts w:ascii="Arial" w:hAnsi="Arial" w:cs="Arial"/>
                <w:sz w:val="22"/>
                <w:szCs w:val="22"/>
              </w:rPr>
              <w:t>Filialna crkva Sv. Franje Ksaverskog</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R</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Fodrovec Riječki</w:t>
            </w:r>
          </w:p>
        </w:tc>
        <w:tc>
          <w:tcPr>
            <w:tcW w:w="3240" w:type="dxa"/>
          </w:tcPr>
          <w:p w:rsidR="0067261B" w:rsidRPr="0059544A" w:rsidRDefault="0067261B" w:rsidP="00623F55">
            <w:pPr>
              <w:rPr>
                <w:rFonts w:ascii="Arial" w:hAnsi="Arial" w:cs="Arial"/>
                <w:sz w:val="22"/>
                <w:szCs w:val="22"/>
              </w:rPr>
            </w:pPr>
            <w:r w:rsidRPr="0059544A">
              <w:rPr>
                <w:rFonts w:ascii="Arial" w:hAnsi="Arial" w:cs="Arial"/>
                <w:sz w:val="22"/>
                <w:szCs w:val="22"/>
              </w:rPr>
              <w:t>Kapela sv.Križa -1938g</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E</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Kolarec</w:t>
            </w:r>
          </w:p>
        </w:tc>
        <w:tc>
          <w:tcPr>
            <w:tcW w:w="3240" w:type="dxa"/>
          </w:tcPr>
          <w:p w:rsidR="0067261B" w:rsidRPr="0059544A" w:rsidRDefault="0067261B" w:rsidP="00623F55">
            <w:pPr>
              <w:rPr>
                <w:rFonts w:ascii="Arial" w:hAnsi="Arial" w:cs="Arial"/>
                <w:sz w:val="22"/>
                <w:szCs w:val="22"/>
              </w:rPr>
            </w:pPr>
            <w:r w:rsidRPr="0059544A">
              <w:rPr>
                <w:rFonts w:ascii="Arial" w:hAnsi="Arial" w:cs="Arial"/>
                <w:sz w:val="22"/>
                <w:szCs w:val="22"/>
              </w:rPr>
              <w:t>Kapela Sv. Ane</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E</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Kostanjevac Riječki</w:t>
            </w:r>
          </w:p>
        </w:tc>
        <w:tc>
          <w:tcPr>
            <w:tcW w:w="3240" w:type="dxa"/>
          </w:tcPr>
          <w:p w:rsidR="0067261B" w:rsidRPr="0059544A" w:rsidRDefault="0067261B" w:rsidP="00623F55">
            <w:pPr>
              <w:rPr>
                <w:rFonts w:ascii="Arial" w:hAnsi="Arial" w:cs="Arial"/>
                <w:sz w:val="22"/>
                <w:szCs w:val="22"/>
              </w:rPr>
            </w:pPr>
            <w:r w:rsidRPr="0059544A">
              <w:rPr>
                <w:rFonts w:ascii="Arial" w:hAnsi="Arial" w:cs="Arial"/>
                <w:sz w:val="22"/>
                <w:szCs w:val="22"/>
              </w:rPr>
              <w:t>Kapela-poklonac</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E</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Pofuki</w:t>
            </w:r>
          </w:p>
        </w:tc>
        <w:tc>
          <w:tcPr>
            <w:tcW w:w="3240" w:type="dxa"/>
          </w:tcPr>
          <w:p w:rsidR="0067261B" w:rsidRPr="0059544A" w:rsidRDefault="0067261B" w:rsidP="00623F55">
            <w:pPr>
              <w:rPr>
                <w:rFonts w:ascii="Arial" w:hAnsi="Arial" w:cs="Arial"/>
                <w:sz w:val="22"/>
                <w:szCs w:val="22"/>
              </w:rPr>
            </w:pPr>
            <w:r w:rsidRPr="0059544A">
              <w:rPr>
                <w:rFonts w:ascii="Arial" w:hAnsi="Arial" w:cs="Arial"/>
                <w:sz w:val="22"/>
                <w:szCs w:val="22"/>
              </w:rPr>
              <w:t>Kapela Sv. I.Tavelića-1974g</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E</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Vukšinec Riječki</w:t>
            </w:r>
          </w:p>
        </w:tc>
        <w:tc>
          <w:tcPr>
            <w:tcW w:w="3240" w:type="dxa"/>
          </w:tcPr>
          <w:p w:rsidR="0067261B" w:rsidRPr="0059544A" w:rsidRDefault="0067261B" w:rsidP="00623F55">
            <w:pPr>
              <w:rPr>
                <w:rFonts w:ascii="Arial" w:hAnsi="Arial" w:cs="Arial"/>
                <w:sz w:val="22"/>
                <w:szCs w:val="22"/>
              </w:rPr>
            </w:pPr>
            <w:r w:rsidRPr="0059544A">
              <w:rPr>
                <w:rFonts w:ascii="Arial" w:hAnsi="Arial" w:cs="Arial"/>
                <w:sz w:val="22"/>
                <w:szCs w:val="22"/>
              </w:rPr>
              <w:t>Kapela</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E</w:t>
            </w:r>
          </w:p>
        </w:tc>
      </w:tr>
    </w:tbl>
    <w:p w:rsidR="0067261B" w:rsidRPr="0059544A" w:rsidRDefault="0067261B" w:rsidP="0067261B">
      <w:pPr>
        <w:spacing w:line="360" w:lineRule="auto"/>
        <w:jc w:val="both"/>
        <w:rPr>
          <w:rFonts w:ascii="Arial" w:hAnsi="Arial" w:cs="Arial"/>
          <w:sz w:val="22"/>
          <w:szCs w:val="22"/>
        </w:rPr>
      </w:pPr>
    </w:p>
    <w:p w:rsidR="0067261B" w:rsidRPr="0059544A" w:rsidRDefault="0067261B" w:rsidP="0067261B">
      <w:pPr>
        <w:spacing w:line="360" w:lineRule="auto"/>
        <w:jc w:val="both"/>
        <w:rPr>
          <w:rFonts w:ascii="Arial" w:hAnsi="Arial" w:cs="Arial"/>
          <w:sz w:val="22"/>
          <w:szCs w:val="22"/>
        </w:rPr>
      </w:pPr>
      <w:r w:rsidRPr="0059544A">
        <w:rPr>
          <w:rFonts w:ascii="Arial" w:hAnsi="Arial" w:cs="Arial"/>
          <w:sz w:val="22"/>
          <w:szCs w:val="22"/>
        </w:rPr>
        <w:t xml:space="preserve">     2.2.CIVILNE  GRAĐEVINE</w:t>
      </w:r>
    </w:p>
    <w:p w:rsidR="0067261B" w:rsidRPr="0059544A" w:rsidRDefault="0067261B" w:rsidP="0067261B">
      <w:pPr>
        <w:spacing w:line="360" w:lineRule="auto"/>
        <w:jc w:val="both"/>
        <w:rPr>
          <w:rFonts w:ascii="Arial" w:hAnsi="Arial" w:cs="Arial"/>
          <w:sz w:val="22"/>
          <w:szCs w:val="22"/>
        </w:rPr>
      </w:pPr>
      <w:r w:rsidRPr="0059544A">
        <w:rPr>
          <w:rFonts w:ascii="Arial" w:hAnsi="Arial" w:cs="Arial"/>
          <w:sz w:val="22"/>
          <w:szCs w:val="22"/>
        </w:rPr>
        <w:t xml:space="preserve">     2.2.1 Stambene građevine</w:t>
      </w:r>
    </w:p>
    <w:p w:rsidR="0067261B" w:rsidRPr="0059544A" w:rsidRDefault="0067261B" w:rsidP="0067261B">
      <w:pPr>
        <w:spacing w:line="360" w:lineRule="auto"/>
        <w:jc w:val="both"/>
        <w:rPr>
          <w:rFonts w:ascii="Arial" w:hAnsi="Arial" w:cs="Arial"/>
          <w:sz w:val="22"/>
          <w:szCs w:val="22"/>
        </w:rPr>
      </w:pPr>
      <w:r w:rsidRPr="0059544A">
        <w:rPr>
          <w:rFonts w:ascii="Arial" w:hAnsi="Arial" w:cs="Arial"/>
          <w:sz w:val="22"/>
          <w:szCs w:val="22"/>
        </w:rPr>
        <w:t xml:space="preserve">      </w:t>
      </w:r>
    </w:p>
    <w:tbl>
      <w:tblPr>
        <w:tblStyle w:val="Reetkatablice"/>
        <w:tblW w:w="0" w:type="auto"/>
        <w:tblInd w:w="468" w:type="dxa"/>
        <w:tblLayout w:type="fixed"/>
        <w:tblLook w:val="01E0" w:firstRow="1" w:lastRow="1" w:firstColumn="1" w:lastColumn="1" w:noHBand="0" w:noVBand="0"/>
      </w:tblPr>
      <w:tblGrid>
        <w:gridCol w:w="900"/>
        <w:gridCol w:w="2520"/>
        <w:gridCol w:w="3240"/>
        <w:gridCol w:w="1620"/>
      </w:tblGrid>
      <w:tr w:rsidR="0067261B" w:rsidRPr="0059544A">
        <w:tc>
          <w:tcPr>
            <w:tcW w:w="90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Ident</w:t>
            </w:r>
          </w:p>
          <w:p w:rsidR="0067261B" w:rsidRPr="0059544A" w:rsidRDefault="0067261B" w:rsidP="00623F55">
            <w:pPr>
              <w:jc w:val="both"/>
              <w:rPr>
                <w:rFonts w:ascii="Arial" w:hAnsi="Arial" w:cs="Arial"/>
                <w:b/>
                <w:sz w:val="22"/>
                <w:szCs w:val="22"/>
              </w:rPr>
            </w:pPr>
            <w:r w:rsidRPr="0059544A">
              <w:rPr>
                <w:rFonts w:ascii="Arial" w:hAnsi="Arial" w:cs="Arial"/>
                <w:b/>
                <w:sz w:val="22"/>
                <w:szCs w:val="22"/>
              </w:rPr>
              <w:t>Br.</w:t>
            </w: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 xml:space="preserve">     Naselje</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Spomenik/kulturno. Povijesne vrijednosti</w:t>
            </w:r>
          </w:p>
        </w:tc>
        <w:tc>
          <w:tcPr>
            <w:tcW w:w="162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Spomenički status</w:t>
            </w:r>
          </w:p>
        </w:tc>
      </w:tr>
      <w:tr w:rsidR="0067261B" w:rsidRPr="0059544A">
        <w:tc>
          <w:tcPr>
            <w:tcW w:w="900" w:type="dxa"/>
          </w:tcPr>
          <w:p w:rsidR="0067261B" w:rsidRPr="0059544A" w:rsidRDefault="0067261B" w:rsidP="00623F55">
            <w:pPr>
              <w:jc w:val="both"/>
              <w:rPr>
                <w:b/>
                <w:sz w:val="22"/>
              </w:rPr>
            </w:pPr>
          </w:p>
        </w:tc>
        <w:tc>
          <w:tcPr>
            <w:tcW w:w="2520" w:type="dxa"/>
          </w:tcPr>
          <w:p w:rsidR="0067261B" w:rsidRPr="0059544A" w:rsidRDefault="0067261B" w:rsidP="00623F55">
            <w:pPr>
              <w:jc w:val="both"/>
              <w:rPr>
                <w:rFonts w:ascii="Arial" w:hAnsi="Arial" w:cs="Arial"/>
                <w:sz w:val="22"/>
              </w:rPr>
            </w:pPr>
            <w:r w:rsidRPr="0059544A">
              <w:rPr>
                <w:rFonts w:ascii="Arial" w:hAnsi="Arial" w:cs="Arial"/>
                <w:sz w:val="22"/>
              </w:rPr>
              <w:t>Gornja Rijeka</w:t>
            </w:r>
          </w:p>
        </w:tc>
        <w:tc>
          <w:tcPr>
            <w:tcW w:w="3240" w:type="dxa"/>
          </w:tcPr>
          <w:p w:rsidR="0067261B" w:rsidRPr="0059544A" w:rsidRDefault="0067261B" w:rsidP="00623F55">
            <w:pPr>
              <w:jc w:val="both"/>
              <w:rPr>
                <w:rFonts w:ascii="Arial" w:hAnsi="Arial" w:cs="Arial"/>
                <w:sz w:val="22"/>
              </w:rPr>
            </w:pPr>
            <w:r w:rsidRPr="0059544A">
              <w:rPr>
                <w:rFonts w:ascii="Arial" w:hAnsi="Arial" w:cs="Arial"/>
                <w:sz w:val="22"/>
              </w:rPr>
              <w:t>Župni dvor</w:t>
            </w:r>
          </w:p>
        </w:tc>
        <w:tc>
          <w:tcPr>
            <w:tcW w:w="1620" w:type="dxa"/>
          </w:tcPr>
          <w:p w:rsidR="0067261B" w:rsidRPr="0059544A" w:rsidRDefault="0067261B" w:rsidP="00623F55">
            <w:pPr>
              <w:jc w:val="both"/>
              <w:rPr>
                <w:rFonts w:ascii="Arial" w:hAnsi="Arial" w:cs="Arial"/>
                <w:sz w:val="22"/>
              </w:rPr>
            </w:pPr>
            <w:r w:rsidRPr="0059544A">
              <w:rPr>
                <w:rFonts w:ascii="Arial" w:hAnsi="Arial" w:cs="Arial"/>
                <w:sz w:val="22"/>
              </w:rPr>
              <w:t>R</w:t>
            </w:r>
          </w:p>
        </w:tc>
      </w:tr>
      <w:tr w:rsidR="0067261B" w:rsidRPr="0059544A">
        <w:tc>
          <w:tcPr>
            <w:tcW w:w="900" w:type="dxa"/>
          </w:tcPr>
          <w:p w:rsidR="0067261B" w:rsidRPr="0059544A" w:rsidRDefault="0067261B" w:rsidP="00623F55">
            <w:pPr>
              <w:jc w:val="both"/>
              <w:rPr>
                <w:b/>
                <w:sz w:val="22"/>
              </w:rPr>
            </w:pPr>
          </w:p>
        </w:tc>
        <w:tc>
          <w:tcPr>
            <w:tcW w:w="2520" w:type="dxa"/>
          </w:tcPr>
          <w:p w:rsidR="0067261B" w:rsidRPr="0059544A" w:rsidRDefault="0067261B" w:rsidP="00623F55">
            <w:pPr>
              <w:jc w:val="both"/>
              <w:rPr>
                <w:b/>
                <w:sz w:val="22"/>
              </w:rPr>
            </w:pPr>
            <w:r w:rsidRPr="0059544A">
              <w:rPr>
                <w:rFonts w:ascii="Arial" w:hAnsi="Arial" w:cs="Arial"/>
                <w:sz w:val="22"/>
                <w:szCs w:val="22"/>
              </w:rPr>
              <w:t>Gornja Rijeka</w:t>
            </w:r>
          </w:p>
        </w:tc>
        <w:tc>
          <w:tcPr>
            <w:tcW w:w="3240" w:type="dxa"/>
          </w:tcPr>
          <w:p w:rsidR="0067261B" w:rsidRPr="0059544A" w:rsidRDefault="0067261B" w:rsidP="00623F55">
            <w:pPr>
              <w:jc w:val="both"/>
              <w:rPr>
                <w:rFonts w:ascii="Arial" w:hAnsi="Arial" w:cs="Arial"/>
                <w:sz w:val="22"/>
              </w:rPr>
            </w:pPr>
            <w:r w:rsidRPr="0059544A">
              <w:rPr>
                <w:rFonts w:ascii="Arial" w:hAnsi="Arial" w:cs="Arial"/>
                <w:sz w:val="22"/>
              </w:rPr>
              <w:t>br.2,jednokatnica u nizu reprezent. građanska arhitekt.</w:t>
            </w:r>
          </w:p>
        </w:tc>
        <w:tc>
          <w:tcPr>
            <w:tcW w:w="1620" w:type="dxa"/>
          </w:tcPr>
          <w:p w:rsidR="0067261B" w:rsidRPr="0059544A" w:rsidRDefault="0067261B" w:rsidP="00623F55">
            <w:pPr>
              <w:jc w:val="both"/>
              <w:rPr>
                <w:rFonts w:ascii="Arial" w:hAnsi="Arial" w:cs="Arial"/>
                <w:sz w:val="22"/>
              </w:rPr>
            </w:pPr>
            <w:r w:rsidRPr="0059544A">
              <w:rPr>
                <w:rFonts w:ascii="Arial" w:hAnsi="Arial" w:cs="Arial"/>
                <w:sz w:val="22"/>
              </w:rPr>
              <w:t>PZ</w:t>
            </w:r>
          </w:p>
        </w:tc>
      </w:tr>
      <w:tr w:rsidR="0067261B" w:rsidRPr="0059544A">
        <w:tc>
          <w:tcPr>
            <w:tcW w:w="900" w:type="dxa"/>
          </w:tcPr>
          <w:p w:rsidR="0067261B" w:rsidRPr="0059544A" w:rsidRDefault="0067261B" w:rsidP="00623F55">
            <w:pPr>
              <w:jc w:val="both"/>
              <w:rPr>
                <w:b/>
                <w:sz w:val="22"/>
              </w:rPr>
            </w:pPr>
            <w:r w:rsidRPr="0059544A">
              <w:rPr>
                <w:b/>
                <w:sz w:val="22"/>
              </w:rPr>
              <w:t xml:space="preserve">                 </w:t>
            </w:r>
          </w:p>
        </w:tc>
        <w:tc>
          <w:tcPr>
            <w:tcW w:w="25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Gornja Rijeka</w:t>
            </w:r>
          </w:p>
        </w:tc>
        <w:tc>
          <w:tcPr>
            <w:tcW w:w="3240" w:type="dxa"/>
          </w:tcPr>
          <w:p w:rsidR="0067261B" w:rsidRPr="0059544A" w:rsidRDefault="0067261B" w:rsidP="00623F55">
            <w:pPr>
              <w:jc w:val="both"/>
              <w:rPr>
                <w:rFonts w:ascii="Arial" w:hAnsi="Arial" w:cs="Arial"/>
                <w:sz w:val="22"/>
              </w:rPr>
            </w:pPr>
            <w:r w:rsidRPr="0059544A">
              <w:rPr>
                <w:rFonts w:ascii="Arial" w:hAnsi="Arial" w:cs="Arial"/>
                <w:sz w:val="22"/>
              </w:rPr>
              <w:t>br.4 jednokatnica u nizu reprezent. građanska arhitekt.</w:t>
            </w:r>
          </w:p>
        </w:tc>
        <w:tc>
          <w:tcPr>
            <w:tcW w:w="1620" w:type="dxa"/>
          </w:tcPr>
          <w:p w:rsidR="0067261B" w:rsidRPr="0059544A" w:rsidRDefault="0067261B" w:rsidP="00623F55">
            <w:pPr>
              <w:jc w:val="both"/>
              <w:rPr>
                <w:rFonts w:ascii="Arial" w:hAnsi="Arial" w:cs="Arial"/>
                <w:sz w:val="22"/>
              </w:rPr>
            </w:pPr>
            <w:r w:rsidRPr="0059544A">
              <w:rPr>
                <w:rFonts w:ascii="Arial" w:hAnsi="Arial" w:cs="Arial"/>
                <w:sz w:val="22"/>
              </w:rPr>
              <w:t>PZ</w:t>
            </w:r>
          </w:p>
        </w:tc>
      </w:tr>
    </w:tbl>
    <w:p w:rsidR="0067261B" w:rsidRPr="0059544A" w:rsidRDefault="0067261B" w:rsidP="0067261B">
      <w:pPr>
        <w:jc w:val="both"/>
        <w:rPr>
          <w:b/>
          <w:sz w:val="22"/>
        </w:rPr>
      </w:pPr>
      <w:r w:rsidRPr="0059544A">
        <w:rPr>
          <w:b/>
          <w:sz w:val="22"/>
        </w:rPr>
        <w:t xml:space="preserve">      </w:t>
      </w:r>
    </w:p>
    <w:p w:rsidR="0067261B" w:rsidRPr="0059544A" w:rsidRDefault="0067261B" w:rsidP="0067261B">
      <w:pPr>
        <w:jc w:val="both"/>
        <w:rPr>
          <w:b/>
          <w:sz w:val="22"/>
        </w:rPr>
      </w:pPr>
      <w:r w:rsidRPr="0059544A">
        <w:rPr>
          <w:b/>
          <w:sz w:val="22"/>
        </w:rPr>
        <w:t xml:space="preserve">     </w:t>
      </w:r>
      <w:r w:rsidRPr="0059544A">
        <w:rPr>
          <w:rFonts w:ascii="Arial" w:hAnsi="Arial" w:cs="Arial"/>
          <w:sz w:val="22"/>
        </w:rPr>
        <w:t xml:space="preserve"> 2.2.1.1.Stambene građevine.tradicijskih seoskih obilježija</w:t>
      </w:r>
    </w:p>
    <w:tbl>
      <w:tblPr>
        <w:tblStyle w:val="Reetkatablice"/>
        <w:tblW w:w="0" w:type="auto"/>
        <w:tblInd w:w="468" w:type="dxa"/>
        <w:tblLayout w:type="fixed"/>
        <w:tblLook w:val="01E0" w:firstRow="1" w:lastRow="1" w:firstColumn="1" w:lastColumn="1" w:noHBand="0" w:noVBand="0"/>
      </w:tblPr>
      <w:tblGrid>
        <w:gridCol w:w="900"/>
        <w:gridCol w:w="2520"/>
        <w:gridCol w:w="3240"/>
        <w:gridCol w:w="1620"/>
      </w:tblGrid>
      <w:tr w:rsidR="0067261B" w:rsidRPr="0059544A">
        <w:tc>
          <w:tcPr>
            <w:tcW w:w="90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Ident</w:t>
            </w:r>
          </w:p>
          <w:p w:rsidR="0067261B" w:rsidRPr="0059544A" w:rsidRDefault="0067261B" w:rsidP="00623F55">
            <w:pPr>
              <w:jc w:val="both"/>
              <w:rPr>
                <w:rFonts w:ascii="Arial" w:hAnsi="Arial" w:cs="Arial"/>
                <w:b/>
                <w:sz w:val="22"/>
                <w:szCs w:val="22"/>
              </w:rPr>
            </w:pPr>
            <w:r w:rsidRPr="0059544A">
              <w:rPr>
                <w:rFonts w:ascii="Arial" w:hAnsi="Arial" w:cs="Arial"/>
                <w:b/>
                <w:sz w:val="22"/>
                <w:szCs w:val="22"/>
              </w:rPr>
              <w:t>Br.</w:t>
            </w: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 xml:space="preserve">     Naselje</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Spomenik/kulturno. Povijesne vrijednosti</w:t>
            </w:r>
          </w:p>
        </w:tc>
        <w:tc>
          <w:tcPr>
            <w:tcW w:w="162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Spomenički status</w:t>
            </w:r>
          </w:p>
        </w:tc>
      </w:tr>
      <w:tr w:rsidR="0067261B" w:rsidRPr="0059544A">
        <w:trPr>
          <w:trHeight w:val="585"/>
        </w:trPr>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Barlabaševec</w:t>
            </w:r>
          </w:p>
        </w:tc>
        <w:tc>
          <w:tcPr>
            <w:tcW w:w="324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Stambena građevina sa okućnicom na poč. naselja</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E</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Deklešanec</w:t>
            </w:r>
          </w:p>
        </w:tc>
        <w:tc>
          <w:tcPr>
            <w:tcW w:w="3240" w:type="dxa"/>
          </w:tcPr>
          <w:p w:rsidR="0067261B" w:rsidRPr="0059544A" w:rsidRDefault="0067261B" w:rsidP="00623F55">
            <w:pPr>
              <w:rPr>
                <w:rFonts w:ascii="Arial" w:hAnsi="Arial" w:cs="Arial"/>
                <w:sz w:val="22"/>
                <w:szCs w:val="22"/>
              </w:rPr>
            </w:pPr>
            <w:r w:rsidRPr="0059544A">
              <w:rPr>
                <w:rFonts w:ascii="Arial" w:hAnsi="Arial" w:cs="Arial"/>
                <w:sz w:val="22"/>
                <w:szCs w:val="22"/>
              </w:rPr>
              <w:t xml:space="preserve">Stambena građevina sa okućnicom </w:t>
            </w:r>
          </w:p>
          <w:p w:rsidR="0067261B" w:rsidRPr="0059544A" w:rsidRDefault="0067261B" w:rsidP="00623F55">
            <w:pPr>
              <w:rPr>
                <w:rFonts w:ascii="Arial" w:hAnsi="Arial" w:cs="Arial"/>
                <w:sz w:val="22"/>
                <w:szCs w:val="22"/>
              </w:rPr>
            </w:pPr>
            <w:r w:rsidRPr="0059544A">
              <w:rPr>
                <w:rFonts w:ascii="Arial" w:hAnsi="Arial" w:cs="Arial"/>
                <w:sz w:val="22"/>
                <w:szCs w:val="22"/>
              </w:rPr>
              <w:t>Br.7, 11, 13, 46, 47, 61, 62, 63,68 ,73, 74</w:t>
            </w:r>
            <w:r w:rsidRPr="0059544A">
              <w:rPr>
                <w:rFonts w:ascii="Arial" w:hAnsi="Arial" w:cs="Arial"/>
                <w:b/>
                <w:sz w:val="22"/>
                <w:szCs w:val="22"/>
              </w:rPr>
              <w:t xml:space="preserve">, </w:t>
            </w:r>
            <w:r w:rsidRPr="0059544A">
              <w:rPr>
                <w:rFonts w:ascii="Arial" w:hAnsi="Arial" w:cs="Arial"/>
                <w:sz w:val="22"/>
                <w:szCs w:val="22"/>
              </w:rPr>
              <w:t>bb.preko</w:t>
            </w:r>
            <w:r w:rsidRPr="0059544A">
              <w:rPr>
                <w:rFonts w:ascii="Arial" w:hAnsi="Arial" w:cs="Arial"/>
                <w:b/>
                <w:sz w:val="22"/>
                <w:szCs w:val="22"/>
              </w:rPr>
              <w:t xml:space="preserve"> </w:t>
            </w:r>
            <w:r w:rsidRPr="0059544A">
              <w:rPr>
                <w:rFonts w:ascii="Arial" w:hAnsi="Arial" w:cs="Arial"/>
                <w:sz w:val="22"/>
                <w:szCs w:val="22"/>
              </w:rPr>
              <w:t>puta br.68.</w:t>
            </w:r>
          </w:p>
          <w:p w:rsidR="0067261B" w:rsidRPr="0059544A" w:rsidRDefault="0067261B" w:rsidP="00623F55">
            <w:pPr>
              <w:rPr>
                <w:rFonts w:ascii="Arial" w:hAnsi="Arial" w:cs="Arial"/>
                <w:b/>
                <w:sz w:val="22"/>
                <w:szCs w:val="22"/>
              </w:rPr>
            </w:pPr>
            <w:r w:rsidRPr="0059544A">
              <w:rPr>
                <w:rFonts w:ascii="Arial" w:hAnsi="Arial" w:cs="Arial"/>
                <w:b/>
                <w:sz w:val="22"/>
                <w:szCs w:val="22"/>
              </w:rPr>
              <w:t xml:space="preserve">Br 68                                          </w:t>
            </w:r>
          </w:p>
        </w:tc>
        <w:tc>
          <w:tcPr>
            <w:tcW w:w="1620" w:type="dxa"/>
          </w:tcPr>
          <w:p w:rsidR="0067261B" w:rsidRPr="0059544A" w:rsidRDefault="0067261B" w:rsidP="00623F55">
            <w:pPr>
              <w:jc w:val="both"/>
              <w:rPr>
                <w:rFonts w:ascii="Arial" w:hAnsi="Arial" w:cs="Arial"/>
                <w:sz w:val="22"/>
                <w:szCs w:val="22"/>
              </w:rPr>
            </w:pPr>
          </w:p>
          <w:p w:rsidR="0067261B" w:rsidRPr="0059544A" w:rsidRDefault="0067261B" w:rsidP="00623F55">
            <w:pPr>
              <w:jc w:val="both"/>
              <w:rPr>
                <w:rFonts w:ascii="Arial" w:hAnsi="Arial" w:cs="Arial"/>
                <w:sz w:val="22"/>
                <w:szCs w:val="22"/>
              </w:rPr>
            </w:pPr>
          </w:p>
          <w:p w:rsidR="0067261B" w:rsidRPr="0059544A" w:rsidRDefault="0067261B" w:rsidP="00623F55">
            <w:pPr>
              <w:jc w:val="both"/>
              <w:rPr>
                <w:rFonts w:ascii="Arial" w:hAnsi="Arial" w:cs="Arial"/>
                <w:sz w:val="22"/>
                <w:szCs w:val="22"/>
              </w:rPr>
            </w:pPr>
            <w:r w:rsidRPr="0059544A">
              <w:rPr>
                <w:rFonts w:ascii="Arial" w:hAnsi="Arial" w:cs="Arial"/>
                <w:sz w:val="22"/>
                <w:szCs w:val="22"/>
              </w:rPr>
              <w:t>E</w:t>
            </w:r>
          </w:p>
          <w:p w:rsidR="0067261B" w:rsidRPr="0059544A" w:rsidRDefault="0067261B" w:rsidP="00623F55">
            <w:pPr>
              <w:jc w:val="both"/>
              <w:rPr>
                <w:rFonts w:ascii="Arial" w:hAnsi="Arial" w:cs="Arial"/>
                <w:sz w:val="22"/>
                <w:szCs w:val="22"/>
              </w:rPr>
            </w:pPr>
          </w:p>
          <w:p w:rsidR="0067261B" w:rsidRPr="0059544A" w:rsidRDefault="0067261B" w:rsidP="00623F55">
            <w:pPr>
              <w:jc w:val="both"/>
              <w:rPr>
                <w:rFonts w:ascii="Arial" w:hAnsi="Arial" w:cs="Arial"/>
                <w:sz w:val="22"/>
                <w:szCs w:val="22"/>
              </w:rPr>
            </w:pPr>
          </w:p>
          <w:p w:rsidR="0067261B" w:rsidRPr="0059544A" w:rsidRDefault="0067261B" w:rsidP="00623F55">
            <w:pPr>
              <w:jc w:val="both"/>
              <w:rPr>
                <w:rFonts w:ascii="Arial" w:hAnsi="Arial" w:cs="Arial"/>
                <w:sz w:val="22"/>
                <w:szCs w:val="22"/>
              </w:rPr>
            </w:pPr>
            <w:r w:rsidRPr="0059544A">
              <w:rPr>
                <w:rFonts w:ascii="Arial" w:hAnsi="Arial" w:cs="Arial"/>
                <w:sz w:val="22"/>
                <w:szCs w:val="22"/>
              </w:rPr>
              <w:t>PZ</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Donja Rijeka-Jelaki/ Berdovina/</w:t>
            </w:r>
          </w:p>
        </w:tc>
        <w:tc>
          <w:tcPr>
            <w:tcW w:w="3240" w:type="dxa"/>
          </w:tcPr>
          <w:p w:rsidR="0067261B" w:rsidRPr="0059544A" w:rsidRDefault="0067261B" w:rsidP="00623F55">
            <w:pPr>
              <w:rPr>
                <w:rFonts w:ascii="Arial" w:hAnsi="Arial" w:cs="Arial"/>
                <w:sz w:val="22"/>
              </w:rPr>
            </w:pPr>
            <w:r w:rsidRPr="0059544A">
              <w:rPr>
                <w:rFonts w:ascii="Arial" w:hAnsi="Arial" w:cs="Arial"/>
                <w:sz w:val="22"/>
              </w:rPr>
              <w:t>Stambene građevine sa okućnicom:</w:t>
            </w:r>
          </w:p>
          <w:p w:rsidR="0067261B" w:rsidRPr="0059544A" w:rsidRDefault="0067261B" w:rsidP="00623F55">
            <w:pPr>
              <w:rPr>
                <w:rFonts w:ascii="Arial" w:hAnsi="Arial" w:cs="Arial"/>
                <w:sz w:val="22"/>
              </w:rPr>
            </w:pPr>
            <w:r w:rsidRPr="0059544A">
              <w:rPr>
                <w:rFonts w:ascii="Arial" w:hAnsi="Arial" w:cs="Arial"/>
                <w:sz w:val="22"/>
              </w:rPr>
              <w:t>Br.61, br. 188</w:t>
            </w:r>
          </w:p>
        </w:tc>
        <w:tc>
          <w:tcPr>
            <w:tcW w:w="1620" w:type="dxa"/>
          </w:tcPr>
          <w:p w:rsidR="0067261B" w:rsidRPr="0059544A" w:rsidRDefault="0067261B" w:rsidP="00623F55">
            <w:pPr>
              <w:jc w:val="both"/>
              <w:rPr>
                <w:rFonts w:ascii="Arial" w:hAnsi="Arial" w:cs="Arial"/>
                <w:sz w:val="22"/>
                <w:szCs w:val="22"/>
              </w:rPr>
            </w:pPr>
          </w:p>
          <w:p w:rsidR="0067261B" w:rsidRPr="0059544A" w:rsidRDefault="0067261B" w:rsidP="00623F55">
            <w:pPr>
              <w:jc w:val="both"/>
              <w:rPr>
                <w:rFonts w:ascii="Arial" w:hAnsi="Arial" w:cs="Arial"/>
                <w:sz w:val="22"/>
                <w:szCs w:val="22"/>
              </w:rPr>
            </w:pPr>
          </w:p>
          <w:p w:rsidR="0067261B" w:rsidRPr="0059544A" w:rsidRDefault="0067261B" w:rsidP="00623F55">
            <w:pPr>
              <w:jc w:val="both"/>
              <w:rPr>
                <w:rFonts w:ascii="Arial" w:hAnsi="Arial" w:cs="Arial"/>
                <w:sz w:val="22"/>
                <w:szCs w:val="22"/>
              </w:rPr>
            </w:pPr>
            <w:r w:rsidRPr="0059544A">
              <w:rPr>
                <w:rFonts w:ascii="Arial" w:hAnsi="Arial" w:cs="Arial"/>
                <w:sz w:val="22"/>
                <w:szCs w:val="22"/>
              </w:rPr>
              <w:t>E</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Donja Rijeka-Šikači</w:t>
            </w:r>
          </w:p>
        </w:tc>
        <w:tc>
          <w:tcPr>
            <w:tcW w:w="3240" w:type="dxa"/>
          </w:tcPr>
          <w:p w:rsidR="0067261B" w:rsidRPr="0059544A" w:rsidRDefault="0067261B" w:rsidP="00623F55">
            <w:pPr>
              <w:rPr>
                <w:rFonts w:ascii="Arial" w:hAnsi="Arial" w:cs="Arial"/>
                <w:sz w:val="22"/>
              </w:rPr>
            </w:pPr>
            <w:r w:rsidRPr="0059544A">
              <w:rPr>
                <w:rFonts w:ascii="Arial" w:hAnsi="Arial" w:cs="Arial"/>
                <w:sz w:val="22"/>
              </w:rPr>
              <w:t>Stambena građevina sa okućnicom:</w:t>
            </w:r>
          </w:p>
          <w:p w:rsidR="0067261B" w:rsidRPr="0059544A" w:rsidRDefault="0067261B" w:rsidP="00623F55">
            <w:pPr>
              <w:rPr>
                <w:rFonts w:ascii="Arial" w:hAnsi="Arial" w:cs="Arial"/>
                <w:sz w:val="22"/>
              </w:rPr>
            </w:pPr>
            <w:r w:rsidRPr="0059544A">
              <w:rPr>
                <w:rFonts w:ascii="Arial" w:hAnsi="Arial" w:cs="Arial"/>
                <w:sz w:val="22"/>
              </w:rPr>
              <w:t>Br.bb</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E</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Donja rijeka-Batina</w:t>
            </w:r>
          </w:p>
        </w:tc>
        <w:tc>
          <w:tcPr>
            <w:tcW w:w="3240" w:type="dxa"/>
          </w:tcPr>
          <w:p w:rsidR="0067261B" w:rsidRPr="0059544A" w:rsidRDefault="0067261B" w:rsidP="00623F55">
            <w:pPr>
              <w:rPr>
                <w:rFonts w:ascii="Arial" w:hAnsi="Arial" w:cs="Arial"/>
                <w:sz w:val="22"/>
              </w:rPr>
            </w:pPr>
            <w:r w:rsidRPr="0059544A">
              <w:rPr>
                <w:rFonts w:ascii="Arial" w:hAnsi="Arial" w:cs="Arial"/>
                <w:sz w:val="22"/>
              </w:rPr>
              <w:t>Stambena građevina sa okućnicom:</w:t>
            </w:r>
          </w:p>
          <w:p w:rsidR="0067261B" w:rsidRPr="0059544A" w:rsidRDefault="0067261B" w:rsidP="00623F55">
            <w:pPr>
              <w:rPr>
                <w:rFonts w:ascii="Arial" w:hAnsi="Arial" w:cs="Arial"/>
                <w:sz w:val="22"/>
              </w:rPr>
            </w:pPr>
            <w:r w:rsidRPr="0059544A">
              <w:rPr>
                <w:rFonts w:ascii="Arial" w:hAnsi="Arial" w:cs="Arial"/>
                <w:sz w:val="22"/>
              </w:rPr>
              <w:t>Br.bb</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E</w:t>
            </w:r>
          </w:p>
          <w:p w:rsidR="0067261B" w:rsidRPr="0059544A" w:rsidRDefault="0067261B" w:rsidP="00623F55">
            <w:pPr>
              <w:jc w:val="both"/>
              <w:rPr>
                <w:rFonts w:ascii="Arial" w:hAnsi="Arial" w:cs="Arial"/>
                <w:sz w:val="22"/>
                <w:szCs w:val="22"/>
              </w:rPr>
            </w:pPr>
          </w:p>
          <w:p w:rsidR="0067261B" w:rsidRPr="0059544A" w:rsidRDefault="0067261B" w:rsidP="00623F55">
            <w:pPr>
              <w:jc w:val="both"/>
              <w:rPr>
                <w:rFonts w:ascii="Arial" w:hAnsi="Arial" w:cs="Arial"/>
                <w:sz w:val="22"/>
                <w:szCs w:val="22"/>
              </w:rPr>
            </w:pPr>
          </w:p>
          <w:p w:rsidR="0067261B" w:rsidRPr="0059544A" w:rsidRDefault="0067261B" w:rsidP="00623F55">
            <w:pPr>
              <w:jc w:val="both"/>
              <w:rPr>
                <w:rFonts w:ascii="Arial" w:hAnsi="Arial" w:cs="Arial"/>
                <w:sz w:val="22"/>
                <w:szCs w:val="22"/>
              </w:rPr>
            </w:pPr>
          </w:p>
          <w:p w:rsidR="0067261B" w:rsidRPr="0059544A" w:rsidRDefault="0067261B" w:rsidP="00623F55">
            <w:pPr>
              <w:jc w:val="both"/>
              <w:rPr>
                <w:rFonts w:ascii="Arial" w:hAnsi="Arial" w:cs="Arial"/>
                <w:sz w:val="22"/>
                <w:szCs w:val="22"/>
              </w:rPr>
            </w:pP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Donja Rijeka -Oraki</w:t>
            </w:r>
          </w:p>
        </w:tc>
        <w:tc>
          <w:tcPr>
            <w:tcW w:w="3240" w:type="dxa"/>
          </w:tcPr>
          <w:p w:rsidR="0067261B" w:rsidRPr="0059544A" w:rsidRDefault="0067261B" w:rsidP="00623F55">
            <w:pPr>
              <w:rPr>
                <w:rFonts w:ascii="Arial" w:hAnsi="Arial" w:cs="Arial"/>
                <w:sz w:val="22"/>
              </w:rPr>
            </w:pPr>
            <w:r w:rsidRPr="0059544A">
              <w:rPr>
                <w:rFonts w:ascii="Arial" w:hAnsi="Arial" w:cs="Arial"/>
                <w:sz w:val="22"/>
              </w:rPr>
              <w:t>Stambena građevina sa okućnicom:</w:t>
            </w:r>
          </w:p>
          <w:p w:rsidR="0067261B" w:rsidRPr="0059544A" w:rsidRDefault="0067261B" w:rsidP="00623F55">
            <w:pPr>
              <w:rPr>
                <w:rFonts w:ascii="Arial" w:hAnsi="Arial" w:cs="Arial"/>
                <w:b/>
                <w:sz w:val="22"/>
              </w:rPr>
            </w:pPr>
            <w:r w:rsidRPr="0059544A">
              <w:rPr>
                <w:rFonts w:ascii="Arial" w:hAnsi="Arial" w:cs="Arial"/>
                <w:b/>
                <w:sz w:val="22"/>
              </w:rPr>
              <w:t>Br.51,br.71,br.67</w:t>
            </w:r>
          </w:p>
        </w:tc>
        <w:tc>
          <w:tcPr>
            <w:tcW w:w="1620" w:type="dxa"/>
          </w:tcPr>
          <w:p w:rsidR="0067261B" w:rsidRPr="0059544A" w:rsidRDefault="0067261B" w:rsidP="00623F55">
            <w:pPr>
              <w:jc w:val="both"/>
              <w:rPr>
                <w:rFonts w:ascii="Arial" w:hAnsi="Arial" w:cs="Arial"/>
                <w:sz w:val="22"/>
                <w:szCs w:val="22"/>
              </w:rPr>
            </w:pPr>
          </w:p>
          <w:p w:rsidR="0067261B" w:rsidRPr="0059544A" w:rsidRDefault="0067261B" w:rsidP="00623F55">
            <w:pPr>
              <w:jc w:val="both"/>
              <w:rPr>
                <w:rFonts w:ascii="Arial" w:hAnsi="Arial" w:cs="Arial"/>
                <w:sz w:val="22"/>
                <w:szCs w:val="22"/>
              </w:rPr>
            </w:pPr>
          </w:p>
          <w:p w:rsidR="0067261B" w:rsidRPr="0059544A" w:rsidRDefault="0067261B" w:rsidP="00623F55">
            <w:pPr>
              <w:jc w:val="both"/>
              <w:rPr>
                <w:rFonts w:ascii="Arial" w:hAnsi="Arial" w:cs="Arial"/>
                <w:sz w:val="22"/>
                <w:szCs w:val="22"/>
              </w:rPr>
            </w:pPr>
            <w:r w:rsidRPr="0059544A">
              <w:rPr>
                <w:rFonts w:ascii="Arial" w:hAnsi="Arial" w:cs="Arial"/>
                <w:sz w:val="22"/>
                <w:szCs w:val="22"/>
              </w:rPr>
              <w:t>PZ</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Dropkovec</w:t>
            </w:r>
          </w:p>
        </w:tc>
        <w:tc>
          <w:tcPr>
            <w:tcW w:w="3240" w:type="dxa"/>
          </w:tcPr>
          <w:p w:rsidR="0067261B" w:rsidRPr="0059544A" w:rsidRDefault="0067261B" w:rsidP="00623F55">
            <w:pPr>
              <w:rPr>
                <w:rFonts w:ascii="Arial" w:hAnsi="Arial" w:cs="Arial"/>
                <w:sz w:val="22"/>
              </w:rPr>
            </w:pPr>
            <w:r w:rsidRPr="0059544A">
              <w:rPr>
                <w:rFonts w:ascii="Arial" w:hAnsi="Arial" w:cs="Arial"/>
                <w:sz w:val="22"/>
              </w:rPr>
              <w:t>Stambena građevina sa okućnicom:</w:t>
            </w:r>
          </w:p>
          <w:p w:rsidR="0067261B" w:rsidRPr="0059544A" w:rsidRDefault="0067261B" w:rsidP="00623F55">
            <w:pPr>
              <w:rPr>
                <w:rFonts w:ascii="Arial" w:hAnsi="Arial" w:cs="Arial"/>
                <w:sz w:val="22"/>
              </w:rPr>
            </w:pPr>
            <w:r w:rsidRPr="0059544A">
              <w:rPr>
                <w:rFonts w:ascii="Arial" w:hAnsi="Arial" w:cs="Arial"/>
                <w:sz w:val="22"/>
              </w:rPr>
              <w:t>br.71,49,58,83,73,44,42,36</w:t>
            </w:r>
          </w:p>
          <w:p w:rsidR="0067261B" w:rsidRPr="0059544A" w:rsidRDefault="0067261B" w:rsidP="00623F55">
            <w:pPr>
              <w:rPr>
                <w:rFonts w:ascii="Arial" w:hAnsi="Arial" w:cs="Arial"/>
                <w:b/>
                <w:sz w:val="22"/>
              </w:rPr>
            </w:pPr>
            <w:r w:rsidRPr="0059544A">
              <w:rPr>
                <w:rFonts w:ascii="Arial" w:hAnsi="Arial" w:cs="Arial"/>
                <w:sz w:val="22"/>
              </w:rPr>
              <w:t xml:space="preserve"> </w:t>
            </w:r>
            <w:r w:rsidRPr="0059544A">
              <w:rPr>
                <w:rFonts w:ascii="Arial" w:hAnsi="Arial" w:cs="Arial"/>
                <w:b/>
                <w:sz w:val="22"/>
              </w:rPr>
              <w:t xml:space="preserve">st.br.83  </w:t>
            </w:r>
          </w:p>
        </w:tc>
        <w:tc>
          <w:tcPr>
            <w:tcW w:w="1620" w:type="dxa"/>
          </w:tcPr>
          <w:p w:rsidR="0067261B" w:rsidRPr="0059544A" w:rsidRDefault="0067261B" w:rsidP="00623F55">
            <w:pPr>
              <w:jc w:val="both"/>
              <w:rPr>
                <w:rFonts w:ascii="Arial" w:hAnsi="Arial" w:cs="Arial"/>
                <w:sz w:val="22"/>
                <w:szCs w:val="22"/>
              </w:rPr>
            </w:pPr>
          </w:p>
          <w:p w:rsidR="0067261B" w:rsidRPr="0059544A" w:rsidRDefault="0067261B" w:rsidP="00623F55">
            <w:pPr>
              <w:jc w:val="both"/>
              <w:rPr>
                <w:rFonts w:ascii="Arial" w:hAnsi="Arial" w:cs="Arial"/>
                <w:sz w:val="22"/>
                <w:szCs w:val="22"/>
              </w:rPr>
            </w:pPr>
          </w:p>
          <w:p w:rsidR="0067261B" w:rsidRPr="0059544A" w:rsidRDefault="0067261B" w:rsidP="00623F55">
            <w:pPr>
              <w:jc w:val="both"/>
              <w:rPr>
                <w:rFonts w:ascii="Arial" w:hAnsi="Arial" w:cs="Arial"/>
                <w:sz w:val="22"/>
                <w:szCs w:val="22"/>
              </w:rPr>
            </w:pPr>
            <w:r w:rsidRPr="0059544A">
              <w:rPr>
                <w:rFonts w:ascii="Arial" w:hAnsi="Arial" w:cs="Arial"/>
                <w:sz w:val="22"/>
                <w:szCs w:val="22"/>
              </w:rPr>
              <w:t>E</w:t>
            </w:r>
          </w:p>
          <w:p w:rsidR="0067261B" w:rsidRPr="0059544A" w:rsidRDefault="0067261B" w:rsidP="00623F55">
            <w:pPr>
              <w:jc w:val="both"/>
              <w:rPr>
                <w:rFonts w:ascii="Arial" w:hAnsi="Arial" w:cs="Arial"/>
                <w:sz w:val="22"/>
                <w:szCs w:val="22"/>
              </w:rPr>
            </w:pPr>
            <w:r w:rsidRPr="0059544A">
              <w:rPr>
                <w:rFonts w:ascii="Arial" w:hAnsi="Arial" w:cs="Arial"/>
                <w:sz w:val="22"/>
                <w:szCs w:val="22"/>
              </w:rPr>
              <w:t>PZ</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Fajerovec</w:t>
            </w:r>
          </w:p>
        </w:tc>
        <w:tc>
          <w:tcPr>
            <w:tcW w:w="3240" w:type="dxa"/>
          </w:tcPr>
          <w:p w:rsidR="0067261B" w:rsidRPr="0059544A" w:rsidRDefault="0067261B" w:rsidP="00623F55">
            <w:pPr>
              <w:rPr>
                <w:rFonts w:ascii="Arial" w:hAnsi="Arial" w:cs="Arial"/>
                <w:sz w:val="22"/>
              </w:rPr>
            </w:pPr>
            <w:r w:rsidRPr="0059544A">
              <w:rPr>
                <w:rFonts w:ascii="Arial" w:hAnsi="Arial" w:cs="Arial"/>
                <w:sz w:val="22"/>
              </w:rPr>
              <w:t xml:space="preserve">Stambena građevina sa okućnicama: </w:t>
            </w:r>
          </w:p>
          <w:p w:rsidR="0067261B" w:rsidRPr="0059544A" w:rsidRDefault="0067261B" w:rsidP="00623F55">
            <w:pPr>
              <w:rPr>
                <w:rFonts w:ascii="Arial" w:hAnsi="Arial" w:cs="Arial"/>
                <w:sz w:val="22"/>
              </w:rPr>
            </w:pPr>
            <w:r w:rsidRPr="0059544A">
              <w:rPr>
                <w:rFonts w:ascii="Arial" w:hAnsi="Arial" w:cs="Arial"/>
                <w:sz w:val="22"/>
              </w:rPr>
              <w:t>br.23-pl.Šatvar ?</w:t>
            </w:r>
          </w:p>
          <w:p w:rsidR="0067261B" w:rsidRPr="0059544A" w:rsidRDefault="0067261B" w:rsidP="00623F55">
            <w:pPr>
              <w:rPr>
                <w:rFonts w:ascii="Arial" w:hAnsi="Arial" w:cs="Arial"/>
                <w:sz w:val="22"/>
              </w:rPr>
            </w:pPr>
            <w:r w:rsidRPr="0059544A">
              <w:rPr>
                <w:rFonts w:ascii="Arial" w:hAnsi="Arial" w:cs="Arial"/>
                <w:sz w:val="22"/>
              </w:rPr>
              <w:t xml:space="preserve">br.34, sjev.od br.33, br.9,br.bb,    br 33,br.bb-zadnja u odvojku </w:t>
            </w:r>
          </w:p>
        </w:tc>
        <w:tc>
          <w:tcPr>
            <w:tcW w:w="1620" w:type="dxa"/>
          </w:tcPr>
          <w:p w:rsidR="0067261B" w:rsidRPr="0059544A" w:rsidRDefault="0067261B" w:rsidP="00623F55">
            <w:pPr>
              <w:jc w:val="both"/>
              <w:rPr>
                <w:rFonts w:ascii="Arial" w:hAnsi="Arial" w:cs="Arial"/>
                <w:sz w:val="22"/>
                <w:szCs w:val="22"/>
              </w:rPr>
            </w:pPr>
          </w:p>
          <w:p w:rsidR="0067261B" w:rsidRPr="0059544A" w:rsidRDefault="0067261B" w:rsidP="00623F55">
            <w:pPr>
              <w:jc w:val="both"/>
              <w:rPr>
                <w:rFonts w:ascii="Arial" w:hAnsi="Arial" w:cs="Arial"/>
                <w:sz w:val="22"/>
                <w:szCs w:val="22"/>
              </w:rPr>
            </w:pPr>
          </w:p>
          <w:p w:rsidR="0067261B" w:rsidRPr="0059544A" w:rsidRDefault="0067261B" w:rsidP="00623F55">
            <w:pPr>
              <w:jc w:val="both"/>
              <w:rPr>
                <w:rFonts w:ascii="Arial" w:hAnsi="Arial" w:cs="Arial"/>
                <w:sz w:val="22"/>
                <w:szCs w:val="22"/>
              </w:rPr>
            </w:pPr>
            <w:r w:rsidRPr="0059544A">
              <w:rPr>
                <w:rFonts w:ascii="Arial" w:hAnsi="Arial" w:cs="Arial"/>
                <w:sz w:val="22"/>
                <w:szCs w:val="22"/>
              </w:rPr>
              <w:t>PZ</w:t>
            </w:r>
          </w:p>
          <w:p w:rsidR="0067261B" w:rsidRPr="0059544A" w:rsidRDefault="0067261B" w:rsidP="00623F55">
            <w:pPr>
              <w:jc w:val="both"/>
              <w:rPr>
                <w:rFonts w:ascii="Arial" w:hAnsi="Arial" w:cs="Arial"/>
                <w:sz w:val="22"/>
                <w:szCs w:val="22"/>
              </w:rPr>
            </w:pPr>
            <w:r w:rsidRPr="0059544A">
              <w:rPr>
                <w:rFonts w:ascii="Arial" w:hAnsi="Arial" w:cs="Arial"/>
                <w:sz w:val="22"/>
                <w:szCs w:val="22"/>
              </w:rPr>
              <w:t>E</w:t>
            </w:r>
          </w:p>
          <w:p w:rsidR="0067261B" w:rsidRPr="0059544A" w:rsidRDefault="0067261B" w:rsidP="00623F55">
            <w:pPr>
              <w:jc w:val="both"/>
              <w:rPr>
                <w:rFonts w:ascii="Arial" w:hAnsi="Arial" w:cs="Arial"/>
                <w:sz w:val="22"/>
                <w:szCs w:val="22"/>
              </w:rPr>
            </w:pP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Fodrovec Riječki</w:t>
            </w:r>
          </w:p>
        </w:tc>
        <w:tc>
          <w:tcPr>
            <w:tcW w:w="3240" w:type="dxa"/>
          </w:tcPr>
          <w:p w:rsidR="0067261B" w:rsidRPr="0059544A" w:rsidRDefault="0067261B" w:rsidP="00623F55">
            <w:pPr>
              <w:rPr>
                <w:rFonts w:ascii="Arial" w:hAnsi="Arial" w:cs="Arial"/>
                <w:sz w:val="22"/>
              </w:rPr>
            </w:pPr>
            <w:r w:rsidRPr="0059544A">
              <w:rPr>
                <w:rFonts w:ascii="Arial" w:hAnsi="Arial" w:cs="Arial"/>
                <w:sz w:val="22"/>
              </w:rPr>
              <w:t xml:space="preserve">Stambena građevina sa okućnicama: </w:t>
            </w:r>
          </w:p>
          <w:p w:rsidR="0067261B" w:rsidRPr="0059544A" w:rsidRDefault="0067261B" w:rsidP="00623F55">
            <w:pPr>
              <w:rPr>
                <w:rFonts w:ascii="Arial" w:hAnsi="Arial" w:cs="Arial"/>
                <w:sz w:val="22"/>
              </w:rPr>
            </w:pPr>
            <w:r w:rsidRPr="0059544A">
              <w:rPr>
                <w:rFonts w:ascii="Arial" w:hAnsi="Arial" w:cs="Arial"/>
                <w:sz w:val="22"/>
              </w:rPr>
              <w:t>Br. 14(26),.br: bb.</w:t>
            </w:r>
          </w:p>
        </w:tc>
        <w:tc>
          <w:tcPr>
            <w:tcW w:w="1620" w:type="dxa"/>
          </w:tcPr>
          <w:p w:rsidR="0067261B" w:rsidRPr="0059544A" w:rsidRDefault="0067261B" w:rsidP="00623F55">
            <w:pPr>
              <w:jc w:val="both"/>
              <w:rPr>
                <w:rFonts w:ascii="Arial" w:hAnsi="Arial" w:cs="Arial"/>
                <w:sz w:val="22"/>
                <w:szCs w:val="22"/>
              </w:rPr>
            </w:pPr>
          </w:p>
          <w:p w:rsidR="0067261B" w:rsidRPr="0059544A" w:rsidRDefault="0067261B" w:rsidP="00623F55">
            <w:pPr>
              <w:jc w:val="both"/>
              <w:rPr>
                <w:rFonts w:ascii="Arial" w:hAnsi="Arial" w:cs="Arial"/>
                <w:sz w:val="22"/>
                <w:szCs w:val="22"/>
              </w:rPr>
            </w:pPr>
          </w:p>
          <w:p w:rsidR="0067261B" w:rsidRPr="0059544A" w:rsidRDefault="0067261B" w:rsidP="00623F55">
            <w:pPr>
              <w:jc w:val="both"/>
              <w:rPr>
                <w:rFonts w:ascii="Arial" w:hAnsi="Arial" w:cs="Arial"/>
                <w:sz w:val="22"/>
                <w:szCs w:val="22"/>
              </w:rPr>
            </w:pPr>
            <w:r w:rsidRPr="0059544A">
              <w:rPr>
                <w:rFonts w:ascii="Arial" w:hAnsi="Arial" w:cs="Arial"/>
                <w:sz w:val="22"/>
                <w:szCs w:val="22"/>
              </w:rPr>
              <w:t>E</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Gornja Rijeka</w:t>
            </w:r>
          </w:p>
        </w:tc>
        <w:tc>
          <w:tcPr>
            <w:tcW w:w="3240" w:type="dxa"/>
          </w:tcPr>
          <w:p w:rsidR="0067261B" w:rsidRPr="0059544A" w:rsidRDefault="0067261B" w:rsidP="00623F55">
            <w:pPr>
              <w:rPr>
                <w:rFonts w:ascii="Arial" w:hAnsi="Arial" w:cs="Arial"/>
                <w:sz w:val="22"/>
              </w:rPr>
            </w:pPr>
            <w:r w:rsidRPr="0059544A">
              <w:rPr>
                <w:rFonts w:ascii="Arial" w:hAnsi="Arial" w:cs="Arial"/>
                <w:sz w:val="22"/>
              </w:rPr>
              <w:t>Stambena građevina sa okućnicom:</w:t>
            </w:r>
          </w:p>
          <w:p w:rsidR="0067261B" w:rsidRPr="0059544A" w:rsidRDefault="0067261B" w:rsidP="00623F55">
            <w:pPr>
              <w:rPr>
                <w:rFonts w:ascii="Arial" w:hAnsi="Arial" w:cs="Arial"/>
                <w:sz w:val="22"/>
              </w:rPr>
            </w:pPr>
            <w:r w:rsidRPr="0059544A">
              <w:rPr>
                <w:rFonts w:ascii="Arial" w:hAnsi="Arial" w:cs="Arial"/>
                <w:sz w:val="22"/>
              </w:rPr>
              <w:t xml:space="preserve">br.31, bb, </w:t>
            </w:r>
          </w:p>
          <w:p w:rsidR="0067261B" w:rsidRPr="0059544A" w:rsidRDefault="0067261B" w:rsidP="00623F55">
            <w:pPr>
              <w:rPr>
                <w:rFonts w:ascii="Arial" w:hAnsi="Arial" w:cs="Arial"/>
                <w:sz w:val="22"/>
              </w:rPr>
            </w:pPr>
          </w:p>
        </w:tc>
        <w:tc>
          <w:tcPr>
            <w:tcW w:w="1620" w:type="dxa"/>
          </w:tcPr>
          <w:p w:rsidR="0067261B" w:rsidRPr="0059544A" w:rsidRDefault="0067261B" w:rsidP="00623F55">
            <w:pPr>
              <w:jc w:val="both"/>
              <w:rPr>
                <w:rFonts w:ascii="Arial" w:hAnsi="Arial" w:cs="Arial"/>
                <w:sz w:val="22"/>
                <w:szCs w:val="22"/>
              </w:rPr>
            </w:pPr>
          </w:p>
          <w:p w:rsidR="0067261B" w:rsidRPr="0059544A" w:rsidRDefault="0067261B" w:rsidP="00623F55">
            <w:pPr>
              <w:jc w:val="both"/>
              <w:rPr>
                <w:rFonts w:ascii="Arial" w:hAnsi="Arial" w:cs="Arial"/>
                <w:sz w:val="22"/>
                <w:szCs w:val="22"/>
              </w:rPr>
            </w:pPr>
          </w:p>
          <w:p w:rsidR="0067261B" w:rsidRPr="0059544A" w:rsidRDefault="0067261B" w:rsidP="00623F55">
            <w:pPr>
              <w:jc w:val="both"/>
              <w:rPr>
                <w:rFonts w:ascii="Arial" w:hAnsi="Arial" w:cs="Arial"/>
                <w:sz w:val="22"/>
                <w:szCs w:val="22"/>
              </w:rPr>
            </w:pPr>
            <w:r w:rsidRPr="0059544A">
              <w:rPr>
                <w:rFonts w:ascii="Arial" w:hAnsi="Arial" w:cs="Arial"/>
                <w:sz w:val="22"/>
                <w:szCs w:val="22"/>
              </w:rPr>
              <w:t>E</w:t>
            </w:r>
          </w:p>
          <w:p w:rsidR="0067261B" w:rsidRPr="0059544A" w:rsidRDefault="0067261B" w:rsidP="00623F55">
            <w:pPr>
              <w:jc w:val="both"/>
              <w:rPr>
                <w:rFonts w:ascii="Arial" w:hAnsi="Arial" w:cs="Arial"/>
                <w:sz w:val="22"/>
                <w:szCs w:val="22"/>
              </w:rPr>
            </w:pPr>
          </w:p>
        </w:tc>
      </w:tr>
      <w:tr w:rsidR="0067261B" w:rsidRPr="0059544A">
        <w:tc>
          <w:tcPr>
            <w:tcW w:w="900" w:type="dxa"/>
          </w:tcPr>
          <w:p w:rsidR="0067261B" w:rsidRPr="0059544A" w:rsidRDefault="0067261B" w:rsidP="00623F55">
            <w:pPr>
              <w:jc w:val="both"/>
              <w:rPr>
                <w:rFonts w:ascii="Arial" w:hAnsi="Arial" w:cs="Arial"/>
                <w:sz w:val="22"/>
              </w:rPr>
            </w:pPr>
            <w:r w:rsidRPr="0059544A">
              <w:rPr>
                <w:rFonts w:ascii="Arial" w:hAnsi="Arial" w:cs="Arial"/>
                <w:b/>
                <w:sz w:val="22"/>
              </w:rPr>
              <w:t xml:space="preserve">     </w:t>
            </w:r>
          </w:p>
        </w:tc>
        <w:tc>
          <w:tcPr>
            <w:tcW w:w="2520" w:type="dxa"/>
          </w:tcPr>
          <w:p w:rsidR="0067261B" w:rsidRPr="0059544A" w:rsidRDefault="0067261B" w:rsidP="00623F55">
            <w:pPr>
              <w:jc w:val="both"/>
              <w:rPr>
                <w:rFonts w:ascii="Arial" w:hAnsi="Arial" w:cs="Arial"/>
                <w:b/>
                <w:sz w:val="22"/>
              </w:rPr>
            </w:pPr>
            <w:r w:rsidRPr="0059544A">
              <w:rPr>
                <w:rFonts w:ascii="Arial" w:hAnsi="Arial" w:cs="Arial"/>
                <w:b/>
                <w:sz w:val="22"/>
              </w:rPr>
              <w:t xml:space="preserve">Kolarec </w:t>
            </w:r>
          </w:p>
        </w:tc>
        <w:tc>
          <w:tcPr>
            <w:tcW w:w="3240" w:type="dxa"/>
          </w:tcPr>
          <w:p w:rsidR="0067261B" w:rsidRPr="0059544A" w:rsidRDefault="0067261B" w:rsidP="00623F55">
            <w:pPr>
              <w:jc w:val="both"/>
              <w:rPr>
                <w:rFonts w:ascii="Arial" w:hAnsi="Arial" w:cs="Arial"/>
                <w:sz w:val="22"/>
              </w:rPr>
            </w:pPr>
            <w:r w:rsidRPr="0059544A">
              <w:rPr>
                <w:rFonts w:ascii="Arial" w:hAnsi="Arial" w:cs="Arial"/>
                <w:sz w:val="22"/>
              </w:rPr>
              <w:t>Stambena građevina sa okućnicama:</w:t>
            </w:r>
          </w:p>
          <w:p w:rsidR="0067261B" w:rsidRPr="0059544A" w:rsidRDefault="0067261B" w:rsidP="00623F55">
            <w:pPr>
              <w:jc w:val="both"/>
              <w:rPr>
                <w:rFonts w:ascii="Arial" w:hAnsi="Arial" w:cs="Arial"/>
                <w:sz w:val="22"/>
              </w:rPr>
            </w:pPr>
            <w:r w:rsidRPr="0059544A">
              <w:rPr>
                <w:rFonts w:ascii="Arial" w:hAnsi="Arial" w:cs="Arial"/>
                <w:sz w:val="22"/>
              </w:rPr>
              <w:t>br.7,br.8,br.14,br.16,br19,br.25,br 28,br.35,br 36,br.37, br.38, br.39,br.40,br41,br.42,br.43, br.44,br.45,br.46,br.47,br.50,</w:t>
            </w:r>
          </w:p>
          <w:p w:rsidR="0067261B" w:rsidRPr="0059544A" w:rsidRDefault="0067261B" w:rsidP="00623F55">
            <w:pPr>
              <w:jc w:val="both"/>
              <w:rPr>
                <w:rFonts w:ascii="Arial" w:hAnsi="Arial" w:cs="Arial"/>
                <w:sz w:val="22"/>
              </w:rPr>
            </w:pPr>
            <w:r w:rsidRPr="0059544A">
              <w:rPr>
                <w:rFonts w:ascii="Arial" w:hAnsi="Arial" w:cs="Arial"/>
                <w:sz w:val="22"/>
              </w:rPr>
              <w:t>br.51,br.52</w:t>
            </w:r>
          </w:p>
          <w:p w:rsidR="0067261B" w:rsidRPr="0059544A" w:rsidRDefault="0067261B" w:rsidP="00623F55">
            <w:pPr>
              <w:jc w:val="both"/>
              <w:rPr>
                <w:rFonts w:ascii="Arial" w:hAnsi="Arial" w:cs="Arial"/>
                <w:sz w:val="22"/>
              </w:rPr>
            </w:pPr>
          </w:p>
          <w:p w:rsidR="0067261B" w:rsidRPr="0059544A" w:rsidRDefault="0067261B" w:rsidP="00623F55">
            <w:pPr>
              <w:jc w:val="both"/>
              <w:rPr>
                <w:rFonts w:ascii="Arial" w:hAnsi="Arial" w:cs="Arial"/>
                <w:sz w:val="22"/>
              </w:rPr>
            </w:pPr>
            <w:r w:rsidRPr="0059544A">
              <w:rPr>
                <w:rFonts w:ascii="Arial" w:hAnsi="Arial" w:cs="Arial"/>
                <w:sz w:val="22"/>
              </w:rPr>
              <w:t>br 93 i br.južno od br.25</w:t>
            </w:r>
          </w:p>
        </w:tc>
        <w:tc>
          <w:tcPr>
            <w:tcW w:w="1620" w:type="dxa"/>
          </w:tcPr>
          <w:p w:rsidR="0067261B" w:rsidRPr="0059544A" w:rsidRDefault="0067261B" w:rsidP="00623F55">
            <w:pPr>
              <w:jc w:val="both"/>
              <w:rPr>
                <w:rFonts w:ascii="Arial" w:hAnsi="Arial" w:cs="Arial"/>
                <w:sz w:val="22"/>
              </w:rPr>
            </w:pPr>
          </w:p>
          <w:p w:rsidR="0067261B" w:rsidRPr="0059544A" w:rsidRDefault="0067261B" w:rsidP="00623F55">
            <w:pPr>
              <w:jc w:val="both"/>
              <w:rPr>
                <w:rFonts w:ascii="Arial" w:hAnsi="Arial" w:cs="Arial"/>
                <w:sz w:val="22"/>
              </w:rPr>
            </w:pPr>
          </w:p>
          <w:p w:rsidR="0067261B" w:rsidRPr="0059544A" w:rsidRDefault="0067261B" w:rsidP="00623F55">
            <w:pPr>
              <w:jc w:val="both"/>
              <w:rPr>
                <w:rFonts w:ascii="Arial" w:hAnsi="Arial" w:cs="Arial"/>
                <w:sz w:val="22"/>
              </w:rPr>
            </w:pPr>
            <w:r w:rsidRPr="0059544A">
              <w:rPr>
                <w:rFonts w:ascii="Arial" w:hAnsi="Arial" w:cs="Arial"/>
                <w:sz w:val="22"/>
              </w:rPr>
              <w:t>PZ</w:t>
            </w:r>
          </w:p>
          <w:p w:rsidR="0067261B" w:rsidRPr="0059544A" w:rsidRDefault="0067261B" w:rsidP="00623F55">
            <w:pPr>
              <w:jc w:val="both"/>
              <w:rPr>
                <w:rFonts w:ascii="Arial" w:hAnsi="Arial" w:cs="Arial"/>
                <w:sz w:val="22"/>
              </w:rPr>
            </w:pPr>
          </w:p>
          <w:p w:rsidR="0067261B" w:rsidRPr="0059544A" w:rsidRDefault="0067261B" w:rsidP="00623F55">
            <w:pPr>
              <w:jc w:val="both"/>
              <w:rPr>
                <w:rFonts w:ascii="Arial" w:hAnsi="Arial" w:cs="Arial"/>
                <w:sz w:val="22"/>
              </w:rPr>
            </w:pPr>
          </w:p>
          <w:p w:rsidR="0067261B" w:rsidRPr="0059544A" w:rsidRDefault="0067261B" w:rsidP="00623F55">
            <w:pPr>
              <w:jc w:val="both"/>
              <w:rPr>
                <w:rFonts w:ascii="Arial" w:hAnsi="Arial" w:cs="Arial"/>
                <w:sz w:val="22"/>
              </w:rPr>
            </w:pPr>
          </w:p>
          <w:p w:rsidR="0067261B" w:rsidRPr="0059544A" w:rsidRDefault="0067261B" w:rsidP="00623F55">
            <w:pPr>
              <w:jc w:val="both"/>
              <w:rPr>
                <w:rFonts w:ascii="Arial" w:hAnsi="Arial" w:cs="Arial"/>
                <w:sz w:val="22"/>
              </w:rPr>
            </w:pPr>
          </w:p>
          <w:p w:rsidR="0067261B" w:rsidRPr="0059544A" w:rsidRDefault="0067261B" w:rsidP="00623F55">
            <w:pPr>
              <w:jc w:val="both"/>
              <w:rPr>
                <w:rFonts w:ascii="Arial" w:hAnsi="Arial" w:cs="Arial"/>
                <w:sz w:val="22"/>
              </w:rPr>
            </w:pPr>
          </w:p>
          <w:p w:rsidR="0067261B" w:rsidRPr="0059544A" w:rsidRDefault="0067261B" w:rsidP="00623F55">
            <w:pPr>
              <w:jc w:val="both"/>
              <w:rPr>
                <w:rFonts w:ascii="Arial" w:hAnsi="Arial" w:cs="Arial"/>
                <w:sz w:val="22"/>
              </w:rPr>
            </w:pPr>
            <w:r w:rsidRPr="0059544A">
              <w:rPr>
                <w:rFonts w:ascii="Arial" w:hAnsi="Arial" w:cs="Arial"/>
                <w:sz w:val="22"/>
              </w:rPr>
              <w:t>E</w:t>
            </w:r>
          </w:p>
        </w:tc>
      </w:tr>
      <w:tr w:rsidR="0067261B" w:rsidRPr="0059544A">
        <w:tc>
          <w:tcPr>
            <w:tcW w:w="900" w:type="dxa"/>
          </w:tcPr>
          <w:p w:rsidR="0067261B" w:rsidRPr="0059544A" w:rsidRDefault="0067261B" w:rsidP="00623F55">
            <w:pPr>
              <w:jc w:val="both"/>
              <w:rPr>
                <w:rFonts w:ascii="Arial" w:hAnsi="Arial" w:cs="Arial"/>
                <w:b/>
                <w:sz w:val="22"/>
              </w:rPr>
            </w:pPr>
          </w:p>
        </w:tc>
        <w:tc>
          <w:tcPr>
            <w:tcW w:w="2520" w:type="dxa"/>
          </w:tcPr>
          <w:p w:rsidR="0067261B" w:rsidRPr="0059544A" w:rsidRDefault="0067261B" w:rsidP="00623F55">
            <w:pPr>
              <w:jc w:val="both"/>
              <w:rPr>
                <w:rFonts w:ascii="Arial" w:hAnsi="Arial" w:cs="Arial"/>
                <w:b/>
                <w:sz w:val="22"/>
              </w:rPr>
            </w:pPr>
            <w:r w:rsidRPr="0059544A">
              <w:rPr>
                <w:rFonts w:ascii="Arial" w:hAnsi="Arial" w:cs="Arial"/>
                <w:b/>
                <w:sz w:val="22"/>
              </w:rPr>
              <w:t>Kosatanjevec Riječki</w:t>
            </w:r>
          </w:p>
        </w:tc>
        <w:tc>
          <w:tcPr>
            <w:tcW w:w="3240" w:type="dxa"/>
          </w:tcPr>
          <w:p w:rsidR="0067261B" w:rsidRPr="0059544A" w:rsidRDefault="0067261B" w:rsidP="00623F55">
            <w:pPr>
              <w:jc w:val="both"/>
              <w:rPr>
                <w:rFonts w:ascii="Arial" w:hAnsi="Arial" w:cs="Arial"/>
                <w:sz w:val="22"/>
              </w:rPr>
            </w:pPr>
            <w:r w:rsidRPr="0059544A">
              <w:rPr>
                <w:rFonts w:ascii="Arial" w:hAnsi="Arial" w:cs="Arial"/>
                <w:sz w:val="22"/>
              </w:rPr>
              <w:t>St.građevine sa okučnicom</w:t>
            </w:r>
          </w:p>
          <w:p w:rsidR="0067261B" w:rsidRPr="0059544A" w:rsidRDefault="0067261B" w:rsidP="00623F55">
            <w:pPr>
              <w:jc w:val="both"/>
              <w:rPr>
                <w:rFonts w:ascii="Arial" w:hAnsi="Arial" w:cs="Arial"/>
                <w:sz w:val="22"/>
              </w:rPr>
            </w:pPr>
            <w:r w:rsidRPr="0059544A">
              <w:rPr>
                <w:rFonts w:ascii="Arial" w:hAnsi="Arial" w:cs="Arial"/>
                <w:sz w:val="22"/>
              </w:rPr>
              <w:t>Br. 49</w:t>
            </w:r>
          </w:p>
          <w:p w:rsidR="0067261B" w:rsidRPr="0059544A" w:rsidRDefault="0067261B" w:rsidP="00623F55">
            <w:pPr>
              <w:jc w:val="both"/>
              <w:rPr>
                <w:rFonts w:ascii="Arial" w:hAnsi="Arial" w:cs="Arial"/>
                <w:sz w:val="22"/>
              </w:rPr>
            </w:pPr>
            <w:r w:rsidRPr="0059544A">
              <w:rPr>
                <w:rFonts w:ascii="Arial" w:hAnsi="Arial" w:cs="Arial"/>
                <w:sz w:val="22"/>
              </w:rPr>
              <w:t>Br.81</w:t>
            </w:r>
          </w:p>
        </w:tc>
        <w:tc>
          <w:tcPr>
            <w:tcW w:w="1620" w:type="dxa"/>
          </w:tcPr>
          <w:p w:rsidR="0067261B" w:rsidRPr="0059544A" w:rsidRDefault="0067261B" w:rsidP="00623F55">
            <w:pPr>
              <w:jc w:val="both"/>
              <w:rPr>
                <w:rFonts w:ascii="Arial" w:hAnsi="Arial" w:cs="Arial"/>
                <w:sz w:val="22"/>
              </w:rPr>
            </w:pPr>
          </w:p>
          <w:p w:rsidR="0067261B" w:rsidRPr="0059544A" w:rsidRDefault="0067261B" w:rsidP="00623F55">
            <w:pPr>
              <w:jc w:val="both"/>
              <w:rPr>
                <w:rFonts w:ascii="Arial" w:hAnsi="Arial" w:cs="Arial"/>
                <w:sz w:val="22"/>
              </w:rPr>
            </w:pPr>
            <w:r w:rsidRPr="0059544A">
              <w:rPr>
                <w:rFonts w:ascii="Arial" w:hAnsi="Arial" w:cs="Arial"/>
                <w:sz w:val="22"/>
              </w:rPr>
              <w:t>E</w:t>
            </w:r>
          </w:p>
          <w:p w:rsidR="0067261B" w:rsidRPr="0059544A" w:rsidRDefault="0067261B" w:rsidP="00623F55">
            <w:pPr>
              <w:jc w:val="both"/>
              <w:rPr>
                <w:rFonts w:ascii="Arial" w:hAnsi="Arial" w:cs="Arial"/>
                <w:sz w:val="22"/>
              </w:rPr>
            </w:pPr>
            <w:r w:rsidRPr="0059544A">
              <w:rPr>
                <w:rFonts w:ascii="Arial" w:hAnsi="Arial" w:cs="Arial"/>
                <w:sz w:val="22"/>
              </w:rPr>
              <w:t>PR</w:t>
            </w:r>
          </w:p>
        </w:tc>
      </w:tr>
      <w:tr w:rsidR="0067261B" w:rsidRPr="0059544A">
        <w:tc>
          <w:tcPr>
            <w:tcW w:w="900" w:type="dxa"/>
          </w:tcPr>
          <w:p w:rsidR="0067261B" w:rsidRPr="0059544A" w:rsidRDefault="0067261B" w:rsidP="00623F55">
            <w:pPr>
              <w:jc w:val="both"/>
              <w:rPr>
                <w:rFonts w:ascii="Arial" w:hAnsi="Arial" w:cs="Arial"/>
                <w:b/>
                <w:sz w:val="22"/>
              </w:rPr>
            </w:pPr>
          </w:p>
        </w:tc>
        <w:tc>
          <w:tcPr>
            <w:tcW w:w="2520" w:type="dxa"/>
          </w:tcPr>
          <w:p w:rsidR="0067261B" w:rsidRPr="0059544A" w:rsidRDefault="0067261B" w:rsidP="00623F55">
            <w:pPr>
              <w:jc w:val="both"/>
              <w:rPr>
                <w:rFonts w:ascii="Arial" w:hAnsi="Arial" w:cs="Arial"/>
                <w:b/>
                <w:sz w:val="22"/>
              </w:rPr>
            </w:pPr>
            <w:r w:rsidRPr="0059544A">
              <w:rPr>
                <w:rFonts w:ascii="Arial" w:hAnsi="Arial" w:cs="Arial"/>
                <w:b/>
                <w:sz w:val="22"/>
              </w:rPr>
              <w:t>Lukačevec</w:t>
            </w:r>
          </w:p>
        </w:tc>
        <w:tc>
          <w:tcPr>
            <w:tcW w:w="3240" w:type="dxa"/>
          </w:tcPr>
          <w:p w:rsidR="0067261B" w:rsidRPr="0059544A" w:rsidRDefault="0067261B" w:rsidP="00623F55">
            <w:pPr>
              <w:jc w:val="both"/>
              <w:rPr>
                <w:rFonts w:ascii="Arial" w:hAnsi="Arial" w:cs="Arial"/>
                <w:sz w:val="22"/>
              </w:rPr>
            </w:pPr>
            <w:r w:rsidRPr="0059544A">
              <w:rPr>
                <w:rFonts w:ascii="Arial" w:hAnsi="Arial" w:cs="Arial"/>
                <w:sz w:val="22"/>
              </w:rPr>
              <w:t>St.građevine sa okučnicom br.3,br.4,br.11,br.bb,</w:t>
            </w:r>
          </w:p>
          <w:p w:rsidR="0067261B" w:rsidRPr="0059544A" w:rsidRDefault="0067261B" w:rsidP="00623F55">
            <w:pPr>
              <w:jc w:val="both"/>
              <w:rPr>
                <w:rFonts w:ascii="Arial" w:hAnsi="Arial" w:cs="Arial"/>
                <w:sz w:val="22"/>
              </w:rPr>
            </w:pPr>
            <w:r w:rsidRPr="0059544A">
              <w:rPr>
                <w:rFonts w:ascii="Arial" w:hAnsi="Arial" w:cs="Arial"/>
                <w:sz w:val="22"/>
              </w:rPr>
              <w:t>br.2,6,8, 10</w:t>
            </w:r>
          </w:p>
        </w:tc>
        <w:tc>
          <w:tcPr>
            <w:tcW w:w="1620" w:type="dxa"/>
          </w:tcPr>
          <w:p w:rsidR="0067261B" w:rsidRPr="0059544A" w:rsidRDefault="0067261B" w:rsidP="00623F55">
            <w:pPr>
              <w:jc w:val="both"/>
              <w:rPr>
                <w:rFonts w:ascii="Arial" w:hAnsi="Arial" w:cs="Arial"/>
                <w:sz w:val="22"/>
              </w:rPr>
            </w:pPr>
            <w:r w:rsidRPr="0059544A">
              <w:rPr>
                <w:rFonts w:ascii="Arial" w:hAnsi="Arial" w:cs="Arial"/>
                <w:sz w:val="22"/>
              </w:rPr>
              <w:t>E</w:t>
            </w:r>
          </w:p>
        </w:tc>
      </w:tr>
      <w:tr w:rsidR="0067261B" w:rsidRPr="0059544A">
        <w:tc>
          <w:tcPr>
            <w:tcW w:w="900" w:type="dxa"/>
          </w:tcPr>
          <w:p w:rsidR="0067261B" w:rsidRPr="0059544A" w:rsidRDefault="0067261B" w:rsidP="00623F55">
            <w:pPr>
              <w:jc w:val="both"/>
              <w:rPr>
                <w:rFonts w:ascii="Arial" w:hAnsi="Arial" w:cs="Arial"/>
                <w:b/>
                <w:sz w:val="22"/>
              </w:rPr>
            </w:pPr>
          </w:p>
        </w:tc>
        <w:tc>
          <w:tcPr>
            <w:tcW w:w="2520" w:type="dxa"/>
          </w:tcPr>
          <w:p w:rsidR="0067261B" w:rsidRPr="0059544A" w:rsidRDefault="0067261B" w:rsidP="00623F55">
            <w:pPr>
              <w:jc w:val="both"/>
              <w:rPr>
                <w:rFonts w:ascii="Arial" w:hAnsi="Arial" w:cs="Arial"/>
                <w:b/>
                <w:sz w:val="22"/>
              </w:rPr>
            </w:pPr>
            <w:r w:rsidRPr="0059544A">
              <w:rPr>
                <w:rFonts w:ascii="Arial" w:hAnsi="Arial" w:cs="Arial"/>
                <w:b/>
                <w:sz w:val="22"/>
              </w:rPr>
              <w:t>Nemčevec</w:t>
            </w:r>
          </w:p>
        </w:tc>
        <w:tc>
          <w:tcPr>
            <w:tcW w:w="3240" w:type="dxa"/>
          </w:tcPr>
          <w:p w:rsidR="0067261B" w:rsidRPr="0059544A" w:rsidRDefault="0067261B" w:rsidP="00623F55">
            <w:pPr>
              <w:jc w:val="both"/>
              <w:rPr>
                <w:rFonts w:ascii="Arial" w:hAnsi="Arial" w:cs="Arial"/>
                <w:sz w:val="22"/>
              </w:rPr>
            </w:pPr>
            <w:r w:rsidRPr="0059544A">
              <w:rPr>
                <w:rFonts w:ascii="Arial" w:hAnsi="Arial" w:cs="Arial"/>
                <w:sz w:val="22"/>
              </w:rPr>
              <w:t>St.građevine sa okučnicom</w:t>
            </w:r>
          </w:p>
          <w:p w:rsidR="0067261B" w:rsidRPr="0059544A" w:rsidRDefault="0067261B" w:rsidP="00623F55">
            <w:pPr>
              <w:jc w:val="both"/>
              <w:rPr>
                <w:rFonts w:ascii="Arial" w:hAnsi="Arial" w:cs="Arial"/>
                <w:sz w:val="22"/>
              </w:rPr>
            </w:pPr>
            <w:r w:rsidRPr="0059544A">
              <w:rPr>
                <w:rFonts w:ascii="Arial" w:hAnsi="Arial" w:cs="Arial"/>
                <w:sz w:val="22"/>
              </w:rPr>
              <w:t xml:space="preserve">Br.5, 13,15,16,27,28,65a, bb, bb, </w:t>
            </w:r>
            <w:r w:rsidRPr="0059544A">
              <w:rPr>
                <w:rFonts w:ascii="Arial" w:hAnsi="Arial" w:cs="Arial"/>
                <w:b/>
                <w:sz w:val="22"/>
              </w:rPr>
              <w:t>bb, bb,</w:t>
            </w:r>
            <w:r w:rsidRPr="0059544A">
              <w:rPr>
                <w:rFonts w:ascii="Arial" w:hAnsi="Arial" w:cs="Arial"/>
                <w:sz w:val="22"/>
              </w:rPr>
              <w:t xml:space="preserve"> </w:t>
            </w:r>
          </w:p>
        </w:tc>
        <w:tc>
          <w:tcPr>
            <w:tcW w:w="1620" w:type="dxa"/>
          </w:tcPr>
          <w:p w:rsidR="0067261B" w:rsidRPr="0059544A" w:rsidRDefault="0067261B" w:rsidP="00623F55">
            <w:pPr>
              <w:jc w:val="both"/>
              <w:rPr>
                <w:rFonts w:ascii="Arial" w:hAnsi="Arial" w:cs="Arial"/>
                <w:sz w:val="22"/>
              </w:rPr>
            </w:pPr>
          </w:p>
          <w:p w:rsidR="0067261B" w:rsidRPr="0059544A" w:rsidRDefault="0067261B" w:rsidP="00623F55">
            <w:pPr>
              <w:jc w:val="both"/>
              <w:rPr>
                <w:rFonts w:ascii="Arial" w:hAnsi="Arial" w:cs="Arial"/>
                <w:sz w:val="22"/>
              </w:rPr>
            </w:pPr>
            <w:r w:rsidRPr="0059544A">
              <w:rPr>
                <w:rFonts w:ascii="Arial" w:hAnsi="Arial" w:cs="Arial"/>
                <w:sz w:val="22"/>
              </w:rPr>
              <w:t>PZ</w:t>
            </w:r>
          </w:p>
        </w:tc>
      </w:tr>
      <w:tr w:rsidR="0067261B" w:rsidRPr="0059544A">
        <w:tc>
          <w:tcPr>
            <w:tcW w:w="900" w:type="dxa"/>
          </w:tcPr>
          <w:p w:rsidR="0067261B" w:rsidRPr="0059544A" w:rsidRDefault="0067261B" w:rsidP="00623F55">
            <w:pPr>
              <w:jc w:val="both"/>
              <w:rPr>
                <w:rFonts w:ascii="Arial" w:hAnsi="Arial" w:cs="Arial"/>
                <w:b/>
                <w:sz w:val="22"/>
              </w:rPr>
            </w:pPr>
          </w:p>
        </w:tc>
        <w:tc>
          <w:tcPr>
            <w:tcW w:w="2520" w:type="dxa"/>
          </w:tcPr>
          <w:p w:rsidR="0067261B" w:rsidRPr="0059544A" w:rsidRDefault="0067261B" w:rsidP="00623F55">
            <w:pPr>
              <w:jc w:val="both"/>
              <w:rPr>
                <w:rFonts w:ascii="Arial" w:hAnsi="Arial" w:cs="Arial"/>
                <w:b/>
                <w:sz w:val="22"/>
              </w:rPr>
            </w:pPr>
            <w:r w:rsidRPr="0059544A">
              <w:rPr>
                <w:rFonts w:ascii="Arial" w:hAnsi="Arial" w:cs="Arial"/>
                <w:b/>
                <w:sz w:val="22"/>
              </w:rPr>
              <w:t>Pofuki</w:t>
            </w:r>
          </w:p>
        </w:tc>
        <w:tc>
          <w:tcPr>
            <w:tcW w:w="3240" w:type="dxa"/>
          </w:tcPr>
          <w:p w:rsidR="0067261B" w:rsidRPr="0059544A" w:rsidRDefault="0067261B" w:rsidP="00623F55">
            <w:pPr>
              <w:jc w:val="both"/>
              <w:rPr>
                <w:rFonts w:ascii="Arial" w:hAnsi="Arial" w:cs="Arial"/>
                <w:sz w:val="22"/>
              </w:rPr>
            </w:pPr>
            <w:r w:rsidRPr="0059544A">
              <w:rPr>
                <w:rFonts w:ascii="Arial" w:hAnsi="Arial" w:cs="Arial"/>
                <w:sz w:val="22"/>
              </w:rPr>
              <w:t>St.građevine sa okućnicom</w:t>
            </w:r>
          </w:p>
          <w:p w:rsidR="0067261B" w:rsidRPr="0059544A" w:rsidRDefault="0067261B" w:rsidP="00623F55">
            <w:pPr>
              <w:jc w:val="both"/>
              <w:rPr>
                <w:rFonts w:ascii="Arial" w:hAnsi="Arial" w:cs="Arial"/>
                <w:sz w:val="22"/>
              </w:rPr>
            </w:pPr>
            <w:r w:rsidRPr="0059544A">
              <w:rPr>
                <w:rFonts w:ascii="Arial" w:hAnsi="Arial" w:cs="Arial"/>
                <w:sz w:val="22"/>
              </w:rPr>
              <w:t xml:space="preserve">Br.bb, bb, bb, bb,,br. </w:t>
            </w:r>
          </w:p>
          <w:p w:rsidR="0067261B" w:rsidRPr="0059544A" w:rsidRDefault="0067261B" w:rsidP="00623F55">
            <w:pPr>
              <w:jc w:val="both"/>
              <w:rPr>
                <w:rFonts w:ascii="Arial" w:hAnsi="Arial" w:cs="Arial"/>
                <w:sz w:val="22"/>
              </w:rPr>
            </w:pPr>
            <w:r w:rsidRPr="0059544A">
              <w:rPr>
                <w:rFonts w:ascii="Arial" w:hAnsi="Arial" w:cs="Arial"/>
                <w:sz w:val="22"/>
              </w:rPr>
              <w:t xml:space="preserve">St. građ bez okućnice </w:t>
            </w:r>
          </w:p>
          <w:p w:rsidR="0067261B" w:rsidRPr="0059544A" w:rsidRDefault="0067261B" w:rsidP="00623F55">
            <w:pPr>
              <w:jc w:val="both"/>
              <w:rPr>
                <w:rFonts w:ascii="Arial" w:hAnsi="Arial" w:cs="Arial"/>
                <w:sz w:val="22"/>
              </w:rPr>
            </w:pPr>
            <w:r w:rsidRPr="0059544A">
              <w:rPr>
                <w:rFonts w:ascii="Arial" w:hAnsi="Arial" w:cs="Arial"/>
                <w:sz w:val="22"/>
              </w:rPr>
              <w:t>Br.48,50 ,52,54</w:t>
            </w:r>
          </w:p>
        </w:tc>
        <w:tc>
          <w:tcPr>
            <w:tcW w:w="1620" w:type="dxa"/>
          </w:tcPr>
          <w:p w:rsidR="0067261B" w:rsidRPr="0059544A" w:rsidRDefault="0067261B" w:rsidP="00623F55">
            <w:pPr>
              <w:jc w:val="both"/>
              <w:rPr>
                <w:rFonts w:ascii="Arial" w:hAnsi="Arial" w:cs="Arial"/>
                <w:sz w:val="22"/>
              </w:rPr>
            </w:pPr>
            <w:r w:rsidRPr="0059544A">
              <w:rPr>
                <w:rFonts w:ascii="Arial" w:hAnsi="Arial" w:cs="Arial"/>
                <w:sz w:val="22"/>
              </w:rPr>
              <w:t>E</w:t>
            </w:r>
          </w:p>
          <w:p w:rsidR="0067261B" w:rsidRPr="0059544A" w:rsidRDefault="0067261B" w:rsidP="00623F55">
            <w:pPr>
              <w:jc w:val="both"/>
              <w:rPr>
                <w:rFonts w:ascii="Arial" w:hAnsi="Arial" w:cs="Arial"/>
                <w:sz w:val="22"/>
              </w:rPr>
            </w:pPr>
          </w:p>
          <w:p w:rsidR="0067261B" w:rsidRPr="0059544A" w:rsidRDefault="0067261B" w:rsidP="00623F55">
            <w:pPr>
              <w:jc w:val="both"/>
              <w:rPr>
                <w:rFonts w:ascii="Arial" w:hAnsi="Arial" w:cs="Arial"/>
                <w:sz w:val="22"/>
              </w:rPr>
            </w:pPr>
          </w:p>
          <w:p w:rsidR="0067261B" w:rsidRPr="0059544A" w:rsidRDefault="0067261B" w:rsidP="00623F55">
            <w:pPr>
              <w:jc w:val="both"/>
              <w:rPr>
                <w:rFonts w:ascii="Arial" w:hAnsi="Arial" w:cs="Arial"/>
                <w:sz w:val="22"/>
              </w:rPr>
            </w:pPr>
          </w:p>
        </w:tc>
      </w:tr>
      <w:tr w:rsidR="0067261B" w:rsidRPr="0059544A">
        <w:tc>
          <w:tcPr>
            <w:tcW w:w="900" w:type="dxa"/>
          </w:tcPr>
          <w:p w:rsidR="0067261B" w:rsidRPr="0059544A" w:rsidRDefault="0067261B" w:rsidP="00623F55">
            <w:pPr>
              <w:jc w:val="both"/>
              <w:rPr>
                <w:rFonts w:ascii="Arial" w:hAnsi="Arial" w:cs="Arial"/>
                <w:b/>
                <w:sz w:val="22"/>
              </w:rPr>
            </w:pPr>
          </w:p>
        </w:tc>
        <w:tc>
          <w:tcPr>
            <w:tcW w:w="2520" w:type="dxa"/>
          </w:tcPr>
          <w:p w:rsidR="0067261B" w:rsidRPr="0059544A" w:rsidRDefault="0067261B" w:rsidP="00623F55">
            <w:pPr>
              <w:jc w:val="both"/>
              <w:rPr>
                <w:rFonts w:ascii="Arial" w:hAnsi="Arial" w:cs="Arial"/>
                <w:b/>
                <w:sz w:val="22"/>
              </w:rPr>
            </w:pPr>
            <w:r w:rsidRPr="0059544A">
              <w:rPr>
                <w:rFonts w:ascii="Arial" w:hAnsi="Arial" w:cs="Arial"/>
                <w:b/>
                <w:sz w:val="22"/>
              </w:rPr>
              <w:t>Štrigovec</w:t>
            </w:r>
          </w:p>
        </w:tc>
        <w:tc>
          <w:tcPr>
            <w:tcW w:w="3240" w:type="dxa"/>
          </w:tcPr>
          <w:p w:rsidR="0067261B" w:rsidRPr="0059544A" w:rsidRDefault="0067261B" w:rsidP="00623F55">
            <w:pPr>
              <w:jc w:val="both"/>
              <w:rPr>
                <w:rFonts w:ascii="Arial" w:hAnsi="Arial" w:cs="Arial"/>
                <w:sz w:val="22"/>
              </w:rPr>
            </w:pPr>
            <w:r w:rsidRPr="0059544A">
              <w:rPr>
                <w:rFonts w:ascii="Arial" w:hAnsi="Arial" w:cs="Arial"/>
                <w:sz w:val="22"/>
              </w:rPr>
              <w:t>St.građevine sa okučnicom</w:t>
            </w:r>
          </w:p>
          <w:p w:rsidR="0067261B" w:rsidRPr="0059544A" w:rsidRDefault="0067261B" w:rsidP="00623F55">
            <w:pPr>
              <w:jc w:val="both"/>
              <w:rPr>
                <w:rFonts w:ascii="Arial" w:hAnsi="Arial" w:cs="Arial"/>
                <w:sz w:val="22"/>
              </w:rPr>
            </w:pPr>
            <w:r w:rsidRPr="0059544A">
              <w:rPr>
                <w:rFonts w:ascii="Arial" w:hAnsi="Arial" w:cs="Arial"/>
                <w:sz w:val="22"/>
              </w:rPr>
              <w:t>br.18, 26, 28</w:t>
            </w:r>
          </w:p>
        </w:tc>
        <w:tc>
          <w:tcPr>
            <w:tcW w:w="1620" w:type="dxa"/>
          </w:tcPr>
          <w:p w:rsidR="0067261B" w:rsidRPr="0059544A" w:rsidRDefault="0067261B" w:rsidP="00623F55">
            <w:pPr>
              <w:jc w:val="both"/>
              <w:rPr>
                <w:rFonts w:ascii="Arial" w:hAnsi="Arial" w:cs="Arial"/>
                <w:sz w:val="22"/>
              </w:rPr>
            </w:pPr>
          </w:p>
          <w:p w:rsidR="0067261B" w:rsidRPr="0059544A" w:rsidRDefault="0067261B" w:rsidP="00623F55">
            <w:pPr>
              <w:jc w:val="both"/>
              <w:rPr>
                <w:rFonts w:ascii="Arial" w:hAnsi="Arial" w:cs="Arial"/>
                <w:sz w:val="22"/>
              </w:rPr>
            </w:pPr>
            <w:r w:rsidRPr="0059544A">
              <w:rPr>
                <w:rFonts w:ascii="Arial" w:hAnsi="Arial" w:cs="Arial"/>
                <w:sz w:val="22"/>
              </w:rPr>
              <w:t>E</w:t>
            </w:r>
          </w:p>
        </w:tc>
      </w:tr>
      <w:tr w:rsidR="0067261B" w:rsidRPr="0059544A">
        <w:tc>
          <w:tcPr>
            <w:tcW w:w="900" w:type="dxa"/>
          </w:tcPr>
          <w:p w:rsidR="0067261B" w:rsidRPr="0059544A" w:rsidRDefault="0067261B" w:rsidP="00623F55">
            <w:pPr>
              <w:jc w:val="both"/>
              <w:rPr>
                <w:rFonts w:ascii="Arial" w:hAnsi="Arial" w:cs="Arial"/>
                <w:b/>
                <w:sz w:val="22"/>
              </w:rPr>
            </w:pPr>
          </w:p>
        </w:tc>
        <w:tc>
          <w:tcPr>
            <w:tcW w:w="2520" w:type="dxa"/>
          </w:tcPr>
          <w:p w:rsidR="0067261B" w:rsidRPr="0059544A" w:rsidRDefault="0067261B" w:rsidP="00623F55">
            <w:pPr>
              <w:jc w:val="both"/>
              <w:rPr>
                <w:rFonts w:ascii="Arial" w:hAnsi="Arial" w:cs="Arial"/>
                <w:b/>
                <w:sz w:val="22"/>
              </w:rPr>
            </w:pPr>
            <w:r w:rsidRPr="0059544A">
              <w:rPr>
                <w:rFonts w:ascii="Arial" w:hAnsi="Arial" w:cs="Arial"/>
                <w:b/>
                <w:sz w:val="22"/>
              </w:rPr>
              <w:t>Vukašinec Riječki</w:t>
            </w:r>
          </w:p>
        </w:tc>
        <w:tc>
          <w:tcPr>
            <w:tcW w:w="3240" w:type="dxa"/>
          </w:tcPr>
          <w:p w:rsidR="0067261B" w:rsidRPr="0059544A" w:rsidRDefault="0067261B" w:rsidP="00623F55">
            <w:pPr>
              <w:jc w:val="both"/>
              <w:rPr>
                <w:rFonts w:ascii="Arial" w:hAnsi="Arial" w:cs="Arial"/>
                <w:sz w:val="22"/>
              </w:rPr>
            </w:pPr>
            <w:r w:rsidRPr="0059544A">
              <w:rPr>
                <w:rFonts w:ascii="Arial" w:hAnsi="Arial" w:cs="Arial"/>
                <w:sz w:val="22"/>
              </w:rPr>
              <w:t>St.građevine sa okučnicom</w:t>
            </w:r>
          </w:p>
          <w:p w:rsidR="0067261B" w:rsidRPr="0059544A" w:rsidRDefault="0067261B" w:rsidP="00623F55">
            <w:pPr>
              <w:jc w:val="both"/>
              <w:rPr>
                <w:rFonts w:ascii="Arial" w:hAnsi="Arial" w:cs="Arial"/>
                <w:sz w:val="22"/>
              </w:rPr>
            </w:pPr>
            <w:r w:rsidRPr="0059544A">
              <w:rPr>
                <w:rFonts w:ascii="Arial" w:hAnsi="Arial" w:cs="Arial"/>
                <w:sz w:val="22"/>
              </w:rPr>
              <w:t>br. Bb</w:t>
            </w:r>
          </w:p>
          <w:p w:rsidR="0067261B" w:rsidRPr="0059544A" w:rsidRDefault="0067261B" w:rsidP="00623F55">
            <w:pPr>
              <w:jc w:val="both"/>
              <w:rPr>
                <w:rFonts w:ascii="Arial" w:hAnsi="Arial" w:cs="Arial"/>
                <w:sz w:val="22"/>
              </w:rPr>
            </w:pPr>
            <w:r w:rsidRPr="0059544A">
              <w:rPr>
                <w:rFonts w:ascii="Arial" w:hAnsi="Arial" w:cs="Arial"/>
                <w:sz w:val="22"/>
              </w:rPr>
              <w:t>Gospodarski objekti</w:t>
            </w:r>
          </w:p>
          <w:p w:rsidR="0067261B" w:rsidRPr="0059544A" w:rsidRDefault="0067261B" w:rsidP="00623F55">
            <w:pPr>
              <w:jc w:val="both"/>
              <w:rPr>
                <w:rFonts w:ascii="Arial" w:hAnsi="Arial" w:cs="Arial"/>
                <w:sz w:val="22"/>
              </w:rPr>
            </w:pPr>
            <w:r w:rsidRPr="0059544A">
              <w:rPr>
                <w:rFonts w:ascii="Arial" w:hAnsi="Arial" w:cs="Arial"/>
                <w:sz w:val="22"/>
              </w:rPr>
              <w:t>br.33, bb,</w:t>
            </w:r>
          </w:p>
          <w:p w:rsidR="0067261B" w:rsidRPr="0059544A" w:rsidRDefault="0067261B" w:rsidP="00623F55">
            <w:pPr>
              <w:jc w:val="both"/>
              <w:rPr>
                <w:rFonts w:ascii="Arial" w:hAnsi="Arial" w:cs="Arial"/>
                <w:sz w:val="22"/>
              </w:rPr>
            </w:pPr>
            <w:r w:rsidRPr="0059544A">
              <w:rPr>
                <w:rFonts w:ascii="Arial" w:hAnsi="Arial" w:cs="Arial"/>
                <w:sz w:val="22"/>
              </w:rPr>
              <w:t>br bb-klet</w:t>
            </w:r>
          </w:p>
        </w:tc>
        <w:tc>
          <w:tcPr>
            <w:tcW w:w="1620" w:type="dxa"/>
          </w:tcPr>
          <w:p w:rsidR="0067261B" w:rsidRPr="0059544A" w:rsidRDefault="0067261B" w:rsidP="00623F55">
            <w:pPr>
              <w:jc w:val="both"/>
              <w:rPr>
                <w:rFonts w:ascii="Arial" w:hAnsi="Arial" w:cs="Arial"/>
                <w:sz w:val="22"/>
              </w:rPr>
            </w:pPr>
            <w:r w:rsidRPr="0059544A">
              <w:rPr>
                <w:rFonts w:ascii="Arial" w:hAnsi="Arial" w:cs="Arial"/>
                <w:sz w:val="22"/>
              </w:rPr>
              <w:t>E</w:t>
            </w:r>
          </w:p>
          <w:p w:rsidR="0067261B" w:rsidRPr="0059544A" w:rsidRDefault="0067261B" w:rsidP="00623F55">
            <w:pPr>
              <w:jc w:val="both"/>
              <w:rPr>
                <w:rFonts w:ascii="Arial" w:hAnsi="Arial" w:cs="Arial"/>
                <w:sz w:val="22"/>
              </w:rPr>
            </w:pPr>
          </w:p>
          <w:p w:rsidR="0067261B" w:rsidRPr="0059544A" w:rsidRDefault="0067261B" w:rsidP="00623F55">
            <w:pPr>
              <w:jc w:val="both"/>
              <w:rPr>
                <w:rFonts w:ascii="Arial" w:hAnsi="Arial" w:cs="Arial"/>
                <w:sz w:val="22"/>
              </w:rPr>
            </w:pPr>
            <w:r w:rsidRPr="0059544A">
              <w:rPr>
                <w:rFonts w:ascii="Arial" w:hAnsi="Arial" w:cs="Arial"/>
                <w:sz w:val="22"/>
              </w:rPr>
              <w:t>E</w:t>
            </w:r>
          </w:p>
          <w:p w:rsidR="0067261B" w:rsidRPr="0059544A" w:rsidRDefault="0067261B" w:rsidP="00623F55">
            <w:pPr>
              <w:jc w:val="both"/>
              <w:rPr>
                <w:rFonts w:ascii="Arial" w:hAnsi="Arial" w:cs="Arial"/>
                <w:sz w:val="22"/>
              </w:rPr>
            </w:pPr>
          </w:p>
          <w:p w:rsidR="0067261B" w:rsidRPr="0059544A" w:rsidRDefault="0067261B" w:rsidP="00623F55">
            <w:pPr>
              <w:jc w:val="both"/>
              <w:rPr>
                <w:rFonts w:ascii="Arial" w:hAnsi="Arial" w:cs="Arial"/>
                <w:sz w:val="22"/>
              </w:rPr>
            </w:pPr>
            <w:r w:rsidRPr="0059544A">
              <w:rPr>
                <w:rFonts w:ascii="Arial" w:hAnsi="Arial" w:cs="Arial"/>
                <w:sz w:val="22"/>
              </w:rPr>
              <w:t>PZ</w:t>
            </w:r>
          </w:p>
        </w:tc>
      </w:tr>
    </w:tbl>
    <w:p w:rsidR="0067261B" w:rsidRPr="0059544A" w:rsidRDefault="0067261B" w:rsidP="0067261B">
      <w:pPr>
        <w:jc w:val="both"/>
        <w:rPr>
          <w:rFonts w:ascii="Arial" w:hAnsi="Arial" w:cs="Arial"/>
          <w:sz w:val="22"/>
        </w:rPr>
      </w:pPr>
    </w:p>
    <w:p w:rsidR="0067261B" w:rsidRPr="0059544A" w:rsidRDefault="0067261B" w:rsidP="0067261B">
      <w:pPr>
        <w:jc w:val="both"/>
        <w:rPr>
          <w:rFonts w:ascii="Arial" w:hAnsi="Arial" w:cs="Arial"/>
          <w:sz w:val="22"/>
        </w:rPr>
      </w:pPr>
      <w:r w:rsidRPr="0059544A">
        <w:rPr>
          <w:rFonts w:ascii="Arial" w:hAnsi="Arial" w:cs="Arial"/>
          <w:sz w:val="22"/>
        </w:rPr>
        <w:t xml:space="preserve">      2.2.2.Dvorci</w:t>
      </w:r>
    </w:p>
    <w:tbl>
      <w:tblPr>
        <w:tblStyle w:val="Reetkatablice"/>
        <w:tblW w:w="0" w:type="auto"/>
        <w:tblInd w:w="468" w:type="dxa"/>
        <w:tblLayout w:type="fixed"/>
        <w:tblLook w:val="01E0" w:firstRow="1" w:lastRow="1" w:firstColumn="1" w:lastColumn="1" w:noHBand="0" w:noVBand="0"/>
      </w:tblPr>
      <w:tblGrid>
        <w:gridCol w:w="900"/>
        <w:gridCol w:w="2520"/>
        <w:gridCol w:w="3240"/>
        <w:gridCol w:w="1620"/>
      </w:tblGrid>
      <w:tr w:rsidR="0067261B" w:rsidRPr="0059544A">
        <w:tc>
          <w:tcPr>
            <w:tcW w:w="90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Ident</w:t>
            </w:r>
          </w:p>
          <w:p w:rsidR="0067261B" w:rsidRPr="0059544A" w:rsidRDefault="0067261B" w:rsidP="00623F55">
            <w:pPr>
              <w:jc w:val="both"/>
              <w:rPr>
                <w:rFonts w:ascii="Arial" w:hAnsi="Arial" w:cs="Arial"/>
                <w:b/>
                <w:sz w:val="22"/>
                <w:szCs w:val="22"/>
              </w:rPr>
            </w:pPr>
            <w:r w:rsidRPr="0059544A">
              <w:rPr>
                <w:rFonts w:ascii="Arial" w:hAnsi="Arial" w:cs="Arial"/>
                <w:b/>
                <w:sz w:val="22"/>
                <w:szCs w:val="22"/>
              </w:rPr>
              <w:t>Br.</w:t>
            </w: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 xml:space="preserve">     Naselje</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Spomenik/kulturno. Povijesne vrijednosti</w:t>
            </w:r>
          </w:p>
        </w:tc>
        <w:tc>
          <w:tcPr>
            <w:tcW w:w="162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Spomenički status</w:t>
            </w:r>
          </w:p>
        </w:tc>
      </w:tr>
      <w:tr w:rsidR="0067261B" w:rsidRPr="0059544A">
        <w:tc>
          <w:tcPr>
            <w:tcW w:w="900" w:type="dxa"/>
          </w:tcPr>
          <w:p w:rsidR="0067261B" w:rsidRPr="0059544A" w:rsidRDefault="0067261B" w:rsidP="00623F55">
            <w:pPr>
              <w:jc w:val="both"/>
              <w:rPr>
                <w:rFonts w:ascii="Arial" w:hAnsi="Arial" w:cs="Arial"/>
                <w:sz w:val="22"/>
              </w:rPr>
            </w:pPr>
          </w:p>
        </w:tc>
        <w:tc>
          <w:tcPr>
            <w:tcW w:w="2520" w:type="dxa"/>
          </w:tcPr>
          <w:p w:rsidR="0067261B" w:rsidRPr="0059544A" w:rsidRDefault="0067261B" w:rsidP="00623F55">
            <w:pPr>
              <w:jc w:val="both"/>
              <w:rPr>
                <w:rFonts w:ascii="Arial" w:hAnsi="Arial" w:cs="Arial"/>
                <w:sz w:val="22"/>
              </w:rPr>
            </w:pPr>
            <w:r w:rsidRPr="0059544A">
              <w:rPr>
                <w:rFonts w:ascii="Arial" w:hAnsi="Arial" w:cs="Arial"/>
                <w:sz w:val="22"/>
              </w:rPr>
              <w:t>Gornja rijeka</w:t>
            </w:r>
          </w:p>
        </w:tc>
        <w:tc>
          <w:tcPr>
            <w:tcW w:w="3240" w:type="dxa"/>
          </w:tcPr>
          <w:p w:rsidR="0067261B" w:rsidRPr="0059544A" w:rsidRDefault="0067261B" w:rsidP="00623F55">
            <w:pPr>
              <w:jc w:val="both"/>
              <w:rPr>
                <w:rFonts w:ascii="Arial" w:hAnsi="Arial" w:cs="Arial"/>
                <w:sz w:val="22"/>
              </w:rPr>
            </w:pPr>
            <w:r w:rsidRPr="0059544A">
              <w:rPr>
                <w:rFonts w:ascii="Arial" w:hAnsi="Arial" w:cs="Arial"/>
                <w:sz w:val="22"/>
              </w:rPr>
              <w:t>Dvorac Erdody-Rubido</w:t>
            </w:r>
          </w:p>
        </w:tc>
        <w:tc>
          <w:tcPr>
            <w:tcW w:w="1620" w:type="dxa"/>
          </w:tcPr>
          <w:p w:rsidR="0067261B" w:rsidRPr="0059544A" w:rsidRDefault="0067261B" w:rsidP="00623F55">
            <w:pPr>
              <w:jc w:val="both"/>
              <w:rPr>
                <w:rFonts w:ascii="Arial" w:hAnsi="Arial" w:cs="Arial"/>
                <w:sz w:val="22"/>
              </w:rPr>
            </w:pPr>
            <w:r w:rsidRPr="0059544A">
              <w:rPr>
                <w:rFonts w:ascii="Arial" w:hAnsi="Arial" w:cs="Arial"/>
                <w:sz w:val="22"/>
              </w:rPr>
              <w:t>R</w:t>
            </w:r>
          </w:p>
        </w:tc>
      </w:tr>
    </w:tbl>
    <w:p w:rsidR="0067261B" w:rsidRPr="0059544A" w:rsidRDefault="0067261B" w:rsidP="0067261B">
      <w:pPr>
        <w:jc w:val="both"/>
        <w:rPr>
          <w:rFonts w:ascii="Arial" w:hAnsi="Arial" w:cs="Arial"/>
          <w:sz w:val="22"/>
        </w:rPr>
      </w:pPr>
    </w:p>
    <w:p w:rsidR="0067261B" w:rsidRPr="0059544A" w:rsidRDefault="0067261B" w:rsidP="0067261B">
      <w:pPr>
        <w:jc w:val="both"/>
        <w:rPr>
          <w:rFonts w:ascii="Arial" w:hAnsi="Arial" w:cs="Arial"/>
          <w:sz w:val="22"/>
          <w:szCs w:val="22"/>
        </w:rPr>
      </w:pPr>
      <w:r w:rsidRPr="0059544A">
        <w:rPr>
          <w:rFonts w:ascii="Arial" w:hAnsi="Arial" w:cs="Arial"/>
          <w:sz w:val="22"/>
          <w:szCs w:val="22"/>
        </w:rPr>
        <w:t xml:space="preserve">    </w:t>
      </w:r>
    </w:p>
    <w:p w:rsidR="0067261B" w:rsidRPr="0059544A" w:rsidRDefault="0067261B" w:rsidP="0067261B">
      <w:pPr>
        <w:jc w:val="both"/>
        <w:rPr>
          <w:rFonts w:ascii="Arial" w:hAnsi="Arial" w:cs="Arial"/>
          <w:sz w:val="22"/>
          <w:szCs w:val="22"/>
        </w:rPr>
      </w:pPr>
      <w:r w:rsidRPr="0059544A">
        <w:rPr>
          <w:rFonts w:ascii="Arial" w:hAnsi="Arial" w:cs="Arial"/>
          <w:sz w:val="22"/>
          <w:szCs w:val="22"/>
        </w:rPr>
        <w:t xml:space="preserve"> 2.2.3. Javne i druge građevine</w:t>
      </w:r>
    </w:p>
    <w:p w:rsidR="0067261B" w:rsidRPr="0059544A" w:rsidRDefault="0067261B" w:rsidP="0067261B">
      <w:pPr>
        <w:jc w:val="both"/>
        <w:rPr>
          <w:rFonts w:ascii="Arial" w:hAnsi="Arial" w:cs="Arial"/>
          <w:sz w:val="22"/>
          <w:szCs w:val="22"/>
        </w:rPr>
      </w:pPr>
    </w:p>
    <w:p w:rsidR="0067261B" w:rsidRPr="0059544A" w:rsidRDefault="0067261B" w:rsidP="0067261B">
      <w:pPr>
        <w:jc w:val="both"/>
        <w:rPr>
          <w:rFonts w:ascii="Arial" w:hAnsi="Arial" w:cs="Arial"/>
          <w:sz w:val="22"/>
          <w:szCs w:val="22"/>
        </w:rPr>
      </w:pPr>
    </w:p>
    <w:tbl>
      <w:tblPr>
        <w:tblStyle w:val="Reetkatablice"/>
        <w:tblW w:w="0" w:type="auto"/>
        <w:tblInd w:w="468" w:type="dxa"/>
        <w:tblLayout w:type="fixed"/>
        <w:tblLook w:val="01E0" w:firstRow="1" w:lastRow="1" w:firstColumn="1" w:lastColumn="1" w:noHBand="0" w:noVBand="0"/>
      </w:tblPr>
      <w:tblGrid>
        <w:gridCol w:w="900"/>
        <w:gridCol w:w="2520"/>
        <w:gridCol w:w="3240"/>
        <w:gridCol w:w="1620"/>
      </w:tblGrid>
      <w:tr w:rsidR="0067261B" w:rsidRPr="0059544A">
        <w:tc>
          <w:tcPr>
            <w:tcW w:w="90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Ident</w:t>
            </w:r>
          </w:p>
          <w:p w:rsidR="0067261B" w:rsidRPr="0059544A" w:rsidRDefault="0067261B" w:rsidP="00623F55">
            <w:pPr>
              <w:jc w:val="both"/>
              <w:rPr>
                <w:rFonts w:ascii="Arial" w:hAnsi="Arial" w:cs="Arial"/>
                <w:b/>
                <w:sz w:val="22"/>
                <w:szCs w:val="22"/>
              </w:rPr>
            </w:pPr>
            <w:r w:rsidRPr="0059544A">
              <w:rPr>
                <w:rFonts w:ascii="Arial" w:hAnsi="Arial" w:cs="Arial"/>
                <w:b/>
                <w:sz w:val="22"/>
                <w:szCs w:val="22"/>
              </w:rPr>
              <w:t>Br.</w:t>
            </w: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 xml:space="preserve">     Naselje</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Spomenik/kulturno. Povijesne vrijednosti</w:t>
            </w:r>
          </w:p>
        </w:tc>
        <w:tc>
          <w:tcPr>
            <w:tcW w:w="162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Spomenički status</w:t>
            </w:r>
          </w:p>
        </w:tc>
      </w:tr>
      <w:tr w:rsidR="0067261B" w:rsidRPr="0059544A">
        <w:tc>
          <w:tcPr>
            <w:tcW w:w="90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1.</w:t>
            </w:r>
          </w:p>
        </w:tc>
        <w:tc>
          <w:tcPr>
            <w:tcW w:w="25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Gornja Rijeka</w:t>
            </w:r>
          </w:p>
        </w:tc>
        <w:tc>
          <w:tcPr>
            <w:tcW w:w="324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zgrada stare Škole</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PZ</w:t>
            </w:r>
          </w:p>
        </w:tc>
      </w:tr>
      <w:tr w:rsidR="0067261B" w:rsidRPr="0059544A">
        <w:tc>
          <w:tcPr>
            <w:tcW w:w="90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2.</w:t>
            </w:r>
          </w:p>
        </w:tc>
        <w:tc>
          <w:tcPr>
            <w:tcW w:w="25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Gornja Rijeka</w:t>
            </w:r>
          </w:p>
        </w:tc>
        <w:tc>
          <w:tcPr>
            <w:tcW w:w="324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Zgrada bivše polj. Zadruge/ arh.F.F.</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PZ</w:t>
            </w:r>
          </w:p>
        </w:tc>
      </w:tr>
      <w:tr w:rsidR="0067261B" w:rsidRPr="0059544A">
        <w:trPr>
          <w:trHeight w:val="336"/>
        </w:trPr>
        <w:tc>
          <w:tcPr>
            <w:tcW w:w="90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3.</w:t>
            </w:r>
          </w:p>
        </w:tc>
        <w:tc>
          <w:tcPr>
            <w:tcW w:w="25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Kolarec</w:t>
            </w:r>
          </w:p>
        </w:tc>
        <w:tc>
          <w:tcPr>
            <w:tcW w:w="324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Zgrada škole</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PZ</w:t>
            </w:r>
          </w:p>
        </w:tc>
      </w:tr>
      <w:tr w:rsidR="0067261B" w:rsidRPr="0059544A">
        <w:tc>
          <w:tcPr>
            <w:tcW w:w="90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4.</w:t>
            </w:r>
          </w:p>
        </w:tc>
        <w:tc>
          <w:tcPr>
            <w:tcW w:w="25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Pofuki</w:t>
            </w:r>
          </w:p>
        </w:tc>
        <w:tc>
          <w:tcPr>
            <w:tcW w:w="324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Zgrada stare škole/ dio bivšeg vlastelinskog kompleksa</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 xml:space="preserve">PZ </w:t>
            </w:r>
          </w:p>
        </w:tc>
      </w:tr>
    </w:tbl>
    <w:p w:rsidR="0067261B" w:rsidRPr="0059544A" w:rsidRDefault="0067261B" w:rsidP="0067261B">
      <w:pPr>
        <w:jc w:val="both"/>
        <w:rPr>
          <w:rFonts w:ascii="Arial" w:hAnsi="Arial" w:cs="Arial"/>
          <w:sz w:val="22"/>
          <w:szCs w:val="22"/>
        </w:rPr>
      </w:pPr>
    </w:p>
    <w:p w:rsidR="0067261B" w:rsidRPr="0059544A" w:rsidRDefault="0067261B" w:rsidP="0067261B">
      <w:pPr>
        <w:spacing w:line="360" w:lineRule="auto"/>
        <w:jc w:val="both"/>
        <w:rPr>
          <w:rFonts w:ascii="Arial" w:hAnsi="Arial" w:cs="Arial"/>
          <w:sz w:val="22"/>
          <w:szCs w:val="22"/>
        </w:rPr>
      </w:pPr>
      <w:r w:rsidRPr="0059544A">
        <w:rPr>
          <w:rFonts w:ascii="Arial" w:hAnsi="Arial" w:cs="Arial"/>
          <w:sz w:val="22"/>
          <w:szCs w:val="22"/>
        </w:rPr>
        <w:t xml:space="preserve">     2.2.4. gospodarske građevine </w:t>
      </w:r>
    </w:p>
    <w:tbl>
      <w:tblPr>
        <w:tblStyle w:val="Reetkatablice"/>
        <w:tblW w:w="0" w:type="auto"/>
        <w:tblInd w:w="468" w:type="dxa"/>
        <w:tblLayout w:type="fixed"/>
        <w:tblLook w:val="01E0" w:firstRow="1" w:lastRow="1" w:firstColumn="1" w:lastColumn="1" w:noHBand="0" w:noVBand="0"/>
      </w:tblPr>
      <w:tblGrid>
        <w:gridCol w:w="900"/>
        <w:gridCol w:w="2520"/>
        <w:gridCol w:w="3240"/>
        <w:gridCol w:w="1620"/>
      </w:tblGrid>
      <w:tr w:rsidR="0067261B" w:rsidRPr="0059544A">
        <w:tc>
          <w:tcPr>
            <w:tcW w:w="90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Ident</w:t>
            </w:r>
          </w:p>
          <w:p w:rsidR="0067261B" w:rsidRPr="0059544A" w:rsidRDefault="0067261B" w:rsidP="00623F55">
            <w:pPr>
              <w:jc w:val="both"/>
              <w:rPr>
                <w:rFonts w:ascii="Arial" w:hAnsi="Arial" w:cs="Arial"/>
                <w:b/>
                <w:sz w:val="22"/>
                <w:szCs w:val="22"/>
              </w:rPr>
            </w:pPr>
            <w:r w:rsidRPr="0059544A">
              <w:rPr>
                <w:rFonts w:ascii="Arial" w:hAnsi="Arial" w:cs="Arial"/>
                <w:b/>
                <w:sz w:val="22"/>
                <w:szCs w:val="22"/>
              </w:rPr>
              <w:t>Br.</w:t>
            </w: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 xml:space="preserve">     Naselje</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Spomenik/kulturno. Povijesne vrijednosti</w:t>
            </w:r>
          </w:p>
        </w:tc>
        <w:tc>
          <w:tcPr>
            <w:tcW w:w="162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Spomenički status</w:t>
            </w:r>
          </w:p>
        </w:tc>
      </w:tr>
      <w:tr w:rsidR="0067261B" w:rsidRPr="0059544A">
        <w:tc>
          <w:tcPr>
            <w:tcW w:w="900" w:type="dxa"/>
          </w:tcPr>
          <w:p w:rsidR="0067261B" w:rsidRPr="0059544A" w:rsidRDefault="0067261B" w:rsidP="00623F55">
            <w:pPr>
              <w:jc w:val="both"/>
              <w:rPr>
                <w:rFonts w:ascii="Arial" w:hAnsi="Arial" w:cs="Arial"/>
                <w:sz w:val="22"/>
              </w:rPr>
            </w:pPr>
          </w:p>
        </w:tc>
        <w:tc>
          <w:tcPr>
            <w:tcW w:w="2520" w:type="dxa"/>
          </w:tcPr>
          <w:p w:rsidR="0067261B" w:rsidRPr="0059544A" w:rsidRDefault="0067261B" w:rsidP="00623F55">
            <w:pPr>
              <w:jc w:val="both"/>
              <w:rPr>
                <w:rFonts w:ascii="Arial" w:hAnsi="Arial" w:cs="Arial"/>
                <w:sz w:val="22"/>
              </w:rPr>
            </w:pPr>
            <w:r w:rsidRPr="0059544A">
              <w:rPr>
                <w:rFonts w:ascii="Arial" w:hAnsi="Arial" w:cs="Arial"/>
                <w:sz w:val="22"/>
              </w:rPr>
              <w:t>Donja Rijeka</w:t>
            </w:r>
          </w:p>
        </w:tc>
        <w:tc>
          <w:tcPr>
            <w:tcW w:w="3240" w:type="dxa"/>
          </w:tcPr>
          <w:p w:rsidR="0067261B" w:rsidRPr="0059544A" w:rsidRDefault="0067261B" w:rsidP="00623F55">
            <w:pPr>
              <w:jc w:val="both"/>
              <w:rPr>
                <w:rFonts w:ascii="Arial" w:hAnsi="Arial" w:cs="Arial"/>
                <w:sz w:val="22"/>
              </w:rPr>
            </w:pPr>
            <w:r w:rsidRPr="0059544A">
              <w:rPr>
                <w:rFonts w:ascii="Arial" w:hAnsi="Arial" w:cs="Arial"/>
                <w:sz w:val="22"/>
              </w:rPr>
              <w:t>Zgrada mlina vodeničara kod potoka Sopot/Šokot –vl.Iveković</w:t>
            </w:r>
          </w:p>
        </w:tc>
        <w:tc>
          <w:tcPr>
            <w:tcW w:w="1620" w:type="dxa"/>
          </w:tcPr>
          <w:p w:rsidR="0067261B" w:rsidRPr="0059544A" w:rsidRDefault="0067261B" w:rsidP="00623F55">
            <w:pPr>
              <w:jc w:val="both"/>
              <w:rPr>
                <w:rFonts w:ascii="Arial" w:hAnsi="Arial" w:cs="Arial"/>
                <w:sz w:val="22"/>
              </w:rPr>
            </w:pPr>
            <w:r w:rsidRPr="0059544A">
              <w:rPr>
                <w:rFonts w:ascii="Arial" w:hAnsi="Arial" w:cs="Arial"/>
                <w:sz w:val="22"/>
              </w:rPr>
              <w:t>PZ</w:t>
            </w:r>
          </w:p>
        </w:tc>
      </w:tr>
      <w:tr w:rsidR="0067261B" w:rsidRPr="0059544A">
        <w:tc>
          <w:tcPr>
            <w:tcW w:w="900" w:type="dxa"/>
          </w:tcPr>
          <w:p w:rsidR="0067261B" w:rsidRPr="0059544A" w:rsidRDefault="0067261B" w:rsidP="00623F55">
            <w:pPr>
              <w:jc w:val="both"/>
              <w:rPr>
                <w:rFonts w:ascii="Arial" w:hAnsi="Arial" w:cs="Arial"/>
                <w:sz w:val="22"/>
              </w:rPr>
            </w:pPr>
          </w:p>
        </w:tc>
        <w:tc>
          <w:tcPr>
            <w:tcW w:w="2520" w:type="dxa"/>
          </w:tcPr>
          <w:p w:rsidR="0067261B" w:rsidRPr="0059544A" w:rsidRDefault="0067261B" w:rsidP="00623F55">
            <w:pPr>
              <w:jc w:val="both"/>
              <w:rPr>
                <w:rFonts w:ascii="Arial" w:hAnsi="Arial" w:cs="Arial"/>
                <w:sz w:val="22"/>
              </w:rPr>
            </w:pPr>
            <w:r w:rsidRPr="0059544A">
              <w:rPr>
                <w:rFonts w:ascii="Arial" w:hAnsi="Arial" w:cs="Arial"/>
                <w:sz w:val="22"/>
              </w:rPr>
              <w:t xml:space="preserve">Gornja Rijeka </w:t>
            </w:r>
          </w:p>
        </w:tc>
        <w:tc>
          <w:tcPr>
            <w:tcW w:w="3240" w:type="dxa"/>
          </w:tcPr>
          <w:p w:rsidR="0067261B" w:rsidRPr="0059544A" w:rsidRDefault="0067261B" w:rsidP="00623F55">
            <w:pPr>
              <w:jc w:val="both"/>
              <w:rPr>
                <w:rFonts w:ascii="Arial" w:hAnsi="Arial" w:cs="Arial"/>
                <w:sz w:val="22"/>
              </w:rPr>
            </w:pPr>
            <w:r w:rsidRPr="0059544A">
              <w:rPr>
                <w:rFonts w:ascii="Arial" w:hAnsi="Arial" w:cs="Arial"/>
                <w:sz w:val="22"/>
              </w:rPr>
              <w:t>Gospodarski zidani katni objekt-U tlocrt</w:t>
            </w:r>
          </w:p>
        </w:tc>
        <w:tc>
          <w:tcPr>
            <w:tcW w:w="1620" w:type="dxa"/>
          </w:tcPr>
          <w:p w:rsidR="0067261B" w:rsidRPr="0059544A" w:rsidRDefault="0067261B" w:rsidP="00623F55">
            <w:pPr>
              <w:jc w:val="both"/>
              <w:rPr>
                <w:rFonts w:ascii="Arial" w:hAnsi="Arial" w:cs="Arial"/>
                <w:sz w:val="22"/>
              </w:rPr>
            </w:pPr>
            <w:r w:rsidRPr="0059544A">
              <w:rPr>
                <w:rFonts w:ascii="Arial" w:hAnsi="Arial" w:cs="Arial"/>
                <w:sz w:val="22"/>
              </w:rPr>
              <w:t>E</w:t>
            </w:r>
          </w:p>
        </w:tc>
      </w:tr>
    </w:tbl>
    <w:p w:rsidR="0067261B" w:rsidRPr="0059544A" w:rsidRDefault="0067261B" w:rsidP="0067261B">
      <w:pPr>
        <w:jc w:val="both"/>
        <w:rPr>
          <w:rFonts w:ascii="Arial" w:hAnsi="Arial" w:cs="Arial"/>
          <w:sz w:val="22"/>
        </w:rPr>
      </w:pPr>
    </w:p>
    <w:p w:rsidR="0067261B" w:rsidRPr="0059544A" w:rsidRDefault="0067261B" w:rsidP="0067261B">
      <w:pPr>
        <w:spacing w:line="360" w:lineRule="auto"/>
        <w:jc w:val="both"/>
        <w:rPr>
          <w:rFonts w:ascii="Arial" w:hAnsi="Arial" w:cs="Arial"/>
          <w:sz w:val="22"/>
          <w:szCs w:val="22"/>
        </w:rPr>
      </w:pPr>
      <w:r w:rsidRPr="0059544A">
        <w:rPr>
          <w:rFonts w:ascii="Arial" w:hAnsi="Arial" w:cs="Arial"/>
          <w:sz w:val="22"/>
          <w:szCs w:val="22"/>
        </w:rPr>
        <w:t>2.3.     INŽENJERSKE I KOMUNALNO TEHNIČKE GRAĐEVINE</w:t>
      </w:r>
    </w:p>
    <w:tbl>
      <w:tblPr>
        <w:tblStyle w:val="Reetkatablice"/>
        <w:tblW w:w="0" w:type="auto"/>
        <w:tblInd w:w="468" w:type="dxa"/>
        <w:tblLayout w:type="fixed"/>
        <w:tblLook w:val="01E0" w:firstRow="1" w:lastRow="1" w:firstColumn="1" w:lastColumn="1" w:noHBand="0" w:noVBand="0"/>
      </w:tblPr>
      <w:tblGrid>
        <w:gridCol w:w="900"/>
        <w:gridCol w:w="2520"/>
        <w:gridCol w:w="3240"/>
        <w:gridCol w:w="1620"/>
      </w:tblGrid>
      <w:tr w:rsidR="0067261B" w:rsidRPr="0059544A">
        <w:tc>
          <w:tcPr>
            <w:tcW w:w="90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Ident</w:t>
            </w:r>
          </w:p>
          <w:p w:rsidR="0067261B" w:rsidRPr="0059544A" w:rsidRDefault="0067261B" w:rsidP="00623F55">
            <w:pPr>
              <w:jc w:val="both"/>
              <w:rPr>
                <w:rFonts w:ascii="Arial" w:hAnsi="Arial" w:cs="Arial"/>
                <w:b/>
                <w:sz w:val="22"/>
                <w:szCs w:val="22"/>
              </w:rPr>
            </w:pPr>
            <w:r w:rsidRPr="0059544A">
              <w:rPr>
                <w:rFonts w:ascii="Arial" w:hAnsi="Arial" w:cs="Arial"/>
                <w:b/>
                <w:sz w:val="22"/>
                <w:szCs w:val="22"/>
              </w:rPr>
              <w:t>Br.</w:t>
            </w: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 xml:space="preserve">     Naselje</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Spomenik/kulturno. Povijesne vrijednosti</w:t>
            </w:r>
          </w:p>
        </w:tc>
        <w:tc>
          <w:tcPr>
            <w:tcW w:w="162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Spomenički status</w:t>
            </w:r>
          </w:p>
        </w:tc>
      </w:tr>
      <w:tr w:rsidR="0067261B" w:rsidRPr="0059544A">
        <w:tc>
          <w:tcPr>
            <w:tcW w:w="900" w:type="dxa"/>
          </w:tcPr>
          <w:p w:rsidR="0067261B" w:rsidRPr="0059544A" w:rsidRDefault="0067261B" w:rsidP="00623F55">
            <w:pPr>
              <w:jc w:val="both"/>
              <w:rPr>
                <w:rFonts w:ascii="Arial" w:hAnsi="Arial" w:cs="Arial"/>
                <w:sz w:val="22"/>
              </w:rPr>
            </w:pPr>
          </w:p>
        </w:tc>
        <w:tc>
          <w:tcPr>
            <w:tcW w:w="2520" w:type="dxa"/>
          </w:tcPr>
          <w:p w:rsidR="0067261B" w:rsidRPr="0059544A" w:rsidRDefault="0067261B" w:rsidP="00623F55">
            <w:pPr>
              <w:jc w:val="both"/>
              <w:rPr>
                <w:rFonts w:ascii="Arial" w:hAnsi="Arial" w:cs="Arial"/>
                <w:sz w:val="22"/>
              </w:rPr>
            </w:pPr>
            <w:r w:rsidRPr="0059544A">
              <w:rPr>
                <w:rFonts w:ascii="Arial" w:hAnsi="Arial" w:cs="Arial"/>
                <w:sz w:val="22"/>
              </w:rPr>
              <w:t>Gornja Rijeka</w:t>
            </w:r>
          </w:p>
        </w:tc>
        <w:tc>
          <w:tcPr>
            <w:tcW w:w="3240" w:type="dxa"/>
          </w:tcPr>
          <w:p w:rsidR="0067261B" w:rsidRPr="0059544A" w:rsidRDefault="0067261B" w:rsidP="00623F55">
            <w:pPr>
              <w:jc w:val="both"/>
              <w:rPr>
                <w:rFonts w:ascii="Arial" w:hAnsi="Arial" w:cs="Arial"/>
                <w:sz w:val="22"/>
              </w:rPr>
            </w:pPr>
            <w:r w:rsidRPr="0059544A">
              <w:rPr>
                <w:rFonts w:ascii="Arial" w:hAnsi="Arial" w:cs="Arial"/>
                <w:sz w:val="22"/>
              </w:rPr>
              <w:t>Kameni most preko potoka Šokot</w:t>
            </w:r>
          </w:p>
        </w:tc>
        <w:tc>
          <w:tcPr>
            <w:tcW w:w="1620" w:type="dxa"/>
          </w:tcPr>
          <w:p w:rsidR="0067261B" w:rsidRPr="0059544A" w:rsidRDefault="0067261B" w:rsidP="00623F55">
            <w:pPr>
              <w:jc w:val="both"/>
              <w:rPr>
                <w:rFonts w:ascii="Arial" w:hAnsi="Arial" w:cs="Arial"/>
                <w:sz w:val="22"/>
              </w:rPr>
            </w:pPr>
            <w:r w:rsidRPr="0059544A">
              <w:rPr>
                <w:rFonts w:ascii="Arial" w:hAnsi="Arial" w:cs="Arial"/>
                <w:sz w:val="22"/>
              </w:rPr>
              <w:t>E</w:t>
            </w:r>
          </w:p>
        </w:tc>
      </w:tr>
    </w:tbl>
    <w:p w:rsidR="0067261B" w:rsidRPr="0059544A" w:rsidRDefault="0067261B" w:rsidP="0067261B">
      <w:pPr>
        <w:jc w:val="both"/>
        <w:rPr>
          <w:rFonts w:ascii="Arial" w:hAnsi="Arial" w:cs="Arial"/>
          <w:sz w:val="22"/>
        </w:rPr>
      </w:pPr>
    </w:p>
    <w:p w:rsidR="0067261B" w:rsidRPr="0059544A" w:rsidRDefault="0067261B" w:rsidP="0067261B">
      <w:pPr>
        <w:jc w:val="both"/>
        <w:rPr>
          <w:rFonts w:ascii="Arial" w:hAnsi="Arial" w:cs="Arial"/>
          <w:sz w:val="22"/>
        </w:rPr>
      </w:pPr>
      <w:r w:rsidRPr="0059544A">
        <w:rPr>
          <w:rFonts w:ascii="Arial" w:hAnsi="Arial" w:cs="Arial"/>
          <w:sz w:val="22"/>
        </w:rPr>
        <w:t>2.4.    FORTIFIKACIJSKE  GRAĐEVINE</w:t>
      </w:r>
    </w:p>
    <w:tbl>
      <w:tblPr>
        <w:tblStyle w:val="Reetkatablice"/>
        <w:tblW w:w="0" w:type="auto"/>
        <w:tblInd w:w="468" w:type="dxa"/>
        <w:tblLayout w:type="fixed"/>
        <w:tblLook w:val="01E0" w:firstRow="1" w:lastRow="1" w:firstColumn="1" w:lastColumn="1" w:noHBand="0" w:noVBand="0"/>
      </w:tblPr>
      <w:tblGrid>
        <w:gridCol w:w="900"/>
        <w:gridCol w:w="2520"/>
        <w:gridCol w:w="3240"/>
        <w:gridCol w:w="1620"/>
      </w:tblGrid>
      <w:tr w:rsidR="0067261B" w:rsidRPr="0059544A">
        <w:tc>
          <w:tcPr>
            <w:tcW w:w="90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Ident</w:t>
            </w:r>
          </w:p>
          <w:p w:rsidR="0067261B" w:rsidRPr="0059544A" w:rsidRDefault="0067261B" w:rsidP="00623F55">
            <w:pPr>
              <w:jc w:val="both"/>
              <w:rPr>
                <w:rFonts w:ascii="Arial" w:hAnsi="Arial" w:cs="Arial"/>
                <w:b/>
                <w:sz w:val="22"/>
                <w:szCs w:val="22"/>
              </w:rPr>
            </w:pPr>
            <w:r w:rsidRPr="0059544A">
              <w:rPr>
                <w:rFonts w:ascii="Arial" w:hAnsi="Arial" w:cs="Arial"/>
                <w:b/>
                <w:sz w:val="22"/>
                <w:szCs w:val="22"/>
              </w:rPr>
              <w:t>Br.</w:t>
            </w: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 xml:space="preserve">     Naselje</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Spomenik/kulturno. Povijesne vrijednosti</w:t>
            </w:r>
          </w:p>
        </w:tc>
        <w:tc>
          <w:tcPr>
            <w:tcW w:w="162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Spomenički status</w:t>
            </w:r>
          </w:p>
        </w:tc>
      </w:tr>
      <w:tr w:rsidR="0067261B" w:rsidRPr="0059544A">
        <w:tc>
          <w:tcPr>
            <w:tcW w:w="900" w:type="dxa"/>
          </w:tcPr>
          <w:p w:rsidR="0067261B" w:rsidRPr="0059544A" w:rsidRDefault="0067261B" w:rsidP="00623F55">
            <w:pPr>
              <w:jc w:val="both"/>
              <w:rPr>
                <w:rFonts w:ascii="Arial" w:hAnsi="Arial" w:cs="Arial"/>
                <w:sz w:val="22"/>
              </w:rPr>
            </w:pPr>
          </w:p>
        </w:tc>
        <w:tc>
          <w:tcPr>
            <w:tcW w:w="2520" w:type="dxa"/>
          </w:tcPr>
          <w:p w:rsidR="0067261B" w:rsidRPr="0059544A" w:rsidRDefault="0067261B" w:rsidP="00623F55">
            <w:pPr>
              <w:jc w:val="both"/>
              <w:rPr>
                <w:rFonts w:ascii="Arial" w:hAnsi="Arial" w:cs="Arial"/>
                <w:sz w:val="22"/>
              </w:rPr>
            </w:pPr>
            <w:r w:rsidRPr="0059544A">
              <w:rPr>
                <w:rFonts w:ascii="Arial" w:hAnsi="Arial" w:cs="Arial"/>
                <w:sz w:val="22"/>
              </w:rPr>
              <w:t>Deklešanec-Mali Kalnik</w:t>
            </w:r>
          </w:p>
        </w:tc>
        <w:tc>
          <w:tcPr>
            <w:tcW w:w="3240" w:type="dxa"/>
          </w:tcPr>
          <w:p w:rsidR="0067261B" w:rsidRPr="0059544A" w:rsidRDefault="0067261B" w:rsidP="00623F55">
            <w:pPr>
              <w:jc w:val="both"/>
              <w:rPr>
                <w:rFonts w:ascii="Arial" w:hAnsi="Arial" w:cs="Arial"/>
                <w:sz w:val="22"/>
              </w:rPr>
            </w:pPr>
            <w:r w:rsidRPr="0059544A">
              <w:rPr>
                <w:rFonts w:ascii="Arial" w:hAnsi="Arial" w:cs="Arial"/>
                <w:sz w:val="22"/>
              </w:rPr>
              <w:t>Srednjovjekovna utvrda</w:t>
            </w:r>
          </w:p>
        </w:tc>
        <w:tc>
          <w:tcPr>
            <w:tcW w:w="1620" w:type="dxa"/>
          </w:tcPr>
          <w:p w:rsidR="0067261B" w:rsidRPr="0059544A" w:rsidRDefault="0067261B" w:rsidP="00623F55">
            <w:pPr>
              <w:jc w:val="both"/>
              <w:rPr>
                <w:rFonts w:ascii="Arial" w:hAnsi="Arial" w:cs="Arial"/>
                <w:sz w:val="22"/>
              </w:rPr>
            </w:pPr>
            <w:r w:rsidRPr="0059544A">
              <w:rPr>
                <w:rFonts w:ascii="Arial" w:hAnsi="Arial" w:cs="Arial"/>
                <w:sz w:val="22"/>
              </w:rPr>
              <w:t>R</w:t>
            </w:r>
          </w:p>
        </w:tc>
      </w:tr>
    </w:tbl>
    <w:p w:rsidR="0067261B" w:rsidRPr="0059544A" w:rsidRDefault="0067261B" w:rsidP="0067261B">
      <w:pPr>
        <w:spacing w:line="360" w:lineRule="auto"/>
        <w:jc w:val="both"/>
        <w:rPr>
          <w:rFonts w:ascii="Arial" w:hAnsi="Arial" w:cs="Arial"/>
          <w:b/>
          <w:sz w:val="22"/>
          <w:szCs w:val="22"/>
        </w:rPr>
      </w:pPr>
    </w:p>
    <w:p w:rsidR="0067261B" w:rsidRPr="0059544A" w:rsidRDefault="0067261B" w:rsidP="0067261B">
      <w:pPr>
        <w:spacing w:line="360" w:lineRule="auto"/>
        <w:jc w:val="both"/>
        <w:rPr>
          <w:rFonts w:ascii="Arial" w:hAnsi="Arial" w:cs="Arial"/>
          <w:b/>
          <w:sz w:val="22"/>
          <w:szCs w:val="22"/>
        </w:rPr>
      </w:pPr>
      <w:r w:rsidRPr="0059544A">
        <w:rPr>
          <w:rFonts w:ascii="Arial" w:hAnsi="Arial" w:cs="Arial"/>
          <w:b/>
          <w:sz w:val="22"/>
          <w:szCs w:val="22"/>
        </w:rPr>
        <w:t xml:space="preserve">3. OPREMA NASELJA </w:t>
      </w:r>
    </w:p>
    <w:p w:rsidR="0067261B" w:rsidRPr="0059544A" w:rsidRDefault="0067261B" w:rsidP="0067261B">
      <w:pPr>
        <w:spacing w:line="360" w:lineRule="auto"/>
        <w:jc w:val="both"/>
        <w:rPr>
          <w:rFonts w:ascii="Arial" w:hAnsi="Arial" w:cs="Arial"/>
          <w:b/>
          <w:sz w:val="22"/>
          <w:szCs w:val="22"/>
        </w:rPr>
      </w:pPr>
    </w:p>
    <w:p w:rsidR="0067261B" w:rsidRPr="0059544A" w:rsidRDefault="0067261B" w:rsidP="0067261B">
      <w:pPr>
        <w:spacing w:line="360" w:lineRule="auto"/>
        <w:jc w:val="both"/>
        <w:rPr>
          <w:rFonts w:ascii="Arial" w:hAnsi="Arial" w:cs="Arial"/>
          <w:sz w:val="22"/>
          <w:szCs w:val="22"/>
        </w:rPr>
      </w:pPr>
      <w:r w:rsidRPr="0059544A">
        <w:rPr>
          <w:rFonts w:ascii="Arial" w:hAnsi="Arial" w:cs="Arial"/>
          <w:sz w:val="22"/>
          <w:szCs w:val="22"/>
        </w:rPr>
        <w:t xml:space="preserve">    </w:t>
      </w:r>
      <w:r w:rsidR="00DC2B81">
        <w:rPr>
          <w:rFonts w:ascii="Arial" w:hAnsi="Arial" w:cs="Arial"/>
          <w:sz w:val="22"/>
          <w:szCs w:val="22"/>
        </w:rPr>
        <w:t xml:space="preserve">  </w:t>
      </w:r>
      <w:r w:rsidRPr="0059544A">
        <w:rPr>
          <w:rFonts w:ascii="Arial" w:hAnsi="Arial" w:cs="Arial"/>
          <w:sz w:val="22"/>
          <w:szCs w:val="22"/>
        </w:rPr>
        <w:t>Poklonci,raspela, bunari</w:t>
      </w:r>
    </w:p>
    <w:tbl>
      <w:tblPr>
        <w:tblStyle w:val="Reetkatablice"/>
        <w:tblW w:w="0" w:type="auto"/>
        <w:tblInd w:w="468" w:type="dxa"/>
        <w:tblLayout w:type="fixed"/>
        <w:tblLook w:val="01E0" w:firstRow="1" w:lastRow="1" w:firstColumn="1" w:lastColumn="1" w:noHBand="0" w:noVBand="0"/>
      </w:tblPr>
      <w:tblGrid>
        <w:gridCol w:w="900"/>
        <w:gridCol w:w="2520"/>
        <w:gridCol w:w="3240"/>
        <w:gridCol w:w="1620"/>
      </w:tblGrid>
      <w:tr w:rsidR="0067261B" w:rsidRPr="0059544A">
        <w:tc>
          <w:tcPr>
            <w:tcW w:w="90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Ident</w:t>
            </w:r>
          </w:p>
          <w:p w:rsidR="0067261B" w:rsidRPr="0059544A" w:rsidRDefault="0067261B" w:rsidP="00623F55">
            <w:pPr>
              <w:jc w:val="both"/>
              <w:rPr>
                <w:rFonts w:ascii="Arial" w:hAnsi="Arial" w:cs="Arial"/>
                <w:b/>
                <w:sz w:val="22"/>
                <w:szCs w:val="22"/>
              </w:rPr>
            </w:pPr>
            <w:r w:rsidRPr="0059544A">
              <w:rPr>
                <w:rFonts w:ascii="Arial" w:hAnsi="Arial" w:cs="Arial"/>
                <w:b/>
                <w:sz w:val="22"/>
                <w:szCs w:val="22"/>
              </w:rPr>
              <w:t>Br.</w:t>
            </w: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 xml:space="preserve">     Naselje</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Spomenik/kulturno. Povijesne vrijednosti</w:t>
            </w:r>
          </w:p>
        </w:tc>
        <w:tc>
          <w:tcPr>
            <w:tcW w:w="162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Spomenički status</w:t>
            </w:r>
          </w:p>
        </w:tc>
      </w:tr>
      <w:tr w:rsidR="0067261B" w:rsidRPr="0059544A">
        <w:tc>
          <w:tcPr>
            <w:tcW w:w="900" w:type="dxa"/>
          </w:tcPr>
          <w:p w:rsidR="0067261B" w:rsidRPr="0059544A" w:rsidRDefault="0067261B" w:rsidP="00623F55">
            <w:pPr>
              <w:jc w:val="both"/>
              <w:rPr>
                <w:rFonts w:ascii="Arial" w:hAnsi="Arial" w:cs="Arial"/>
                <w:sz w:val="22"/>
              </w:rPr>
            </w:pPr>
          </w:p>
        </w:tc>
        <w:tc>
          <w:tcPr>
            <w:tcW w:w="2520" w:type="dxa"/>
          </w:tcPr>
          <w:p w:rsidR="0067261B" w:rsidRPr="0059544A" w:rsidRDefault="0067261B" w:rsidP="00623F55">
            <w:pPr>
              <w:jc w:val="both"/>
              <w:rPr>
                <w:rFonts w:ascii="Arial" w:hAnsi="Arial" w:cs="Arial"/>
                <w:sz w:val="22"/>
              </w:rPr>
            </w:pPr>
            <w:r w:rsidRPr="0059544A">
              <w:rPr>
                <w:rFonts w:ascii="Arial" w:hAnsi="Arial" w:cs="Arial"/>
                <w:sz w:val="22"/>
              </w:rPr>
              <w:t>Gornja Rijeka</w:t>
            </w:r>
          </w:p>
        </w:tc>
        <w:tc>
          <w:tcPr>
            <w:tcW w:w="3240" w:type="dxa"/>
          </w:tcPr>
          <w:p w:rsidR="0067261B" w:rsidRPr="0059544A" w:rsidRDefault="0067261B" w:rsidP="00623F55">
            <w:pPr>
              <w:jc w:val="both"/>
              <w:rPr>
                <w:rFonts w:ascii="Arial" w:hAnsi="Arial" w:cs="Arial"/>
                <w:sz w:val="22"/>
              </w:rPr>
            </w:pPr>
            <w:r w:rsidRPr="0059544A">
              <w:rPr>
                <w:rFonts w:ascii="Arial" w:hAnsi="Arial" w:cs="Arial"/>
                <w:sz w:val="22"/>
              </w:rPr>
              <w:t>Raspelo</w:t>
            </w:r>
          </w:p>
        </w:tc>
        <w:tc>
          <w:tcPr>
            <w:tcW w:w="1620" w:type="dxa"/>
          </w:tcPr>
          <w:p w:rsidR="0067261B" w:rsidRPr="0059544A" w:rsidRDefault="0067261B" w:rsidP="00623F55">
            <w:pPr>
              <w:jc w:val="both"/>
              <w:rPr>
                <w:rFonts w:ascii="Arial" w:hAnsi="Arial" w:cs="Arial"/>
                <w:sz w:val="22"/>
              </w:rPr>
            </w:pPr>
            <w:r w:rsidRPr="0059544A">
              <w:rPr>
                <w:rFonts w:ascii="Arial" w:hAnsi="Arial" w:cs="Arial"/>
                <w:sz w:val="22"/>
              </w:rPr>
              <w:t>E</w:t>
            </w:r>
          </w:p>
        </w:tc>
      </w:tr>
      <w:tr w:rsidR="0067261B" w:rsidRPr="0059544A">
        <w:tc>
          <w:tcPr>
            <w:tcW w:w="900" w:type="dxa"/>
          </w:tcPr>
          <w:p w:rsidR="0067261B" w:rsidRPr="0059544A" w:rsidRDefault="0067261B" w:rsidP="00623F55">
            <w:pPr>
              <w:jc w:val="both"/>
              <w:rPr>
                <w:rFonts w:ascii="Arial" w:hAnsi="Arial" w:cs="Arial"/>
                <w:sz w:val="22"/>
              </w:rPr>
            </w:pPr>
          </w:p>
        </w:tc>
        <w:tc>
          <w:tcPr>
            <w:tcW w:w="2520" w:type="dxa"/>
          </w:tcPr>
          <w:p w:rsidR="0067261B" w:rsidRPr="0059544A" w:rsidRDefault="0067261B" w:rsidP="00623F55">
            <w:pPr>
              <w:jc w:val="both"/>
              <w:rPr>
                <w:rFonts w:ascii="Arial" w:hAnsi="Arial" w:cs="Arial"/>
                <w:sz w:val="22"/>
              </w:rPr>
            </w:pPr>
            <w:r w:rsidRPr="0059544A">
              <w:rPr>
                <w:rFonts w:ascii="Arial" w:hAnsi="Arial" w:cs="Arial"/>
                <w:sz w:val="22"/>
              </w:rPr>
              <w:t>Donja Rijeka-Jelaki</w:t>
            </w:r>
          </w:p>
        </w:tc>
        <w:tc>
          <w:tcPr>
            <w:tcW w:w="3240" w:type="dxa"/>
          </w:tcPr>
          <w:p w:rsidR="0067261B" w:rsidRPr="0059544A" w:rsidRDefault="0067261B" w:rsidP="00623F55">
            <w:pPr>
              <w:jc w:val="both"/>
              <w:rPr>
                <w:rFonts w:ascii="Arial" w:hAnsi="Arial" w:cs="Arial"/>
                <w:sz w:val="22"/>
              </w:rPr>
            </w:pPr>
            <w:r w:rsidRPr="0059544A">
              <w:rPr>
                <w:rFonts w:ascii="Arial" w:hAnsi="Arial" w:cs="Arial"/>
                <w:sz w:val="22"/>
              </w:rPr>
              <w:t>Raspelo i javni bunar</w:t>
            </w:r>
          </w:p>
        </w:tc>
        <w:tc>
          <w:tcPr>
            <w:tcW w:w="1620" w:type="dxa"/>
          </w:tcPr>
          <w:p w:rsidR="0067261B" w:rsidRPr="0059544A" w:rsidRDefault="0067261B" w:rsidP="00623F55">
            <w:pPr>
              <w:jc w:val="both"/>
              <w:rPr>
                <w:rFonts w:ascii="Arial" w:hAnsi="Arial" w:cs="Arial"/>
                <w:sz w:val="22"/>
              </w:rPr>
            </w:pPr>
            <w:r w:rsidRPr="0059544A">
              <w:rPr>
                <w:rFonts w:ascii="Arial" w:hAnsi="Arial" w:cs="Arial"/>
                <w:sz w:val="22"/>
              </w:rPr>
              <w:t>E</w:t>
            </w:r>
          </w:p>
        </w:tc>
      </w:tr>
      <w:tr w:rsidR="0067261B" w:rsidRPr="0059544A">
        <w:tc>
          <w:tcPr>
            <w:tcW w:w="900" w:type="dxa"/>
          </w:tcPr>
          <w:p w:rsidR="0067261B" w:rsidRPr="0059544A" w:rsidRDefault="0067261B" w:rsidP="00623F55">
            <w:pPr>
              <w:jc w:val="both"/>
              <w:rPr>
                <w:rFonts w:ascii="Arial" w:hAnsi="Arial" w:cs="Arial"/>
                <w:sz w:val="22"/>
              </w:rPr>
            </w:pPr>
          </w:p>
        </w:tc>
        <w:tc>
          <w:tcPr>
            <w:tcW w:w="2520" w:type="dxa"/>
          </w:tcPr>
          <w:p w:rsidR="0067261B" w:rsidRPr="0059544A" w:rsidRDefault="0067261B" w:rsidP="00623F55">
            <w:pPr>
              <w:jc w:val="both"/>
              <w:rPr>
                <w:rFonts w:ascii="Arial" w:hAnsi="Arial" w:cs="Arial"/>
                <w:sz w:val="22"/>
              </w:rPr>
            </w:pPr>
            <w:r w:rsidRPr="0059544A">
              <w:rPr>
                <w:rFonts w:ascii="Arial" w:hAnsi="Arial" w:cs="Arial"/>
                <w:sz w:val="22"/>
              </w:rPr>
              <w:t>Donja Rijeka-Oraki</w:t>
            </w:r>
          </w:p>
        </w:tc>
        <w:tc>
          <w:tcPr>
            <w:tcW w:w="3240" w:type="dxa"/>
          </w:tcPr>
          <w:p w:rsidR="0067261B" w:rsidRPr="0059544A" w:rsidRDefault="0067261B" w:rsidP="00623F55">
            <w:pPr>
              <w:jc w:val="both"/>
              <w:rPr>
                <w:rFonts w:ascii="Arial" w:hAnsi="Arial" w:cs="Arial"/>
                <w:sz w:val="22"/>
              </w:rPr>
            </w:pPr>
            <w:r w:rsidRPr="0059544A">
              <w:rPr>
                <w:rFonts w:ascii="Arial" w:hAnsi="Arial" w:cs="Arial"/>
                <w:sz w:val="22"/>
              </w:rPr>
              <w:t>Javni bunar</w:t>
            </w:r>
          </w:p>
        </w:tc>
        <w:tc>
          <w:tcPr>
            <w:tcW w:w="1620" w:type="dxa"/>
          </w:tcPr>
          <w:p w:rsidR="0067261B" w:rsidRPr="0059544A" w:rsidRDefault="0067261B" w:rsidP="00623F55">
            <w:pPr>
              <w:jc w:val="both"/>
              <w:rPr>
                <w:rFonts w:ascii="Arial" w:hAnsi="Arial" w:cs="Arial"/>
                <w:sz w:val="22"/>
              </w:rPr>
            </w:pPr>
            <w:r w:rsidRPr="0059544A">
              <w:rPr>
                <w:rFonts w:ascii="Arial" w:hAnsi="Arial" w:cs="Arial"/>
                <w:sz w:val="22"/>
              </w:rPr>
              <w:t>PZ</w:t>
            </w:r>
          </w:p>
        </w:tc>
      </w:tr>
      <w:tr w:rsidR="0067261B" w:rsidRPr="0059544A">
        <w:tc>
          <w:tcPr>
            <w:tcW w:w="900" w:type="dxa"/>
          </w:tcPr>
          <w:p w:rsidR="0067261B" w:rsidRPr="0059544A" w:rsidRDefault="0067261B" w:rsidP="00623F55">
            <w:pPr>
              <w:jc w:val="both"/>
              <w:rPr>
                <w:rFonts w:ascii="Arial" w:hAnsi="Arial" w:cs="Arial"/>
                <w:sz w:val="22"/>
              </w:rPr>
            </w:pPr>
          </w:p>
        </w:tc>
        <w:tc>
          <w:tcPr>
            <w:tcW w:w="2520" w:type="dxa"/>
          </w:tcPr>
          <w:p w:rsidR="0067261B" w:rsidRPr="0059544A" w:rsidRDefault="0067261B" w:rsidP="00623F55">
            <w:pPr>
              <w:jc w:val="both"/>
              <w:rPr>
                <w:rFonts w:ascii="Arial" w:hAnsi="Arial" w:cs="Arial"/>
                <w:sz w:val="22"/>
              </w:rPr>
            </w:pPr>
            <w:r w:rsidRPr="0059544A">
              <w:rPr>
                <w:rFonts w:ascii="Arial" w:hAnsi="Arial" w:cs="Arial"/>
                <w:sz w:val="22"/>
              </w:rPr>
              <w:t>Kolarec</w:t>
            </w:r>
          </w:p>
        </w:tc>
        <w:tc>
          <w:tcPr>
            <w:tcW w:w="3240" w:type="dxa"/>
          </w:tcPr>
          <w:p w:rsidR="0067261B" w:rsidRPr="0059544A" w:rsidRDefault="0067261B" w:rsidP="00623F55">
            <w:pPr>
              <w:jc w:val="both"/>
              <w:rPr>
                <w:rFonts w:ascii="Arial" w:hAnsi="Arial" w:cs="Arial"/>
                <w:sz w:val="22"/>
              </w:rPr>
            </w:pPr>
            <w:r w:rsidRPr="0059544A">
              <w:rPr>
                <w:rFonts w:ascii="Arial" w:hAnsi="Arial" w:cs="Arial"/>
                <w:sz w:val="22"/>
              </w:rPr>
              <w:t>Poklonac</w:t>
            </w:r>
          </w:p>
        </w:tc>
        <w:tc>
          <w:tcPr>
            <w:tcW w:w="1620" w:type="dxa"/>
          </w:tcPr>
          <w:p w:rsidR="0067261B" w:rsidRPr="0059544A" w:rsidRDefault="0067261B" w:rsidP="00623F55">
            <w:pPr>
              <w:jc w:val="both"/>
              <w:rPr>
                <w:rFonts w:ascii="Arial" w:hAnsi="Arial" w:cs="Arial"/>
                <w:sz w:val="22"/>
              </w:rPr>
            </w:pPr>
            <w:r w:rsidRPr="0059544A">
              <w:rPr>
                <w:rFonts w:ascii="Arial" w:hAnsi="Arial" w:cs="Arial"/>
                <w:sz w:val="22"/>
              </w:rPr>
              <w:t>E</w:t>
            </w:r>
          </w:p>
        </w:tc>
      </w:tr>
      <w:tr w:rsidR="0067261B" w:rsidRPr="0059544A">
        <w:tc>
          <w:tcPr>
            <w:tcW w:w="900" w:type="dxa"/>
          </w:tcPr>
          <w:p w:rsidR="0067261B" w:rsidRPr="0059544A" w:rsidRDefault="0067261B" w:rsidP="00623F55">
            <w:pPr>
              <w:jc w:val="both"/>
              <w:rPr>
                <w:rFonts w:ascii="Arial" w:hAnsi="Arial" w:cs="Arial"/>
                <w:sz w:val="22"/>
              </w:rPr>
            </w:pPr>
          </w:p>
        </w:tc>
        <w:tc>
          <w:tcPr>
            <w:tcW w:w="2520" w:type="dxa"/>
          </w:tcPr>
          <w:p w:rsidR="0067261B" w:rsidRPr="0059544A" w:rsidRDefault="0067261B" w:rsidP="00623F55">
            <w:pPr>
              <w:jc w:val="both"/>
              <w:rPr>
                <w:rFonts w:ascii="Arial" w:hAnsi="Arial" w:cs="Arial"/>
                <w:sz w:val="22"/>
              </w:rPr>
            </w:pPr>
            <w:r w:rsidRPr="0059544A">
              <w:rPr>
                <w:rFonts w:ascii="Arial" w:hAnsi="Arial" w:cs="Arial"/>
                <w:sz w:val="22"/>
              </w:rPr>
              <w:t>Fajerovec</w:t>
            </w:r>
          </w:p>
        </w:tc>
        <w:tc>
          <w:tcPr>
            <w:tcW w:w="3240" w:type="dxa"/>
          </w:tcPr>
          <w:p w:rsidR="0067261B" w:rsidRPr="0059544A" w:rsidRDefault="0067261B" w:rsidP="00623F55">
            <w:pPr>
              <w:jc w:val="both"/>
              <w:rPr>
                <w:rFonts w:ascii="Arial" w:hAnsi="Arial" w:cs="Arial"/>
                <w:sz w:val="22"/>
              </w:rPr>
            </w:pPr>
            <w:r w:rsidRPr="0059544A">
              <w:rPr>
                <w:rFonts w:ascii="Arial" w:hAnsi="Arial" w:cs="Arial"/>
                <w:sz w:val="22"/>
              </w:rPr>
              <w:t>Raspelo</w:t>
            </w:r>
          </w:p>
        </w:tc>
        <w:tc>
          <w:tcPr>
            <w:tcW w:w="1620" w:type="dxa"/>
          </w:tcPr>
          <w:p w:rsidR="0067261B" w:rsidRPr="0059544A" w:rsidRDefault="0067261B" w:rsidP="00623F55">
            <w:pPr>
              <w:jc w:val="both"/>
              <w:rPr>
                <w:rFonts w:ascii="Arial" w:hAnsi="Arial" w:cs="Arial"/>
                <w:sz w:val="22"/>
              </w:rPr>
            </w:pPr>
            <w:r w:rsidRPr="0059544A">
              <w:rPr>
                <w:rFonts w:ascii="Arial" w:hAnsi="Arial" w:cs="Arial"/>
                <w:sz w:val="22"/>
              </w:rPr>
              <w:t>E</w:t>
            </w:r>
          </w:p>
        </w:tc>
      </w:tr>
      <w:tr w:rsidR="0067261B" w:rsidRPr="0059544A">
        <w:tc>
          <w:tcPr>
            <w:tcW w:w="900" w:type="dxa"/>
          </w:tcPr>
          <w:p w:rsidR="0067261B" w:rsidRPr="0059544A" w:rsidRDefault="0067261B" w:rsidP="00623F55">
            <w:pPr>
              <w:jc w:val="both"/>
              <w:rPr>
                <w:rFonts w:ascii="Arial" w:hAnsi="Arial" w:cs="Arial"/>
                <w:sz w:val="22"/>
              </w:rPr>
            </w:pPr>
          </w:p>
        </w:tc>
        <w:tc>
          <w:tcPr>
            <w:tcW w:w="2520" w:type="dxa"/>
          </w:tcPr>
          <w:p w:rsidR="0067261B" w:rsidRPr="0059544A" w:rsidRDefault="0067261B" w:rsidP="00623F55">
            <w:pPr>
              <w:jc w:val="both"/>
              <w:rPr>
                <w:rFonts w:ascii="Arial" w:hAnsi="Arial" w:cs="Arial"/>
                <w:sz w:val="22"/>
              </w:rPr>
            </w:pPr>
            <w:r w:rsidRPr="0059544A">
              <w:rPr>
                <w:rFonts w:ascii="Arial" w:hAnsi="Arial" w:cs="Arial"/>
                <w:sz w:val="22"/>
              </w:rPr>
              <w:t xml:space="preserve">Vukšinec Riječki </w:t>
            </w:r>
          </w:p>
        </w:tc>
        <w:tc>
          <w:tcPr>
            <w:tcW w:w="3240" w:type="dxa"/>
          </w:tcPr>
          <w:p w:rsidR="0067261B" w:rsidRPr="0059544A" w:rsidRDefault="0067261B" w:rsidP="00623F55">
            <w:pPr>
              <w:jc w:val="both"/>
              <w:rPr>
                <w:rFonts w:ascii="Arial" w:hAnsi="Arial" w:cs="Arial"/>
                <w:sz w:val="22"/>
              </w:rPr>
            </w:pPr>
            <w:r w:rsidRPr="0059544A">
              <w:rPr>
                <w:rFonts w:ascii="Arial" w:hAnsi="Arial" w:cs="Arial"/>
                <w:sz w:val="22"/>
              </w:rPr>
              <w:t>Križ u polju na ulazu u naselje</w:t>
            </w:r>
          </w:p>
        </w:tc>
        <w:tc>
          <w:tcPr>
            <w:tcW w:w="1620" w:type="dxa"/>
          </w:tcPr>
          <w:p w:rsidR="0067261B" w:rsidRPr="0059544A" w:rsidRDefault="0067261B" w:rsidP="00623F55">
            <w:pPr>
              <w:jc w:val="both"/>
              <w:rPr>
                <w:rFonts w:ascii="Arial" w:hAnsi="Arial" w:cs="Arial"/>
                <w:sz w:val="22"/>
              </w:rPr>
            </w:pPr>
            <w:r w:rsidRPr="0059544A">
              <w:rPr>
                <w:rFonts w:ascii="Arial" w:hAnsi="Arial" w:cs="Arial"/>
                <w:sz w:val="22"/>
              </w:rPr>
              <w:t>E</w:t>
            </w:r>
          </w:p>
        </w:tc>
      </w:tr>
      <w:tr w:rsidR="0067261B" w:rsidRPr="0059544A">
        <w:tc>
          <w:tcPr>
            <w:tcW w:w="900" w:type="dxa"/>
          </w:tcPr>
          <w:p w:rsidR="0067261B" w:rsidRPr="0059544A" w:rsidRDefault="0067261B" w:rsidP="00623F55">
            <w:pPr>
              <w:jc w:val="both"/>
              <w:rPr>
                <w:rFonts w:ascii="Arial" w:hAnsi="Arial" w:cs="Arial"/>
                <w:sz w:val="22"/>
              </w:rPr>
            </w:pPr>
          </w:p>
        </w:tc>
        <w:tc>
          <w:tcPr>
            <w:tcW w:w="2520" w:type="dxa"/>
          </w:tcPr>
          <w:p w:rsidR="0067261B" w:rsidRPr="0059544A" w:rsidRDefault="0067261B" w:rsidP="00623F55">
            <w:pPr>
              <w:jc w:val="both"/>
              <w:rPr>
                <w:rFonts w:ascii="Arial" w:hAnsi="Arial" w:cs="Arial"/>
                <w:sz w:val="22"/>
              </w:rPr>
            </w:pPr>
            <w:r w:rsidRPr="0059544A">
              <w:rPr>
                <w:rFonts w:ascii="Arial" w:hAnsi="Arial" w:cs="Arial"/>
                <w:sz w:val="22"/>
              </w:rPr>
              <w:t>Nemčevec</w:t>
            </w:r>
          </w:p>
        </w:tc>
        <w:tc>
          <w:tcPr>
            <w:tcW w:w="3240" w:type="dxa"/>
          </w:tcPr>
          <w:p w:rsidR="0067261B" w:rsidRPr="0059544A" w:rsidRDefault="0067261B" w:rsidP="00623F55">
            <w:pPr>
              <w:jc w:val="both"/>
              <w:rPr>
                <w:rFonts w:ascii="Arial" w:hAnsi="Arial" w:cs="Arial"/>
                <w:sz w:val="22"/>
              </w:rPr>
            </w:pPr>
            <w:r w:rsidRPr="0059544A">
              <w:rPr>
                <w:rFonts w:ascii="Arial" w:hAnsi="Arial" w:cs="Arial"/>
                <w:sz w:val="22"/>
              </w:rPr>
              <w:t xml:space="preserve">Raspelo na kraju sela </w:t>
            </w:r>
          </w:p>
        </w:tc>
        <w:tc>
          <w:tcPr>
            <w:tcW w:w="1620" w:type="dxa"/>
          </w:tcPr>
          <w:p w:rsidR="0067261B" w:rsidRPr="0059544A" w:rsidRDefault="0067261B" w:rsidP="00623F55">
            <w:pPr>
              <w:jc w:val="both"/>
              <w:rPr>
                <w:rFonts w:ascii="Arial" w:hAnsi="Arial" w:cs="Arial"/>
                <w:sz w:val="22"/>
              </w:rPr>
            </w:pPr>
            <w:r w:rsidRPr="0059544A">
              <w:rPr>
                <w:rFonts w:ascii="Arial" w:hAnsi="Arial" w:cs="Arial"/>
                <w:sz w:val="22"/>
              </w:rPr>
              <w:t>E</w:t>
            </w:r>
          </w:p>
        </w:tc>
      </w:tr>
    </w:tbl>
    <w:p w:rsidR="0067261B" w:rsidRPr="0059544A" w:rsidRDefault="0067261B" w:rsidP="0067261B">
      <w:pPr>
        <w:spacing w:line="360" w:lineRule="auto"/>
        <w:jc w:val="both"/>
        <w:rPr>
          <w:rFonts w:ascii="Arial" w:hAnsi="Arial" w:cs="Arial"/>
          <w:b/>
          <w:sz w:val="22"/>
          <w:szCs w:val="22"/>
        </w:rPr>
      </w:pPr>
    </w:p>
    <w:p w:rsidR="0067261B" w:rsidRPr="0059544A" w:rsidRDefault="0067261B" w:rsidP="0067261B">
      <w:pPr>
        <w:spacing w:line="360" w:lineRule="auto"/>
        <w:jc w:val="both"/>
        <w:rPr>
          <w:rFonts w:ascii="Arial" w:hAnsi="Arial" w:cs="Arial"/>
          <w:b/>
          <w:sz w:val="22"/>
          <w:szCs w:val="22"/>
        </w:rPr>
      </w:pPr>
    </w:p>
    <w:p w:rsidR="0067261B" w:rsidRPr="0059544A" w:rsidRDefault="0067261B" w:rsidP="0067261B">
      <w:pPr>
        <w:spacing w:line="360" w:lineRule="auto"/>
        <w:jc w:val="both"/>
        <w:rPr>
          <w:rFonts w:ascii="Arial" w:hAnsi="Arial" w:cs="Arial"/>
          <w:b/>
          <w:sz w:val="22"/>
          <w:szCs w:val="22"/>
        </w:rPr>
      </w:pPr>
      <w:r w:rsidRPr="0059544A">
        <w:rPr>
          <w:rFonts w:ascii="Arial" w:hAnsi="Arial" w:cs="Arial"/>
          <w:b/>
          <w:sz w:val="22"/>
          <w:szCs w:val="22"/>
        </w:rPr>
        <w:t>4. POVIJESNO MEMORIJALNE CJELINE I OBILJEŽJA</w:t>
      </w:r>
    </w:p>
    <w:p w:rsidR="0067261B" w:rsidRPr="0059544A" w:rsidRDefault="0067261B" w:rsidP="0067261B">
      <w:pPr>
        <w:spacing w:line="360" w:lineRule="auto"/>
        <w:ind w:left="360"/>
        <w:jc w:val="both"/>
        <w:rPr>
          <w:rFonts w:ascii="Arial" w:hAnsi="Arial" w:cs="Arial"/>
          <w:sz w:val="22"/>
          <w:szCs w:val="22"/>
        </w:rPr>
      </w:pPr>
      <w:r w:rsidRPr="0059544A">
        <w:rPr>
          <w:rFonts w:ascii="Arial" w:hAnsi="Arial" w:cs="Arial"/>
          <w:sz w:val="22"/>
          <w:szCs w:val="22"/>
        </w:rPr>
        <w:t>3.1.Groblja i lokaliteti starih groblja</w:t>
      </w:r>
    </w:p>
    <w:tbl>
      <w:tblPr>
        <w:tblStyle w:val="Reetkatablice"/>
        <w:tblW w:w="0" w:type="auto"/>
        <w:tblInd w:w="468" w:type="dxa"/>
        <w:tblLayout w:type="fixed"/>
        <w:tblLook w:val="01E0" w:firstRow="1" w:lastRow="1" w:firstColumn="1" w:lastColumn="1" w:noHBand="0" w:noVBand="0"/>
      </w:tblPr>
      <w:tblGrid>
        <w:gridCol w:w="900"/>
        <w:gridCol w:w="2520"/>
        <w:gridCol w:w="3240"/>
        <w:gridCol w:w="1620"/>
      </w:tblGrid>
      <w:tr w:rsidR="0067261B" w:rsidRPr="0059544A">
        <w:tc>
          <w:tcPr>
            <w:tcW w:w="90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Ident</w:t>
            </w:r>
          </w:p>
          <w:p w:rsidR="0067261B" w:rsidRPr="0059544A" w:rsidRDefault="0067261B" w:rsidP="00623F55">
            <w:pPr>
              <w:jc w:val="both"/>
              <w:rPr>
                <w:rFonts w:ascii="Arial" w:hAnsi="Arial" w:cs="Arial"/>
                <w:b/>
                <w:sz w:val="22"/>
                <w:szCs w:val="22"/>
              </w:rPr>
            </w:pPr>
            <w:r w:rsidRPr="0059544A">
              <w:rPr>
                <w:rFonts w:ascii="Arial" w:hAnsi="Arial" w:cs="Arial"/>
                <w:b/>
                <w:sz w:val="22"/>
                <w:szCs w:val="22"/>
              </w:rPr>
              <w:t>Br.</w:t>
            </w: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 xml:space="preserve">     Naselje</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Spomenik/kulturno. Povijesne vrijednosti</w:t>
            </w:r>
          </w:p>
        </w:tc>
        <w:tc>
          <w:tcPr>
            <w:tcW w:w="162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Spomenički status</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Dropkovec</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 xml:space="preserve"> groblje</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PZ</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Gornja Rijeka</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groblje</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E</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Gornja Rijeka</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lokacija starog groblja</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E</w:t>
            </w:r>
          </w:p>
        </w:tc>
      </w:tr>
    </w:tbl>
    <w:p w:rsidR="002B2E98" w:rsidRDefault="002B2E98" w:rsidP="0067261B">
      <w:pPr>
        <w:spacing w:line="360" w:lineRule="auto"/>
        <w:ind w:left="360"/>
        <w:jc w:val="both"/>
        <w:rPr>
          <w:rFonts w:ascii="Arial" w:hAnsi="Arial" w:cs="Arial"/>
          <w:sz w:val="22"/>
          <w:szCs w:val="22"/>
        </w:rPr>
      </w:pPr>
    </w:p>
    <w:p w:rsidR="0067261B" w:rsidRPr="0059544A" w:rsidRDefault="0067261B" w:rsidP="0067261B">
      <w:pPr>
        <w:spacing w:line="360" w:lineRule="auto"/>
        <w:ind w:left="360"/>
        <w:jc w:val="both"/>
        <w:rPr>
          <w:rFonts w:ascii="Arial" w:hAnsi="Arial" w:cs="Arial"/>
          <w:sz w:val="22"/>
          <w:szCs w:val="22"/>
        </w:rPr>
      </w:pPr>
      <w:r w:rsidRPr="0059544A">
        <w:rPr>
          <w:rFonts w:ascii="Arial" w:hAnsi="Arial" w:cs="Arial"/>
          <w:sz w:val="22"/>
          <w:szCs w:val="22"/>
        </w:rPr>
        <w:t>3.2.Spomen obilježja</w:t>
      </w:r>
    </w:p>
    <w:tbl>
      <w:tblPr>
        <w:tblStyle w:val="Reetkatablice"/>
        <w:tblW w:w="0" w:type="auto"/>
        <w:tblInd w:w="468" w:type="dxa"/>
        <w:tblLayout w:type="fixed"/>
        <w:tblLook w:val="01E0" w:firstRow="1" w:lastRow="1" w:firstColumn="1" w:lastColumn="1" w:noHBand="0" w:noVBand="0"/>
      </w:tblPr>
      <w:tblGrid>
        <w:gridCol w:w="900"/>
        <w:gridCol w:w="2520"/>
        <w:gridCol w:w="3240"/>
        <w:gridCol w:w="1620"/>
      </w:tblGrid>
      <w:tr w:rsidR="0067261B" w:rsidRPr="0059544A">
        <w:tc>
          <w:tcPr>
            <w:tcW w:w="90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Ident</w:t>
            </w:r>
          </w:p>
          <w:p w:rsidR="0067261B" w:rsidRPr="0059544A" w:rsidRDefault="0067261B" w:rsidP="00623F55">
            <w:pPr>
              <w:jc w:val="both"/>
              <w:rPr>
                <w:rFonts w:ascii="Arial" w:hAnsi="Arial" w:cs="Arial"/>
                <w:b/>
                <w:sz w:val="22"/>
                <w:szCs w:val="22"/>
              </w:rPr>
            </w:pPr>
            <w:r w:rsidRPr="0059544A">
              <w:rPr>
                <w:rFonts w:ascii="Arial" w:hAnsi="Arial" w:cs="Arial"/>
                <w:b/>
                <w:sz w:val="22"/>
                <w:szCs w:val="22"/>
              </w:rPr>
              <w:t>Br.</w:t>
            </w: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 xml:space="preserve">     Naselje</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Spomenik/kulturno. Povijesne vrijednosti</w:t>
            </w:r>
          </w:p>
        </w:tc>
        <w:tc>
          <w:tcPr>
            <w:tcW w:w="162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Spomenički status</w:t>
            </w:r>
          </w:p>
        </w:tc>
      </w:tr>
      <w:tr w:rsidR="0067261B" w:rsidRPr="0059544A">
        <w:tc>
          <w:tcPr>
            <w:tcW w:w="900" w:type="dxa"/>
          </w:tcPr>
          <w:p w:rsidR="0067261B" w:rsidRPr="0059544A" w:rsidRDefault="0067261B" w:rsidP="00623F55">
            <w:pPr>
              <w:jc w:val="both"/>
              <w:rPr>
                <w:rFonts w:ascii="Arial" w:hAnsi="Arial" w:cs="Arial"/>
                <w:sz w:val="22"/>
              </w:rPr>
            </w:pPr>
          </w:p>
        </w:tc>
        <w:tc>
          <w:tcPr>
            <w:tcW w:w="2520" w:type="dxa"/>
          </w:tcPr>
          <w:p w:rsidR="0067261B" w:rsidRPr="0059544A" w:rsidRDefault="0067261B" w:rsidP="00623F55">
            <w:pPr>
              <w:jc w:val="both"/>
              <w:rPr>
                <w:rFonts w:ascii="Arial" w:hAnsi="Arial" w:cs="Arial"/>
                <w:sz w:val="22"/>
              </w:rPr>
            </w:pPr>
            <w:r w:rsidRPr="0059544A">
              <w:rPr>
                <w:rFonts w:ascii="Arial" w:hAnsi="Arial" w:cs="Arial"/>
                <w:sz w:val="22"/>
              </w:rPr>
              <w:t>Gornja Rijeka</w:t>
            </w:r>
          </w:p>
        </w:tc>
        <w:tc>
          <w:tcPr>
            <w:tcW w:w="3240" w:type="dxa"/>
          </w:tcPr>
          <w:p w:rsidR="0067261B" w:rsidRPr="0059544A" w:rsidRDefault="0067261B" w:rsidP="00623F55">
            <w:pPr>
              <w:jc w:val="both"/>
              <w:rPr>
                <w:rFonts w:ascii="Arial" w:hAnsi="Arial" w:cs="Arial"/>
                <w:sz w:val="22"/>
              </w:rPr>
            </w:pPr>
            <w:r w:rsidRPr="0059544A">
              <w:rPr>
                <w:rFonts w:ascii="Arial" w:hAnsi="Arial" w:cs="Arial"/>
                <w:sz w:val="22"/>
              </w:rPr>
              <w:t>Spomenička kompozicija u ulaznom perivoju Dvorca.</w:t>
            </w:r>
          </w:p>
          <w:p w:rsidR="0067261B" w:rsidRPr="0059544A" w:rsidRDefault="0067261B" w:rsidP="00623F55">
            <w:pPr>
              <w:jc w:val="both"/>
              <w:rPr>
                <w:rFonts w:ascii="Arial" w:hAnsi="Arial" w:cs="Arial"/>
                <w:sz w:val="22"/>
              </w:rPr>
            </w:pPr>
            <w:r w:rsidRPr="0059544A">
              <w:rPr>
                <w:rFonts w:ascii="Arial" w:hAnsi="Arial" w:cs="Arial"/>
                <w:sz w:val="22"/>
              </w:rPr>
              <w:t>Spomen na dječiji logor u II sv.ratu /Bohutinsky/</w:t>
            </w:r>
          </w:p>
        </w:tc>
        <w:tc>
          <w:tcPr>
            <w:tcW w:w="1620" w:type="dxa"/>
          </w:tcPr>
          <w:p w:rsidR="0067261B" w:rsidRPr="0059544A" w:rsidRDefault="0067261B" w:rsidP="00623F55">
            <w:pPr>
              <w:jc w:val="both"/>
              <w:rPr>
                <w:rFonts w:ascii="Arial" w:hAnsi="Arial" w:cs="Arial"/>
                <w:sz w:val="22"/>
              </w:rPr>
            </w:pPr>
            <w:r w:rsidRPr="0059544A">
              <w:rPr>
                <w:rFonts w:ascii="Arial" w:hAnsi="Arial" w:cs="Arial"/>
                <w:sz w:val="22"/>
              </w:rPr>
              <w:t>PZ</w:t>
            </w:r>
          </w:p>
        </w:tc>
      </w:tr>
      <w:tr w:rsidR="0067261B" w:rsidRPr="0059544A">
        <w:tc>
          <w:tcPr>
            <w:tcW w:w="900" w:type="dxa"/>
          </w:tcPr>
          <w:p w:rsidR="0067261B" w:rsidRPr="0059544A" w:rsidRDefault="0067261B" w:rsidP="00623F55">
            <w:pPr>
              <w:jc w:val="both"/>
              <w:rPr>
                <w:rFonts w:ascii="Arial" w:hAnsi="Arial" w:cs="Arial"/>
                <w:sz w:val="22"/>
              </w:rPr>
            </w:pPr>
          </w:p>
        </w:tc>
        <w:tc>
          <w:tcPr>
            <w:tcW w:w="2520" w:type="dxa"/>
          </w:tcPr>
          <w:p w:rsidR="0067261B" w:rsidRPr="0059544A" w:rsidRDefault="0067261B" w:rsidP="00623F55">
            <w:pPr>
              <w:jc w:val="both"/>
              <w:rPr>
                <w:rFonts w:ascii="Arial" w:hAnsi="Arial" w:cs="Arial"/>
                <w:sz w:val="22"/>
              </w:rPr>
            </w:pPr>
            <w:r w:rsidRPr="0059544A">
              <w:rPr>
                <w:rFonts w:ascii="Arial" w:hAnsi="Arial" w:cs="Arial"/>
                <w:sz w:val="22"/>
              </w:rPr>
              <w:t>Gornja Rijeka</w:t>
            </w:r>
          </w:p>
        </w:tc>
        <w:tc>
          <w:tcPr>
            <w:tcW w:w="3240" w:type="dxa"/>
          </w:tcPr>
          <w:p w:rsidR="0067261B" w:rsidRPr="0059544A" w:rsidRDefault="0067261B" w:rsidP="00623F55">
            <w:pPr>
              <w:jc w:val="both"/>
              <w:rPr>
                <w:rFonts w:ascii="Arial" w:hAnsi="Arial" w:cs="Arial"/>
                <w:sz w:val="22"/>
              </w:rPr>
            </w:pPr>
            <w:r w:rsidRPr="0059544A">
              <w:rPr>
                <w:rFonts w:ascii="Arial" w:hAnsi="Arial" w:cs="Arial"/>
                <w:sz w:val="22"/>
              </w:rPr>
              <w:t>Spomenik NOB u centru naselja</w:t>
            </w:r>
          </w:p>
        </w:tc>
        <w:tc>
          <w:tcPr>
            <w:tcW w:w="1620" w:type="dxa"/>
          </w:tcPr>
          <w:p w:rsidR="0067261B" w:rsidRPr="0059544A" w:rsidRDefault="0067261B" w:rsidP="00623F55">
            <w:pPr>
              <w:jc w:val="both"/>
              <w:rPr>
                <w:rFonts w:ascii="Arial" w:hAnsi="Arial" w:cs="Arial"/>
                <w:sz w:val="22"/>
              </w:rPr>
            </w:pPr>
            <w:r w:rsidRPr="0059544A">
              <w:rPr>
                <w:rFonts w:ascii="Arial" w:hAnsi="Arial" w:cs="Arial"/>
                <w:sz w:val="22"/>
              </w:rPr>
              <w:t>E</w:t>
            </w:r>
          </w:p>
        </w:tc>
      </w:tr>
      <w:tr w:rsidR="0067261B" w:rsidRPr="0059544A">
        <w:tc>
          <w:tcPr>
            <w:tcW w:w="900" w:type="dxa"/>
          </w:tcPr>
          <w:p w:rsidR="0067261B" w:rsidRPr="0059544A" w:rsidRDefault="0067261B" w:rsidP="00623F55">
            <w:pPr>
              <w:jc w:val="both"/>
              <w:rPr>
                <w:rFonts w:ascii="Arial" w:hAnsi="Arial" w:cs="Arial"/>
                <w:sz w:val="22"/>
              </w:rPr>
            </w:pPr>
          </w:p>
        </w:tc>
        <w:tc>
          <w:tcPr>
            <w:tcW w:w="2520" w:type="dxa"/>
          </w:tcPr>
          <w:p w:rsidR="0067261B" w:rsidRPr="0059544A" w:rsidRDefault="0067261B" w:rsidP="00623F55">
            <w:pPr>
              <w:jc w:val="both"/>
              <w:rPr>
                <w:rFonts w:ascii="Arial" w:hAnsi="Arial" w:cs="Arial"/>
                <w:sz w:val="22"/>
              </w:rPr>
            </w:pPr>
            <w:r w:rsidRPr="0059544A">
              <w:rPr>
                <w:rFonts w:ascii="Arial" w:hAnsi="Arial" w:cs="Arial"/>
                <w:sz w:val="22"/>
              </w:rPr>
              <w:t>Vukšinec Riječki</w:t>
            </w:r>
          </w:p>
        </w:tc>
        <w:tc>
          <w:tcPr>
            <w:tcW w:w="3240" w:type="dxa"/>
          </w:tcPr>
          <w:p w:rsidR="0067261B" w:rsidRPr="0059544A" w:rsidRDefault="0067261B" w:rsidP="00623F55">
            <w:pPr>
              <w:jc w:val="both"/>
              <w:rPr>
                <w:rFonts w:ascii="Arial" w:hAnsi="Arial" w:cs="Arial"/>
                <w:sz w:val="22"/>
              </w:rPr>
            </w:pPr>
            <w:r w:rsidRPr="0059544A">
              <w:rPr>
                <w:rFonts w:ascii="Arial" w:hAnsi="Arial" w:cs="Arial"/>
                <w:sz w:val="22"/>
              </w:rPr>
              <w:t>Spomenik Papi I.Pavlu II –kraj naselja kod kapele</w:t>
            </w:r>
          </w:p>
        </w:tc>
        <w:tc>
          <w:tcPr>
            <w:tcW w:w="1620" w:type="dxa"/>
          </w:tcPr>
          <w:p w:rsidR="0067261B" w:rsidRPr="0059544A" w:rsidRDefault="0067261B" w:rsidP="00623F55">
            <w:pPr>
              <w:jc w:val="both"/>
              <w:rPr>
                <w:rFonts w:ascii="Arial" w:hAnsi="Arial" w:cs="Arial"/>
                <w:sz w:val="22"/>
              </w:rPr>
            </w:pPr>
            <w:r w:rsidRPr="0059544A">
              <w:rPr>
                <w:rFonts w:ascii="Arial" w:hAnsi="Arial" w:cs="Arial"/>
                <w:sz w:val="22"/>
              </w:rPr>
              <w:t>E</w:t>
            </w:r>
          </w:p>
        </w:tc>
      </w:tr>
    </w:tbl>
    <w:p w:rsidR="002B2E98" w:rsidRDefault="002B2E98" w:rsidP="0067261B">
      <w:pPr>
        <w:spacing w:line="360" w:lineRule="auto"/>
        <w:jc w:val="both"/>
        <w:rPr>
          <w:rFonts w:ascii="Arial" w:hAnsi="Arial" w:cs="Arial"/>
          <w:b/>
          <w:sz w:val="22"/>
          <w:szCs w:val="22"/>
        </w:rPr>
      </w:pPr>
    </w:p>
    <w:p w:rsidR="0067261B" w:rsidRPr="0059544A" w:rsidRDefault="0067261B" w:rsidP="0067261B">
      <w:pPr>
        <w:spacing w:line="360" w:lineRule="auto"/>
        <w:jc w:val="both"/>
        <w:rPr>
          <w:rFonts w:ascii="Arial" w:hAnsi="Arial" w:cs="Arial"/>
          <w:b/>
          <w:sz w:val="22"/>
          <w:szCs w:val="22"/>
        </w:rPr>
      </w:pPr>
      <w:r w:rsidRPr="0059544A">
        <w:rPr>
          <w:rFonts w:ascii="Arial" w:hAnsi="Arial" w:cs="Arial"/>
          <w:b/>
          <w:sz w:val="22"/>
          <w:szCs w:val="22"/>
        </w:rPr>
        <w:t>5</w:t>
      </w:r>
      <w:r w:rsidRPr="0059544A">
        <w:rPr>
          <w:rFonts w:ascii="Arial" w:hAnsi="Arial" w:cs="Arial"/>
          <w:sz w:val="22"/>
          <w:szCs w:val="22"/>
        </w:rPr>
        <w:t>.</w:t>
      </w:r>
      <w:r w:rsidRPr="0059544A">
        <w:rPr>
          <w:rFonts w:ascii="Arial" w:hAnsi="Arial" w:cs="Arial"/>
          <w:b/>
          <w:sz w:val="22"/>
          <w:szCs w:val="22"/>
        </w:rPr>
        <w:t xml:space="preserve">  ARHEOLOŠKI  LOKALITETI I ZONE</w:t>
      </w:r>
    </w:p>
    <w:tbl>
      <w:tblPr>
        <w:tblStyle w:val="Reetkatablice"/>
        <w:tblW w:w="0" w:type="auto"/>
        <w:tblInd w:w="468" w:type="dxa"/>
        <w:tblLayout w:type="fixed"/>
        <w:tblLook w:val="01E0" w:firstRow="1" w:lastRow="1" w:firstColumn="1" w:lastColumn="1" w:noHBand="0" w:noVBand="0"/>
      </w:tblPr>
      <w:tblGrid>
        <w:gridCol w:w="900"/>
        <w:gridCol w:w="2520"/>
        <w:gridCol w:w="3240"/>
        <w:gridCol w:w="1620"/>
      </w:tblGrid>
      <w:tr w:rsidR="0067261B" w:rsidRPr="0059544A">
        <w:tc>
          <w:tcPr>
            <w:tcW w:w="90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Ident</w:t>
            </w:r>
          </w:p>
          <w:p w:rsidR="0067261B" w:rsidRPr="0059544A" w:rsidRDefault="0067261B" w:rsidP="00623F55">
            <w:pPr>
              <w:jc w:val="both"/>
              <w:rPr>
                <w:rFonts w:ascii="Arial" w:hAnsi="Arial" w:cs="Arial"/>
                <w:b/>
                <w:sz w:val="22"/>
                <w:szCs w:val="22"/>
              </w:rPr>
            </w:pPr>
            <w:r w:rsidRPr="0059544A">
              <w:rPr>
                <w:rFonts w:ascii="Arial" w:hAnsi="Arial" w:cs="Arial"/>
                <w:b/>
                <w:sz w:val="22"/>
                <w:szCs w:val="22"/>
              </w:rPr>
              <w:t>Br.</w:t>
            </w: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 xml:space="preserve">     Lokalitet</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Spomenik/kulturno. Povijesne vrijednosti</w:t>
            </w:r>
          </w:p>
        </w:tc>
        <w:tc>
          <w:tcPr>
            <w:tcW w:w="162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Spomenički status</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Galdišće, Gradišće</w:t>
            </w:r>
          </w:p>
          <w:p w:rsidR="0067261B" w:rsidRPr="0059544A" w:rsidRDefault="0067261B" w:rsidP="00623F55">
            <w:pPr>
              <w:jc w:val="both"/>
              <w:rPr>
                <w:rFonts w:ascii="Arial" w:hAnsi="Arial" w:cs="Arial"/>
                <w:sz w:val="22"/>
                <w:szCs w:val="22"/>
              </w:rPr>
            </w:pPr>
            <w:r w:rsidRPr="0059544A">
              <w:rPr>
                <w:rFonts w:ascii="Arial" w:hAnsi="Arial" w:cs="Arial"/>
                <w:sz w:val="22"/>
                <w:szCs w:val="22"/>
              </w:rPr>
              <w:t>Donja Rijeka</w:t>
            </w:r>
          </w:p>
        </w:tc>
        <w:tc>
          <w:tcPr>
            <w:tcW w:w="3240" w:type="dxa"/>
          </w:tcPr>
          <w:p w:rsidR="0067261B" w:rsidRPr="0059544A" w:rsidRDefault="0067261B" w:rsidP="00623F55">
            <w:pPr>
              <w:rPr>
                <w:rFonts w:ascii="Arial" w:hAnsi="Arial" w:cs="Arial"/>
                <w:sz w:val="22"/>
                <w:szCs w:val="22"/>
              </w:rPr>
            </w:pPr>
            <w:r w:rsidRPr="0059544A">
              <w:rPr>
                <w:rFonts w:ascii="Arial" w:hAnsi="Arial" w:cs="Arial"/>
                <w:sz w:val="22"/>
                <w:szCs w:val="22"/>
              </w:rPr>
              <w:t>Prapovijesno gradinsko naselje, kota 235 mNM</w:t>
            </w:r>
          </w:p>
        </w:tc>
        <w:tc>
          <w:tcPr>
            <w:tcW w:w="1620" w:type="dxa"/>
          </w:tcPr>
          <w:p w:rsidR="0067261B" w:rsidRPr="0059544A" w:rsidRDefault="0067261B" w:rsidP="00623F55">
            <w:pPr>
              <w:jc w:val="center"/>
              <w:rPr>
                <w:rFonts w:ascii="Arial" w:hAnsi="Arial" w:cs="Arial"/>
                <w:sz w:val="22"/>
                <w:szCs w:val="22"/>
              </w:rPr>
            </w:pPr>
            <w:r w:rsidRPr="0059544A">
              <w:rPr>
                <w:rFonts w:ascii="Arial" w:hAnsi="Arial" w:cs="Arial"/>
                <w:sz w:val="22"/>
                <w:szCs w:val="22"/>
              </w:rPr>
              <w:t>E</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Kula</w:t>
            </w:r>
          </w:p>
          <w:p w:rsidR="0067261B" w:rsidRPr="0059544A" w:rsidRDefault="0067261B" w:rsidP="00623F55">
            <w:pPr>
              <w:jc w:val="both"/>
              <w:rPr>
                <w:rFonts w:ascii="Arial" w:hAnsi="Arial" w:cs="Arial"/>
                <w:sz w:val="22"/>
                <w:szCs w:val="22"/>
              </w:rPr>
            </w:pPr>
            <w:r w:rsidRPr="0059544A">
              <w:rPr>
                <w:rFonts w:ascii="Arial" w:hAnsi="Arial" w:cs="Arial"/>
                <w:sz w:val="22"/>
                <w:szCs w:val="22"/>
              </w:rPr>
              <w:t>Fodrovec Riječki</w:t>
            </w:r>
          </w:p>
        </w:tc>
        <w:tc>
          <w:tcPr>
            <w:tcW w:w="3240" w:type="dxa"/>
          </w:tcPr>
          <w:p w:rsidR="0067261B" w:rsidRPr="0059544A" w:rsidRDefault="0067261B" w:rsidP="00623F55">
            <w:pPr>
              <w:rPr>
                <w:rFonts w:ascii="Arial" w:hAnsi="Arial" w:cs="Arial"/>
                <w:sz w:val="22"/>
                <w:szCs w:val="22"/>
              </w:rPr>
            </w:pPr>
            <w:r w:rsidRPr="0059544A">
              <w:rPr>
                <w:rFonts w:ascii="Arial" w:hAnsi="Arial" w:cs="Arial"/>
                <w:sz w:val="22"/>
                <w:szCs w:val="22"/>
              </w:rPr>
              <w:t>Kasno srednjovjekovni lokalitet, kota 273 mNM</w:t>
            </w:r>
          </w:p>
        </w:tc>
        <w:tc>
          <w:tcPr>
            <w:tcW w:w="1620" w:type="dxa"/>
          </w:tcPr>
          <w:p w:rsidR="0067261B" w:rsidRPr="0059544A" w:rsidRDefault="0067261B" w:rsidP="00623F55">
            <w:pPr>
              <w:jc w:val="center"/>
              <w:rPr>
                <w:rFonts w:ascii="Arial" w:hAnsi="Arial" w:cs="Arial"/>
                <w:sz w:val="22"/>
                <w:szCs w:val="22"/>
              </w:rPr>
            </w:pPr>
            <w:r w:rsidRPr="0059544A">
              <w:rPr>
                <w:rFonts w:ascii="Arial" w:hAnsi="Arial" w:cs="Arial"/>
                <w:sz w:val="22"/>
                <w:szCs w:val="22"/>
              </w:rPr>
              <w:t>E</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Mali Kalnik</w:t>
            </w:r>
          </w:p>
          <w:p w:rsidR="0067261B" w:rsidRPr="0059544A" w:rsidRDefault="0067261B" w:rsidP="00623F55">
            <w:pPr>
              <w:jc w:val="both"/>
              <w:rPr>
                <w:rFonts w:ascii="Arial" w:hAnsi="Arial" w:cs="Arial"/>
                <w:sz w:val="22"/>
                <w:szCs w:val="22"/>
              </w:rPr>
            </w:pPr>
            <w:r w:rsidRPr="0059544A">
              <w:rPr>
                <w:rFonts w:ascii="Arial" w:hAnsi="Arial" w:cs="Arial"/>
                <w:sz w:val="22"/>
                <w:szCs w:val="22"/>
              </w:rPr>
              <w:t>Deklešanec</w:t>
            </w:r>
          </w:p>
        </w:tc>
        <w:tc>
          <w:tcPr>
            <w:tcW w:w="324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Srednjovjekovna utvrda sa pripadajućim  okružjem</w:t>
            </w:r>
          </w:p>
        </w:tc>
        <w:tc>
          <w:tcPr>
            <w:tcW w:w="1620" w:type="dxa"/>
          </w:tcPr>
          <w:p w:rsidR="0067261B" w:rsidRPr="0059544A" w:rsidRDefault="0067261B" w:rsidP="00623F55">
            <w:pPr>
              <w:jc w:val="center"/>
              <w:rPr>
                <w:rFonts w:ascii="Arial" w:hAnsi="Arial" w:cs="Arial"/>
                <w:sz w:val="22"/>
                <w:szCs w:val="22"/>
              </w:rPr>
            </w:pPr>
            <w:r w:rsidRPr="0059544A">
              <w:rPr>
                <w:rFonts w:ascii="Arial" w:hAnsi="Arial" w:cs="Arial"/>
                <w:sz w:val="22"/>
                <w:szCs w:val="22"/>
              </w:rPr>
              <w:t>R</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Pusta Barbara</w:t>
            </w:r>
            <w:r w:rsidRPr="0059544A">
              <w:rPr>
                <w:rFonts w:ascii="Arial" w:hAnsi="Arial" w:cs="Arial"/>
                <w:sz w:val="22"/>
                <w:szCs w:val="22"/>
              </w:rPr>
              <w:t xml:space="preserve"> jugozapadna padina M. Kalnika</w:t>
            </w:r>
          </w:p>
          <w:p w:rsidR="0067261B" w:rsidRPr="0059544A" w:rsidRDefault="0067261B" w:rsidP="00623F55">
            <w:pPr>
              <w:rPr>
                <w:rFonts w:ascii="Arial" w:hAnsi="Arial" w:cs="Arial"/>
                <w:sz w:val="22"/>
                <w:szCs w:val="22"/>
              </w:rPr>
            </w:pPr>
            <w:r w:rsidRPr="0059544A">
              <w:rPr>
                <w:rFonts w:ascii="Arial" w:hAnsi="Arial" w:cs="Arial"/>
                <w:sz w:val="22"/>
                <w:szCs w:val="22"/>
              </w:rPr>
              <w:t>Deklešanec</w:t>
            </w:r>
          </w:p>
        </w:tc>
        <w:tc>
          <w:tcPr>
            <w:tcW w:w="324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 xml:space="preserve">Ostaci srednjovjekovne crkve Sv. Barbare. -nepoznata točna lokacija  </w:t>
            </w:r>
          </w:p>
        </w:tc>
        <w:tc>
          <w:tcPr>
            <w:tcW w:w="1620" w:type="dxa"/>
          </w:tcPr>
          <w:p w:rsidR="0067261B" w:rsidRPr="0059544A" w:rsidRDefault="0067261B" w:rsidP="00623F55">
            <w:pPr>
              <w:jc w:val="center"/>
              <w:rPr>
                <w:rFonts w:ascii="Arial" w:hAnsi="Arial" w:cs="Arial"/>
                <w:sz w:val="22"/>
                <w:szCs w:val="22"/>
              </w:rPr>
            </w:pPr>
            <w:r w:rsidRPr="0059544A">
              <w:rPr>
                <w:rFonts w:ascii="Arial" w:hAnsi="Arial" w:cs="Arial"/>
                <w:sz w:val="22"/>
                <w:szCs w:val="22"/>
              </w:rPr>
              <w:t>PZ</w:t>
            </w:r>
          </w:p>
        </w:tc>
      </w:tr>
    </w:tbl>
    <w:p w:rsidR="0067261B" w:rsidRPr="0059544A" w:rsidRDefault="0067261B" w:rsidP="0067261B">
      <w:pPr>
        <w:spacing w:line="360" w:lineRule="auto"/>
        <w:jc w:val="both"/>
        <w:rPr>
          <w:rFonts w:ascii="Arial" w:hAnsi="Arial" w:cs="Arial"/>
          <w:b/>
          <w:sz w:val="22"/>
          <w:szCs w:val="22"/>
        </w:rPr>
      </w:pPr>
    </w:p>
    <w:p w:rsidR="0067261B" w:rsidRPr="0059544A" w:rsidRDefault="0067261B" w:rsidP="0067261B">
      <w:pPr>
        <w:spacing w:line="360" w:lineRule="auto"/>
        <w:jc w:val="both"/>
        <w:rPr>
          <w:rFonts w:ascii="Arial" w:hAnsi="Arial" w:cs="Arial"/>
          <w:b/>
          <w:sz w:val="22"/>
          <w:szCs w:val="22"/>
        </w:rPr>
      </w:pPr>
      <w:r w:rsidRPr="0059544A">
        <w:rPr>
          <w:rFonts w:ascii="Arial" w:hAnsi="Arial" w:cs="Arial"/>
          <w:b/>
          <w:sz w:val="22"/>
          <w:szCs w:val="22"/>
        </w:rPr>
        <w:t>6.    DIJELOVI KULTURNOG KRAJOLIKA</w:t>
      </w:r>
    </w:p>
    <w:p w:rsidR="0067261B" w:rsidRPr="0059544A" w:rsidRDefault="0067261B" w:rsidP="0067261B">
      <w:pPr>
        <w:spacing w:line="360" w:lineRule="auto"/>
        <w:jc w:val="both"/>
        <w:rPr>
          <w:rFonts w:ascii="Arial" w:hAnsi="Arial" w:cs="Arial"/>
          <w:b/>
          <w:sz w:val="22"/>
          <w:szCs w:val="22"/>
        </w:rPr>
      </w:pPr>
      <w:r w:rsidRPr="0059544A">
        <w:rPr>
          <w:rFonts w:ascii="Arial" w:hAnsi="Arial" w:cs="Arial"/>
          <w:b/>
          <w:sz w:val="22"/>
          <w:szCs w:val="22"/>
        </w:rPr>
        <w:t xml:space="preserve">    </w:t>
      </w:r>
    </w:p>
    <w:p w:rsidR="0067261B" w:rsidRPr="0059544A" w:rsidRDefault="0067261B" w:rsidP="0067261B">
      <w:pPr>
        <w:spacing w:line="360" w:lineRule="auto"/>
        <w:jc w:val="both"/>
        <w:rPr>
          <w:rFonts w:ascii="Arial" w:hAnsi="Arial" w:cs="Arial"/>
          <w:sz w:val="22"/>
          <w:szCs w:val="22"/>
        </w:rPr>
      </w:pPr>
      <w:r w:rsidRPr="0059544A">
        <w:rPr>
          <w:rFonts w:ascii="Arial" w:hAnsi="Arial" w:cs="Arial"/>
          <w:b/>
          <w:sz w:val="22"/>
          <w:szCs w:val="22"/>
        </w:rPr>
        <w:t xml:space="preserve"> </w:t>
      </w:r>
      <w:r w:rsidRPr="0059544A">
        <w:rPr>
          <w:rFonts w:ascii="Arial" w:hAnsi="Arial" w:cs="Arial"/>
          <w:sz w:val="22"/>
          <w:szCs w:val="22"/>
        </w:rPr>
        <w:t xml:space="preserve">6.1.Vinogradarske  etnološke zone      </w:t>
      </w:r>
    </w:p>
    <w:tbl>
      <w:tblPr>
        <w:tblStyle w:val="Reetkatablice"/>
        <w:tblW w:w="0" w:type="auto"/>
        <w:tblInd w:w="468" w:type="dxa"/>
        <w:tblLayout w:type="fixed"/>
        <w:tblLook w:val="01E0" w:firstRow="1" w:lastRow="1" w:firstColumn="1" w:lastColumn="1" w:noHBand="0" w:noVBand="0"/>
      </w:tblPr>
      <w:tblGrid>
        <w:gridCol w:w="900"/>
        <w:gridCol w:w="2520"/>
        <w:gridCol w:w="3240"/>
        <w:gridCol w:w="1620"/>
      </w:tblGrid>
      <w:tr w:rsidR="0067261B" w:rsidRPr="0059544A">
        <w:tc>
          <w:tcPr>
            <w:tcW w:w="90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Ident</w:t>
            </w:r>
          </w:p>
          <w:p w:rsidR="0067261B" w:rsidRPr="0059544A" w:rsidRDefault="0067261B" w:rsidP="00623F55">
            <w:pPr>
              <w:jc w:val="both"/>
              <w:rPr>
                <w:rFonts w:ascii="Arial" w:hAnsi="Arial" w:cs="Arial"/>
                <w:b/>
                <w:sz w:val="22"/>
                <w:szCs w:val="22"/>
              </w:rPr>
            </w:pPr>
            <w:r w:rsidRPr="0059544A">
              <w:rPr>
                <w:rFonts w:ascii="Arial" w:hAnsi="Arial" w:cs="Arial"/>
                <w:b/>
                <w:sz w:val="22"/>
                <w:szCs w:val="22"/>
              </w:rPr>
              <w:t>Br.</w:t>
            </w: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 xml:space="preserve">     Naselje</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Spomenik/kulturno. Povijesne vrijednosti</w:t>
            </w:r>
          </w:p>
        </w:tc>
        <w:tc>
          <w:tcPr>
            <w:tcW w:w="162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Spomenički status</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sz w:val="22"/>
                <w:szCs w:val="22"/>
              </w:rPr>
            </w:pPr>
            <w:r w:rsidRPr="0059544A">
              <w:rPr>
                <w:rFonts w:ascii="Arial" w:hAnsi="Arial" w:cs="Arial"/>
                <w:sz w:val="22"/>
                <w:szCs w:val="22"/>
              </w:rPr>
              <w:t>Fajerovec</w:t>
            </w:r>
          </w:p>
        </w:tc>
        <w:tc>
          <w:tcPr>
            <w:tcW w:w="324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Vinogradarske etno zone Badelovi vinogradi i klijeti</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PZ</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sz w:val="22"/>
                <w:szCs w:val="22"/>
              </w:rPr>
            </w:pPr>
            <w:r w:rsidRPr="0059544A">
              <w:rPr>
                <w:rFonts w:ascii="Arial" w:hAnsi="Arial" w:cs="Arial"/>
                <w:sz w:val="22"/>
                <w:szCs w:val="22"/>
              </w:rPr>
              <w:t>Gornja rijeka</w:t>
            </w:r>
          </w:p>
        </w:tc>
        <w:tc>
          <w:tcPr>
            <w:tcW w:w="324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Vinogradarske etno zone</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E</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sz w:val="22"/>
                <w:szCs w:val="22"/>
              </w:rPr>
            </w:pPr>
            <w:r w:rsidRPr="0059544A">
              <w:rPr>
                <w:rFonts w:ascii="Arial" w:hAnsi="Arial" w:cs="Arial"/>
                <w:sz w:val="22"/>
                <w:szCs w:val="22"/>
              </w:rPr>
              <w:t>Deklešanec</w:t>
            </w:r>
          </w:p>
        </w:tc>
        <w:tc>
          <w:tcPr>
            <w:tcW w:w="324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Vinogradarske etno zone</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E</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sz w:val="22"/>
                <w:szCs w:val="22"/>
              </w:rPr>
            </w:pPr>
            <w:r w:rsidRPr="0059544A">
              <w:rPr>
                <w:rFonts w:ascii="Arial" w:hAnsi="Arial" w:cs="Arial"/>
                <w:sz w:val="22"/>
                <w:szCs w:val="22"/>
              </w:rPr>
              <w:t>Donja Rijeka -Jelaki</w:t>
            </w:r>
          </w:p>
        </w:tc>
        <w:tc>
          <w:tcPr>
            <w:tcW w:w="324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Vinogradarske etno zone</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E</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sz w:val="22"/>
                <w:szCs w:val="22"/>
              </w:rPr>
            </w:pPr>
            <w:r w:rsidRPr="0059544A">
              <w:rPr>
                <w:rFonts w:ascii="Arial" w:hAnsi="Arial" w:cs="Arial"/>
                <w:sz w:val="22"/>
                <w:szCs w:val="22"/>
              </w:rPr>
              <w:t>Donja Rijeka –Pustike</w:t>
            </w:r>
          </w:p>
        </w:tc>
        <w:tc>
          <w:tcPr>
            <w:tcW w:w="324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 xml:space="preserve">Vinogradarske etno zone </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E</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sz w:val="22"/>
                <w:szCs w:val="22"/>
              </w:rPr>
            </w:pPr>
            <w:r w:rsidRPr="0059544A">
              <w:rPr>
                <w:rFonts w:ascii="Arial" w:hAnsi="Arial" w:cs="Arial"/>
                <w:sz w:val="22"/>
                <w:szCs w:val="22"/>
              </w:rPr>
              <w:t>Kolarec</w:t>
            </w:r>
          </w:p>
        </w:tc>
        <w:tc>
          <w:tcPr>
            <w:tcW w:w="324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Vinogradarske etno zone</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E</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sz w:val="22"/>
                <w:szCs w:val="22"/>
              </w:rPr>
            </w:pPr>
            <w:r w:rsidRPr="0059544A">
              <w:rPr>
                <w:rFonts w:ascii="Arial" w:hAnsi="Arial" w:cs="Arial"/>
                <w:sz w:val="22"/>
                <w:szCs w:val="22"/>
              </w:rPr>
              <w:t>Nemčevec</w:t>
            </w:r>
          </w:p>
        </w:tc>
        <w:tc>
          <w:tcPr>
            <w:tcW w:w="324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Vinogradarske etno zone</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E</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sz w:val="22"/>
                <w:szCs w:val="22"/>
              </w:rPr>
            </w:pPr>
            <w:r w:rsidRPr="0059544A">
              <w:rPr>
                <w:rFonts w:ascii="Arial" w:hAnsi="Arial" w:cs="Arial"/>
                <w:sz w:val="22"/>
                <w:szCs w:val="22"/>
              </w:rPr>
              <w:t>Vukšinec</w:t>
            </w:r>
          </w:p>
        </w:tc>
        <w:tc>
          <w:tcPr>
            <w:tcW w:w="324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Vinogradarske etno zone</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E</w:t>
            </w:r>
          </w:p>
        </w:tc>
      </w:tr>
    </w:tbl>
    <w:p w:rsidR="0067261B" w:rsidRPr="0059544A" w:rsidRDefault="0067261B" w:rsidP="0067261B">
      <w:pPr>
        <w:spacing w:line="360" w:lineRule="auto"/>
        <w:jc w:val="both"/>
        <w:rPr>
          <w:rFonts w:ascii="Arial" w:hAnsi="Arial" w:cs="Arial"/>
          <w:sz w:val="22"/>
          <w:szCs w:val="22"/>
        </w:rPr>
      </w:pPr>
      <w:r w:rsidRPr="0059544A">
        <w:rPr>
          <w:rFonts w:ascii="Arial" w:hAnsi="Arial" w:cs="Arial"/>
          <w:sz w:val="22"/>
          <w:szCs w:val="22"/>
        </w:rPr>
        <w:t xml:space="preserve"> </w:t>
      </w:r>
    </w:p>
    <w:p w:rsidR="0067261B" w:rsidRPr="0059544A" w:rsidRDefault="0067261B" w:rsidP="0067261B">
      <w:pPr>
        <w:spacing w:line="360" w:lineRule="auto"/>
        <w:jc w:val="both"/>
        <w:rPr>
          <w:rFonts w:ascii="Arial" w:hAnsi="Arial" w:cs="Arial"/>
          <w:sz w:val="22"/>
          <w:szCs w:val="22"/>
        </w:rPr>
      </w:pPr>
      <w:r w:rsidRPr="0059544A">
        <w:rPr>
          <w:rFonts w:ascii="Arial" w:hAnsi="Arial" w:cs="Arial"/>
          <w:sz w:val="22"/>
          <w:szCs w:val="22"/>
        </w:rPr>
        <w:t>6..2.osobito vrijedni predjeli</w:t>
      </w:r>
    </w:p>
    <w:p w:rsidR="0067261B" w:rsidRPr="0059544A" w:rsidRDefault="0067261B" w:rsidP="0067261B">
      <w:pPr>
        <w:spacing w:line="360" w:lineRule="auto"/>
        <w:jc w:val="both"/>
        <w:rPr>
          <w:rFonts w:ascii="Arial" w:hAnsi="Arial" w:cs="Arial"/>
          <w:sz w:val="22"/>
          <w:szCs w:val="22"/>
        </w:rPr>
      </w:pPr>
    </w:p>
    <w:tbl>
      <w:tblPr>
        <w:tblStyle w:val="Reetkatablice"/>
        <w:tblW w:w="0" w:type="auto"/>
        <w:tblInd w:w="468" w:type="dxa"/>
        <w:tblLayout w:type="fixed"/>
        <w:tblLook w:val="01E0" w:firstRow="1" w:lastRow="1" w:firstColumn="1" w:lastColumn="1" w:noHBand="0" w:noVBand="0"/>
      </w:tblPr>
      <w:tblGrid>
        <w:gridCol w:w="900"/>
        <w:gridCol w:w="2520"/>
        <w:gridCol w:w="3240"/>
        <w:gridCol w:w="1620"/>
      </w:tblGrid>
      <w:tr w:rsidR="0067261B" w:rsidRPr="0059544A">
        <w:tc>
          <w:tcPr>
            <w:tcW w:w="90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Ident</w:t>
            </w:r>
          </w:p>
          <w:p w:rsidR="0067261B" w:rsidRPr="0059544A" w:rsidRDefault="0067261B" w:rsidP="00623F55">
            <w:pPr>
              <w:jc w:val="both"/>
              <w:rPr>
                <w:rFonts w:ascii="Arial" w:hAnsi="Arial" w:cs="Arial"/>
                <w:b/>
                <w:sz w:val="22"/>
                <w:szCs w:val="22"/>
              </w:rPr>
            </w:pPr>
            <w:r w:rsidRPr="0059544A">
              <w:rPr>
                <w:rFonts w:ascii="Arial" w:hAnsi="Arial" w:cs="Arial"/>
                <w:b/>
                <w:sz w:val="22"/>
                <w:szCs w:val="22"/>
              </w:rPr>
              <w:t>Br.</w:t>
            </w: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 xml:space="preserve">     Naselje</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Spomenik/kulturno. Povijesne vrijednosti</w:t>
            </w:r>
          </w:p>
        </w:tc>
        <w:tc>
          <w:tcPr>
            <w:tcW w:w="162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Spomenički status</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sz w:val="22"/>
                <w:szCs w:val="22"/>
              </w:rPr>
            </w:pPr>
            <w:r w:rsidRPr="0059544A">
              <w:rPr>
                <w:rFonts w:ascii="Arial" w:hAnsi="Arial" w:cs="Arial"/>
                <w:sz w:val="22"/>
                <w:szCs w:val="22"/>
              </w:rPr>
              <w:t xml:space="preserve">Donja Rijeka </w:t>
            </w:r>
          </w:p>
        </w:tc>
        <w:tc>
          <w:tcPr>
            <w:tcW w:w="324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 xml:space="preserve">Potez uz potok/Črnec-Grabovica/? </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E</w:t>
            </w:r>
          </w:p>
        </w:tc>
      </w:tr>
      <w:tr w:rsidR="0067261B" w:rsidRPr="0059544A">
        <w:tc>
          <w:tcPr>
            <w:tcW w:w="900" w:type="dxa"/>
          </w:tcPr>
          <w:p w:rsidR="0067261B" w:rsidRPr="0059544A" w:rsidRDefault="0067261B" w:rsidP="00623F55">
            <w:pPr>
              <w:jc w:val="both"/>
              <w:rPr>
                <w:rFonts w:ascii="Arial" w:hAnsi="Arial" w:cs="Arial"/>
                <w:b/>
                <w:sz w:val="22"/>
                <w:szCs w:val="22"/>
              </w:rPr>
            </w:pPr>
          </w:p>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sz w:val="22"/>
                <w:szCs w:val="22"/>
              </w:rPr>
            </w:pPr>
            <w:r w:rsidRPr="0059544A">
              <w:rPr>
                <w:rFonts w:ascii="Arial" w:hAnsi="Arial" w:cs="Arial"/>
                <w:sz w:val="22"/>
                <w:szCs w:val="22"/>
              </w:rPr>
              <w:t>Gornja Rijeka</w:t>
            </w:r>
          </w:p>
        </w:tc>
        <w:tc>
          <w:tcPr>
            <w:tcW w:w="324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 xml:space="preserve">Potez uz potok Šokot sa slapovima </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PZ</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sz w:val="22"/>
                <w:szCs w:val="22"/>
              </w:rPr>
            </w:pPr>
            <w:r w:rsidRPr="0059544A">
              <w:rPr>
                <w:rFonts w:ascii="Arial" w:hAnsi="Arial" w:cs="Arial"/>
                <w:sz w:val="22"/>
                <w:szCs w:val="22"/>
              </w:rPr>
              <w:t>Deklešanec</w:t>
            </w:r>
          </w:p>
        </w:tc>
        <w:tc>
          <w:tcPr>
            <w:tcW w:w="324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Mali kalnik- dio zaštićenog krajolika botaničkog rezervata</w:t>
            </w:r>
          </w:p>
        </w:tc>
        <w:tc>
          <w:tcPr>
            <w:tcW w:w="1620" w:type="dxa"/>
          </w:tcPr>
          <w:p w:rsidR="0067261B" w:rsidRPr="0059544A" w:rsidRDefault="0067261B" w:rsidP="00623F55">
            <w:pPr>
              <w:jc w:val="both"/>
              <w:rPr>
                <w:rFonts w:ascii="Arial" w:hAnsi="Arial" w:cs="Arial"/>
                <w:sz w:val="22"/>
                <w:szCs w:val="22"/>
              </w:rPr>
            </w:pPr>
            <w:r w:rsidRPr="0059544A">
              <w:rPr>
                <w:rFonts w:ascii="Arial" w:hAnsi="Arial" w:cs="Arial"/>
                <w:sz w:val="22"/>
                <w:szCs w:val="22"/>
              </w:rPr>
              <w:t>R</w:t>
            </w:r>
          </w:p>
        </w:tc>
      </w:tr>
    </w:tbl>
    <w:p w:rsidR="0067261B" w:rsidRPr="0059544A" w:rsidRDefault="0067261B" w:rsidP="0067261B">
      <w:pPr>
        <w:spacing w:line="360" w:lineRule="auto"/>
        <w:jc w:val="both"/>
        <w:rPr>
          <w:rFonts w:ascii="Arial" w:hAnsi="Arial" w:cs="Arial"/>
          <w:sz w:val="22"/>
          <w:szCs w:val="22"/>
        </w:rPr>
      </w:pPr>
    </w:p>
    <w:p w:rsidR="0067261B" w:rsidRPr="0059544A" w:rsidRDefault="0067261B" w:rsidP="0067261B">
      <w:pPr>
        <w:spacing w:line="360" w:lineRule="auto"/>
        <w:jc w:val="both"/>
        <w:rPr>
          <w:rFonts w:ascii="Arial" w:hAnsi="Arial" w:cs="Arial"/>
          <w:sz w:val="22"/>
          <w:szCs w:val="22"/>
        </w:rPr>
      </w:pPr>
      <w:r w:rsidRPr="0059544A">
        <w:rPr>
          <w:rFonts w:ascii="Arial" w:hAnsi="Arial" w:cs="Arial"/>
          <w:sz w:val="22"/>
          <w:szCs w:val="22"/>
        </w:rPr>
        <w:t>6.3.Značajne  vizure</w:t>
      </w:r>
    </w:p>
    <w:tbl>
      <w:tblPr>
        <w:tblStyle w:val="Reetkatablice"/>
        <w:tblW w:w="0" w:type="auto"/>
        <w:tblInd w:w="468" w:type="dxa"/>
        <w:tblLayout w:type="fixed"/>
        <w:tblLook w:val="01E0" w:firstRow="1" w:lastRow="1" w:firstColumn="1" w:lastColumn="1" w:noHBand="0" w:noVBand="0"/>
      </w:tblPr>
      <w:tblGrid>
        <w:gridCol w:w="900"/>
        <w:gridCol w:w="2520"/>
        <w:gridCol w:w="3240"/>
        <w:gridCol w:w="1620"/>
      </w:tblGrid>
      <w:tr w:rsidR="0067261B" w:rsidRPr="0059544A">
        <w:tc>
          <w:tcPr>
            <w:tcW w:w="90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Ident</w:t>
            </w:r>
          </w:p>
          <w:p w:rsidR="0067261B" w:rsidRPr="0059544A" w:rsidRDefault="0067261B" w:rsidP="00623F55">
            <w:pPr>
              <w:jc w:val="both"/>
              <w:rPr>
                <w:rFonts w:ascii="Arial" w:hAnsi="Arial" w:cs="Arial"/>
                <w:b/>
                <w:sz w:val="22"/>
                <w:szCs w:val="22"/>
              </w:rPr>
            </w:pPr>
            <w:r w:rsidRPr="0059544A">
              <w:rPr>
                <w:rFonts w:ascii="Arial" w:hAnsi="Arial" w:cs="Arial"/>
                <w:b/>
                <w:sz w:val="22"/>
                <w:szCs w:val="22"/>
              </w:rPr>
              <w:t>Br.</w:t>
            </w: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 xml:space="preserve">     Naselje</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Spomenik/kulturno. Povijesne vrijednosti</w:t>
            </w:r>
          </w:p>
        </w:tc>
        <w:tc>
          <w:tcPr>
            <w:tcW w:w="162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Spomenički status</w:t>
            </w: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Gornja Rijeku</w:t>
            </w:r>
          </w:p>
        </w:tc>
        <w:tc>
          <w:tcPr>
            <w:tcW w:w="3240" w:type="dxa"/>
          </w:tcPr>
          <w:p w:rsidR="0067261B" w:rsidRPr="0059544A" w:rsidRDefault="0067261B" w:rsidP="00623F55">
            <w:pPr>
              <w:rPr>
                <w:rFonts w:ascii="Arial" w:hAnsi="Arial" w:cs="Arial"/>
                <w:b/>
                <w:sz w:val="22"/>
                <w:szCs w:val="22"/>
              </w:rPr>
            </w:pPr>
            <w:r w:rsidRPr="0059544A">
              <w:rPr>
                <w:rFonts w:ascii="Arial" w:hAnsi="Arial" w:cs="Arial"/>
                <w:b/>
                <w:sz w:val="22"/>
                <w:szCs w:val="22"/>
              </w:rPr>
              <w:t>Vizura na i  naselje ibrežuljkasti prirodni krajolik   uz cestu za Fajerovec</w:t>
            </w:r>
          </w:p>
        </w:tc>
        <w:tc>
          <w:tcPr>
            <w:tcW w:w="1620" w:type="dxa"/>
          </w:tcPr>
          <w:p w:rsidR="0067261B" w:rsidRPr="0059544A" w:rsidRDefault="0067261B" w:rsidP="00623F55">
            <w:pPr>
              <w:jc w:val="both"/>
              <w:rPr>
                <w:rFonts w:ascii="Arial" w:hAnsi="Arial" w:cs="Arial"/>
                <w:b/>
                <w:sz w:val="22"/>
                <w:szCs w:val="22"/>
              </w:rPr>
            </w:pP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Mali kalnik-Deklešanec -</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Vizura na sa ceste iz G.Rijeka</w:t>
            </w:r>
          </w:p>
        </w:tc>
        <w:tc>
          <w:tcPr>
            <w:tcW w:w="1620" w:type="dxa"/>
          </w:tcPr>
          <w:p w:rsidR="0067261B" w:rsidRPr="0059544A" w:rsidRDefault="0067261B" w:rsidP="00623F55">
            <w:pPr>
              <w:jc w:val="both"/>
              <w:rPr>
                <w:rFonts w:ascii="Arial" w:hAnsi="Arial" w:cs="Arial"/>
                <w:b/>
                <w:sz w:val="22"/>
                <w:szCs w:val="22"/>
              </w:rPr>
            </w:pP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 xml:space="preserve">Kostanjevac Riječki </w:t>
            </w:r>
          </w:p>
        </w:tc>
        <w:tc>
          <w:tcPr>
            <w:tcW w:w="3240" w:type="dxa"/>
          </w:tcPr>
          <w:p w:rsidR="0067261B" w:rsidRPr="0059544A" w:rsidRDefault="0067261B" w:rsidP="00623F55">
            <w:pPr>
              <w:rPr>
                <w:rFonts w:ascii="Arial" w:hAnsi="Arial" w:cs="Arial"/>
                <w:b/>
                <w:sz w:val="22"/>
                <w:szCs w:val="22"/>
              </w:rPr>
            </w:pPr>
            <w:r w:rsidRPr="0059544A">
              <w:rPr>
                <w:rFonts w:ascii="Arial" w:hAnsi="Arial" w:cs="Arial"/>
                <w:b/>
                <w:sz w:val="22"/>
                <w:szCs w:val="22"/>
              </w:rPr>
              <w:t xml:space="preserve">Istočna i zapadna vizura na volumen naselja na proplanku </w:t>
            </w:r>
          </w:p>
        </w:tc>
        <w:tc>
          <w:tcPr>
            <w:tcW w:w="1620" w:type="dxa"/>
          </w:tcPr>
          <w:p w:rsidR="0067261B" w:rsidRPr="0059544A" w:rsidRDefault="0067261B" w:rsidP="00623F55">
            <w:pPr>
              <w:jc w:val="both"/>
              <w:rPr>
                <w:rFonts w:ascii="Arial" w:hAnsi="Arial" w:cs="Arial"/>
                <w:b/>
                <w:sz w:val="22"/>
                <w:szCs w:val="22"/>
              </w:rPr>
            </w:pP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Dropkovec</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Vizura na stari dio naselja na proplanku</w:t>
            </w:r>
          </w:p>
        </w:tc>
        <w:tc>
          <w:tcPr>
            <w:tcW w:w="1620" w:type="dxa"/>
          </w:tcPr>
          <w:p w:rsidR="0067261B" w:rsidRPr="0059544A" w:rsidRDefault="0067261B" w:rsidP="00623F55">
            <w:pPr>
              <w:jc w:val="both"/>
              <w:rPr>
                <w:rFonts w:ascii="Arial" w:hAnsi="Arial" w:cs="Arial"/>
                <w:b/>
                <w:sz w:val="22"/>
                <w:szCs w:val="22"/>
              </w:rPr>
            </w:pP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Fajerovec</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Vizura na volumen naselja iz Nemčevca</w:t>
            </w:r>
          </w:p>
        </w:tc>
        <w:tc>
          <w:tcPr>
            <w:tcW w:w="1620" w:type="dxa"/>
          </w:tcPr>
          <w:p w:rsidR="0067261B" w:rsidRPr="0059544A" w:rsidRDefault="0067261B" w:rsidP="00623F55">
            <w:pPr>
              <w:jc w:val="both"/>
              <w:rPr>
                <w:rFonts w:ascii="Arial" w:hAnsi="Arial" w:cs="Arial"/>
                <w:b/>
                <w:sz w:val="22"/>
                <w:szCs w:val="22"/>
              </w:rPr>
            </w:pPr>
          </w:p>
        </w:tc>
      </w:tr>
      <w:tr w:rsidR="0067261B" w:rsidRPr="0059544A">
        <w:tc>
          <w:tcPr>
            <w:tcW w:w="900" w:type="dxa"/>
          </w:tcPr>
          <w:p w:rsidR="0067261B" w:rsidRPr="0059544A" w:rsidRDefault="0067261B" w:rsidP="00623F55">
            <w:pPr>
              <w:jc w:val="both"/>
              <w:rPr>
                <w:rFonts w:ascii="Arial" w:hAnsi="Arial" w:cs="Arial"/>
                <w:b/>
                <w:sz w:val="22"/>
                <w:szCs w:val="22"/>
              </w:rPr>
            </w:pPr>
          </w:p>
        </w:tc>
        <w:tc>
          <w:tcPr>
            <w:tcW w:w="2520" w:type="dxa"/>
          </w:tcPr>
          <w:p w:rsidR="0067261B" w:rsidRPr="0059544A" w:rsidRDefault="0067261B" w:rsidP="00623F55">
            <w:pPr>
              <w:rPr>
                <w:rFonts w:ascii="Arial" w:hAnsi="Arial" w:cs="Arial"/>
                <w:b/>
                <w:sz w:val="22"/>
                <w:szCs w:val="22"/>
              </w:rPr>
            </w:pPr>
            <w:r w:rsidRPr="0059544A">
              <w:rPr>
                <w:rFonts w:ascii="Arial" w:hAnsi="Arial" w:cs="Arial"/>
                <w:b/>
                <w:sz w:val="22"/>
                <w:szCs w:val="22"/>
              </w:rPr>
              <w:t>Kolarec/ Gornji/</w:t>
            </w:r>
          </w:p>
        </w:tc>
        <w:tc>
          <w:tcPr>
            <w:tcW w:w="3240" w:type="dxa"/>
          </w:tcPr>
          <w:p w:rsidR="0067261B" w:rsidRPr="0059544A" w:rsidRDefault="0067261B" w:rsidP="00623F55">
            <w:pPr>
              <w:jc w:val="both"/>
              <w:rPr>
                <w:rFonts w:ascii="Arial" w:hAnsi="Arial" w:cs="Arial"/>
                <w:b/>
                <w:sz w:val="22"/>
                <w:szCs w:val="22"/>
              </w:rPr>
            </w:pPr>
            <w:r w:rsidRPr="0059544A">
              <w:rPr>
                <w:rFonts w:ascii="Arial" w:hAnsi="Arial" w:cs="Arial"/>
                <w:b/>
                <w:sz w:val="22"/>
                <w:szCs w:val="22"/>
              </w:rPr>
              <w:t>Vizura na volumen  naselja sa prilazne sa sjevera</w:t>
            </w:r>
          </w:p>
        </w:tc>
        <w:tc>
          <w:tcPr>
            <w:tcW w:w="1620" w:type="dxa"/>
          </w:tcPr>
          <w:p w:rsidR="0067261B" w:rsidRPr="0059544A" w:rsidRDefault="0067261B" w:rsidP="00623F55">
            <w:pPr>
              <w:jc w:val="both"/>
              <w:rPr>
                <w:rFonts w:ascii="Arial" w:hAnsi="Arial" w:cs="Arial"/>
                <w:b/>
                <w:sz w:val="22"/>
                <w:szCs w:val="22"/>
              </w:rPr>
            </w:pPr>
          </w:p>
        </w:tc>
      </w:tr>
    </w:tbl>
    <w:p w:rsidR="00012172" w:rsidRDefault="00012172">
      <w:pPr>
        <w:pStyle w:val="Naslov1"/>
      </w:pPr>
      <w:bookmarkStart w:id="56" w:name="_Toc95140604"/>
      <w:r>
        <w:t>3.5. Razvoj infrastrukturnih sustava</w:t>
      </w:r>
      <w:bookmarkEnd w:id="56"/>
      <w:r>
        <w:t xml:space="preserve"> </w:t>
      </w:r>
    </w:p>
    <w:p w:rsidR="00012172" w:rsidRDefault="00012172">
      <w:pPr>
        <w:rPr>
          <w:rFonts w:ascii="Arial" w:hAnsi="Arial" w:cs="Arial"/>
          <w:sz w:val="22"/>
          <w:szCs w:val="22"/>
        </w:rPr>
      </w:pPr>
    </w:p>
    <w:p w:rsidR="00012172" w:rsidRDefault="00012172">
      <w:pPr>
        <w:pStyle w:val="Naslov3"/>
        <w:jc w:val="both"/>
      </w:pPr>
      <w:bookmarkStart w:id="57" w:name="_Toc95140605"/>
      <w:r>
        <w:t>3.5.1. Prometni infrastrukturni sustav (ceste, željeznice, javne telekomunikacije, produktovodi)</w:t>
      </w:r>
      <w:bookmarkEnd w:id="57"/>
    </w:p>
    <w:p w:rsidR="00012172" w:rsidRDefault="00012172"/>
    <w:p w:rsidR="00012172" w:rsidRDefault="00012172">
      <w:pPr>
        <w:jc w:val="both"/>
        <w:rPr>
          <w:rFonts w:ascii="Arial" w:hAnsi="Arial" w:cs="Arial"/>
          <w:sz w:val="22"/>
        </w:rPr>
      </w:pPr>
      <w:r>
        <w:rPr>
          <w:rFonts w:ascii="Arial" w:hAnsi="Arial" w:cs="Arial"/>
          <w:sz w:val="22"/>
        </w:rPr>
        <w:t>Razvoj mreža infrastrukture na razini jedinice lokalne samouprave treba prilagoditi potrebama naselja i gospodarskih zona i to na što racionalniji način. Sve linijske vodove poželjno je voditi istim prostornim koridorima kako bi se izbjeglo nepotrebno presijecanje zemljišta ili zračnog prostora linijskim tehničkim strukturama.</w:t>
      </w:r>
    </w:p>
    <w:p w:rsidR="00012172" w:rsidRDefault="00012172">
      <w:pPr>
        <w:jc w:val="both"/>
        <w:rPr>
          <w:rFonts w:ascii="Arial" w:hAnsi="Arial" w:cs="Arial"/>
          <w:sz w:val="22"/>
        </w:rPr>
      </w:pPr>
      <w:r>
        <w:rPr>
          <w:rFonts w:ascii="Arial" w:hAnsi="Arial" w:cs="Arial"/>
          <w:sz w:val="22"/>
        </w:rPr>
        <w:t>Prometni cestovni sustav treba razvijati na način da bude nositelj gospodarskih veza među naseljima, općinama, županijama.</w:t>
      </w:r>
    </w:p>
    <w:p w:rsidR="00012172" w:rsidRDefault="00012172">
      <w:pPr>
        <w:jc w:val="both"/>
        <w:rPr>
          <w:rFonts w:ascii="Arial" w:hAnsi="Arial" w:cs="Arial"/>
          <w:sz w:val="22"/>
        </w:rPr>
      </w:pPr>
      <w:r>
        <w:rPr>
          <w:rFonts w:ascii="Arial" w:hAnsi="Arial" w:cs="Arial"/>
          <w:sz w:val="22"/>
        </w:rPr>
        <w:t>Trasiranje novih cestovnih prometnica trebalo bi uzeti u obzir tradicionalne veze među naseljima i postojeće poljske puteve, odnosno pristupe do obradivih površina. Isto tako treba uzeti u obzir da rješenje prometnog sustava koje je postavljeno ovim prostornim planom znatno zadire u prostore prometnih rješenja susjednih jedinica lokalne samouprave, budući da obuhvat prostornog plana ne čini zaokruženu geoprometnu cjelinu.</w:t>
      </w:r>
    </w:p>
    <w:p w:rsidR="00012172" w:rsidRDefault="00012172">
      <w:pPr>
        <w:jc w:val="both"/>
        <w:rPr>
          <w:rFonts w:ascii="Arial" w:hAnsi="Arial" w:cs="Arial"/>
          <w:sz w:val="22"/>
        </w:rPr>
      </w:pPr>
    </w:p>
    <w:p w:rsidR="00012172" w:rsidRDefault="00012172">
      <w:pPr>
        <w:jc w:val="both"/>
        <w:rPr>
          <w:rFonts w:ascii="Arial" w:hAnsi="Arial" w:cs="Arial"/>
          <w:sz w:val="22"/>
        </w:rPr>
      </w:pPr>
    </w:p>
    <w:p w:rsidR="00012172" w:rsidRDefault="00012172">
      <w:pPr>
        <w:rPr>
          <w:rFonts w:ascii="Arial" w:hAnsi="Arial" w:cs="Arial"/>
          <w:b/>
          <w:bCs/>
          <w:sz w:val="22"/>
        </w:rPr>
      </w:pPr>
      <w:r>
        <w:rPr>
          <w:rFonts w:ascii="Arial" w:hAnsi="Arial" w:cs="Arial"/>
          <w:b/>
          <w:bCs/>
          <w:sz w:val="22"/>
        </w:rPr>
        <w:t>a) Cestovni promet</w:t>
      </w:r>
    </w:p>
    <w:p w:rsidR="00012172" w:rsidRDefault="00012172">
      <w:pPr>
        <w:jc w:val="both"/>
        <w:rPr>
          <w:rFonts w:ascii="Arial" w:hAnsi="Arial" w:cs="Arial"/>
          <w:sz w:val="22"/>
        </w:rPr>
      </w:pPr>
      <w:r>
        <w:rPr>
          <w:rFonts w:ascii="Arial" w:hAnsi="Arial" w:cs="Arial"/>
          <w:sz w:val="22"/>
        </w:rPr>
        <w:t>Na temelju odluke o razvrstavanju javnih cesta u državne , županijske i lokalne ceste (NN 25/98), na području Općine Gornja Rijeka razvrstane su sljedeće kategorije cestovnih prometnica:</w:t>
      </w:r>
    </w:p>
    <w:p w:rsidR="00012172" w:rsidRDefault="00012172">
      <w:pPr>
        <w:jc w:val="both"/>
        <w:rPr>
          <w:rFonts w:ascii="Arial" w:hAnsi="Arial" w:cs="Arial"/>
          <w:sz w:val="22"/>
        </w:rPr>
      </w:pPr>
    </w:p>
    <w:p w:rsidR="00012172" w:rsidRDefault="00012172">
      <w:pPr>
        <w:jc w:val="both"/>
        <w:rPr>
          <w:rFonts w:ascii="Arial" w:hAnsi="Arial" w:cs="Arial"/>
          <w:sz w:val="22"/>
        </w:rPr>
      </w:pPr>
      <w:r>
        <w:rPr>
          <w:rFonts w:ascii="Arial" w:hAnsi="Arial" w:cs="Arial"/>
          <w:sz w:val="22"/>
        </w:rPr>
        <w:t>državna cesta:</w:t>
      </w:r>
    </w:p>
    <w:p w:rsidR="00012172" w:rsidRDefault="00012172">
      <w:pPr>
        <w:jc w:val="both"/>
        <w:rPr>
          <w:rFonts w:ascii="Arial" w:hAnsi="Arial" w:cs="Arial"/>
          <w:sz w:val="22"/>
        </w:rPr>
      </w:pPr>
      <w:r>
        <w:rPr>
          <w:rFonts w:ascii="Arial" w:hAnsi="Arial" w:cs="Arial"/>
          <w:sz w:val="22"/>
        </w:rPr>
        <w:t>D 22; Sveti Ivan Žabno – Križevci – Novi Marof</w:t>
      </w:r>
    </w:p>
    <w:p w:rsidR="00012172" w:rsidRDefault="00012172">
      <w:pPr>
        <w:jc w:val="both"/>
        <w:rPr>
          <w:rFonts w:ascii="Arial" w:hAnsi="Arial" w:cs="Arial"/>
          <w:sz w:val="22"/>
        </w:rPr>
      </w:pPr>
    </w:p>
    <w:p w:rsidR="00012172" w:rsidRDefault="00012172">
      <w:pPr>
        <w:jc w:val="both"/>
        <w:rPr>
          <w:rFonts w:ascii="Arial" w:hAnsi="Arial" w:cs="Arial"/>
          <w:sz w:val="22"/>
        </w:rPr>
      </w:pPr>
      <w:r>
        <w:rPr>
          <w:rFonts w:ascii="Arial" w:hAnsi="Arial" w:cs="Arial"/>
          <w:sz w:val="22"/>
        </w:rPr>
        <w:t>županijska cesta:</w:t>
      </w:r>
    </w:p>
    <w:p w:rsidR="00012172" w:rsidRDefault="00012172">
      <w:pPr>
        <w:jc w:val="both"/>
        <w:rPr>
          <w:rFonts w:ascii="Arial" w:hAnsi="Arial" w:cs="Arial"/>
          <w:sz w:val="22"/>
        </w:rPr>
      </w:pPr>
      <w:r>
        <w:rPr>
          <w:rFonts w:ascii="Arial" w:hAnsi="Arial" w:cs="Arial"/>
          <w:sz w:val="22"/>
        </w:rPr>
        <w:t>ŽC 2244; Sudovec (ŽC 2175) – Pofuki – Bisag – ŽC 2207</w:t>
      </w:r>
    </w:p>
    <w:p w:rsidR="00012172" w:rsidRDefault="00012172">
      <w:pPr>
        <w:jc w:val="both"/>
        <w:rPr>
          <w:rFonts w:ascii="Arial" w:hAnsi="Arial" w:cs="Arial"/>
          <w:sz w:val="22"/>
        </w:rPr>
      </w:pPr>
    </w:p>
    <w:p w:rsidR="00012172" w:rsidRDefault="00012172">
      <w:pPr>
        <w:jc w:val="both"/>
        <w:rPr>
          <w:rFonts w:ascii="Arial" w:hAnsi="Arial" w:cs="Arial"/>
          <w:sz w:val="22"/>
        </w:rPr>
      </w:pPr>
      <w:r>
        <w:rPr>
          <w:rFonts w:ascii="Arial" w:hAnsi="Arial" w:cs="Arial"/>
          <w:sz w:val="22"/>
        </w:rPr>
        <w:t>lokalne ceste:</w:t>
      </w:r>
    </w:p>
    <w:p w:rsidR="00012172" w:rsidRDefault="00012172">
      <w:pPr>
        <w:jc w:val="both"/>
        <w:rPr>
          <w:rFonts w:ascii="Arial" w:hAnsi="Arial" w:cs="Arial"/>
          <w:sz w:val="22"/>
        </w:rPr>
      </w:pPr>
      <w:r>
        <w:rPr>
          <w:rFonts w:ascii="Arial" w:hAnsi="Arial" w:cs="Arial"/>
          <w:sz w:val="22"/>
        </w:rPr>
        <w:t>LC 26040; Pofuki (ŽC 2244) – Kolarec – D. Fodrovec – ŽC 3002</w:t>
      </w:r>
    </w:p>
    <w:p w:rsidR="00012172" w:rsidRDefault="00012172">
      <w:pPr>
        <w:jc w:val="both"/>
        <w:rPr>
          <w:rFonts w:ascii="Arial" w:hAnsi="Arial" w:cs="Arial"/>
          <w:sz w:val="22"/>
        </w:rPr>
      </w:pPr>
      <w:r>
        <w:rPr>
          <w:rFonts w:ascii="Arial" w:hAnsi="Arial" w:cs="Arial"/>
          <w:sz w:val="22"/>
        </w:rPr>
        <w:t>LC 26041; D22 – Kostanjevec riječki</w:t>
      </w:r>
    </w:p>
    <w:p w:rsidR="00012172" w:rsidRDefault="00012172">
      <w:pPr>
        <w:jc w:val="both"/>
        <w:rPr>
          <w:rFonts w:ascii="Arial" w:hAnsi="Arial" w:cs="Arial"/>
          <w:sz w:val="22"/>
        </w:rPr>
      </w:pPr>
      <w:r>
        <w:rPr>
          <w:rFonts w:ascii="Arial" w:hAnsi="Arial" w:cs="Arial"/>
          <w:sz w:val="22"/>
        </w:rPr>
        <w:t>LC 26042; Gornja Rijeka (D22) – Deklešanec</w:t>
      </w:r>
    </w:p>
    <w:p w:rsidR="00012172" w:rsidRDefault="00012172">
      <w:pPr>
        <w:jc w:val="both"/>
        <w:rPr>
          <w:rFonts w:ascii="Arial" w:hAnsi="Arial" w:cs="Arial"/>
          <w:sz w:val="22"/>
        </w:rPr>
      </w:pPr>
      <w:r>
        <w:rPr>
          <w:rFonts w:ascii="Arial" w:hAnsi="Arial" w:cs="Arial"/>
          <w:sz w:val="22"/>
        </w:rPr>
        <w:t>LC 26043; Gornja Rijeka (D22) – Miholec – ŽC 2176</w:t>
      </w:r>
    </w:p>
    <w:p w:rsidR="00012172" w:rsidRDefault="00012172">
      <w:pPr>
        <w:jc w:val="both"/>
        <w:rPr>
          <w:rFonts w:ascii="Arial" w:hAnsi="Arial" w:cs="Arial"/>
          <w:sz w:val="22"/>
        </w:rPr>
      </w:pPr>
      <w:r>
        <w:rPr>
          <w:rFonts w:ascii="Arial" w:hAnsi="Arial" w:cs="Arial"/>
          <w:sz w:val="22"/>
        </w:rPr>
        <w:t>LC 26044; D22 –Fajerovac (LC 26043)</w:t>
      </w:r>
    </w:p>
    <w:p w:rsidR="00012172" w:rsidRDefault="00012172">
      <w:pPr>
        <w:jc w:val="both"/>
        <w:rPr>
          <w:rFonts w:ascii="Arial" w:hAnsi="Arial" w:cs="Arial"/>
          <w:sz w:val="22"/>
        </w:rPr>
      </w:pPr>
      <w:r>
        <w:rPr>
          <w:rFonts w:ascii="Arial" w:hAnsi="Arial" w:cs="Arial"/>
          <w:sz w:val="22"/>
        </w:rPr>
        <w:t>LC 26045; Nemčevec - LC 26044</w:t>
      </w:r>
    </w:p>
    <w:p w:rsidR="00012172" w:rsidRDefault="00012172">
      <w:pPr>
        <w:jc w:val="both"/>
        <w:rPr>
          <w:rFonts w:ascii="Arial" w:hAnsi="Arial" w:cs="Arial"/>
          <w:sz w:val="22"/>
        </w:rPr>
      </w:pPr>
      <w:r>
        <w:rPr>
          <w:rFonts w:ascii="Arial" w:hAnsi="Arial" w:cs="Arial"/>
          <w:sz w:val="22"/>
        </w:rPr>
        <w:t>LC 25161; Sudovec (D22) – Vukšinec riječki – Kolarec (LC 26040)</w:t>
      </w:r>
    </w:p>
    <w:p w:rsidR="00012172" w:rsidRDefault="00012172">
      <w:pPr>
        <w:jc w:val="both"/>
      </w:pPr>
    </w:p>
    <w:p w:rsidR="00012172" w:rsidRDefault="00012172">
      <w:pPr>
        <w:jc w:val="both"/>
        <w:rPr>
          <w:rFonts w:ascii="Arial" w:hAnsi="Arial" w:cs="Arial"/>
          <w:sz w:val="22"/>
        </w:rPr>
      </w:pPr>
    </w:p>
    <w:p w:rsidR="00012172" w:rsidRDefault="00012172">
      <w:pPr>
        <w:jc w:val="both"/>
        <w:rPr>
          <w:rFonts w:ascii="Arial" w:hAnsi="Arial" w:cs="Arial"/>
          <w:sz w:val="22"/>
        </w:rPr>
      </w:pPr>
      <w:r>
        <w:rPr>
          <w:rFonts w:ascii="Arial" w:hAnsi="Arial" w:cs="Arial"/>
          <w:sz w:val="22"/>
        </w:rPr>
        <w:t>Poboljšanje cestovne mreže</w:t>
      </w:r>
    </w:p>
    <w:p w:rsidR="00012172" w:rsidRDefault="00012172">
      <w:pPr>
        <w:jc w:val="both"/>
        <w:rPr>
          <w:rFonts w:ascii="Arial" w:hAnsi="Arial" w:cs="Arial"/>
          <w:sz w:val="22"/>
        </w:rPr>
      </w:pPr>
      <w:r>
        <w:rPr>
          <w:rFonts w:ascii="Arial" w:hAnsi="Arial" w:cs="Arial"/>
          <w:sz w:val="22"/>
        </w:rPr>
        <w:t xml:space="preserve">Županijskom i lokalnim cestama na području općine Gornja Rijeka, kao i cijele Koprivničko – križevačke županije, upravlja Županijska uprava za ceste, dok su nerazvrstane ceste u nadležnosti lokalne samouprave. Radovi koji će se izvoditi na spomenutim cestama općine Gornja Rijeka su radovi na redovnom održavanju javnih cesta i cestovnog zemljišta. Za unapređenje mreže lokalnih cesta potrebno je uspostavljanje kontinuiteta funkcionalnih i sigurnih glavnih pješačkih, biciklističkih i motornih komunikacija u naseljima i u njihovoj okolici. </w:t>
      </w:r>
      <w:r w:rsidR="00437D6C">
        <w:rPr>
          <w:rFonts w:ascii="Arial" w:hAnsi="Arial" w:cs="Arial"/>
          <w:sz w:val="22"/>
        </w:rPr>
        <w:t xml:space="preserve">U planu je izgradnja ceste, po postojećim poljskim putevima, koja bi povezivala naselja Gornja Rijeka, </w:t>
      </w:r>
      <w:r w:rsidR="00F1779F">
        <w:rPr>
          <w:rFonts w:ascii="Arial" w:hAnsi="Arial" w:cs="Arial"/>
          <w:sz w:val="22"/>
        </w:rPr>
        <w:t>Kostanjevec Riječki, Kolarec, Pofuki i Vukšinec Riječki.</w:t>
      </w:r>
      <w:r w:rsidR="00437D6C">
        <w:rPr>
          <w:rFonts w:ascii="Arial" w:hAnsi="Arial" w:cs="Arial"/>
          <w:sz w:val="22"/>
        </w:rPr>
        <w:t xml:space="preserve"> </w:t>
      </w:r>
    </w:p>
    <w:p w:rsidR="00012172" w:rsidRDefault="00012172">
      <w:pPr>
        <w:jc w:val="both"/>
        <w:rPr>
          <w:rFonts w:ascii="Arial" w:hAnsi="Arial" w:cs="Arial"/>
          <w:sz w:val="22"/>
        </w:rPr>
      </w:pPr>
      <w:r>
        <w:rPr>
          <w:rFonts w:ascii="Arial" w:hAnsi="Arial" w:cs="Arial"/>
          <w:sz w:val="22"/>
        </w:rPr>
        <w:t>Rekonstrukcijom cestovne mreže potrebno je omogućiti sigurnije korištenje prometnica i to dvostrano, za kolni promet te za pješački i biciklistički promet. Potonji zahtjev naročito se odnosi na državnu cestu kroz naselje Gornja Rijeka kojom se dnevno koriste školska djeca na putu do škole, a isto vrijedi i za prometnicu u naselju Kolarec.</w:t>
      </w:r>
    </w:p>
    <w:p w:rsidR="00012172" w:rsidRDefault="00012172">
      <w:pPr>
        <w:jc w:val="both"/>
        <w:rPr>
          <w:rFonts w:ascii="Arial" w:hAnsi="Arial" w:cs="Arial"/>
          <w:sz w:val="22"/>
        </w:rPr>
      </w:pPr>
      <w:r>
        <w:rPr>
          <w:rFonts w:ascii="Arial" w:hAnsi="Arial" w:cs="Arial"/>
          <w:sz w:val="22"/>
        </w:rPr>
        <w:t xml:space="preserve">Dugoročno se planira izgradnja </w:t>
      </w:r>
      <w:r w:rsidR="00437D6C">
        <w:rPr>
          <w:rFonts w:ascii="Arial" w:hAnsi="Arial" w:cs="Arial"/>
          <w:sz w:val="22"/>
        </w:rPr>
        <w:t>obilazne ceste</w:t>
      </w:r>
      <w:r>
        <w:rPr>
          <w:rFonts w:ascii="Arial" w:hAnsi="Arial" w:cs="Arial"/>
          <w:sz w:val="22"/>
        </w:rPr>
        <w:t xml:space="preserve"> </w:t>
      </w:r>
      <w:r w:rsidR="00437D6C">
        <w:rPr>
          <w:rFonts w:ascii="Arial" w:hAnsi="Arial" w:cs="Arial"/>
          <w:sz w:val="22"/>
        </w:rPr>
        <w:t xml:space="preserve">centra </w:t>
      </w:r>
      <w:r>
        <w:rPr>
          <w:rFonts w:ascii="Arial" w:hAnsi="Arial" w:cs="Arial"/>
          <w:sz w:val="22"/>
        </w:rPr>
        <w:t>naselja Gornja Rijeka, kako bi se tranzitni promet preusmjerio iz samog centra naselja.</w:t>
      </w:r>
      <w:r w:rsidR="00437D6C">
        <w:rPr>
          <w:rFonts w:ascii="Arial" w:hAnsi="Arial" w:cs="Arial"/>
          <w:sz w:val="22"/>
        </w:rPr>
        <w:t xml:space="preserve"> </w:t>
      </w:r>
    </w:p>
    <w:p w:rsidR="00012172" w:rsidRDefault="00012172">
      <w:pPr>
        <w:rPr>
          <w:rFonts w:ascii="Arial" w:hAnsi="Arial" w:cs="Arial"/>
          <w:sz w:val="22"/>
        </w:rPr>
      </w:pPr>
    </w:p>
    <w:p w:rsidR="00012172" w:rsidRDefault="00012172">
      <w:pPr>
        <w:rPr>
          <w:rFonts w:ascii="Arial" w:hAnsi="Arial" w:cs="Arial"/>
          <w:sz w:val="22"/>
        </w:rPr>
      </w:pPr>
    </w:p>
    <w:p w:rsidR="00012172" w:rsidRDefault="00012172">
      <w:pPr>
        <w:numPr>
          <w:ilvl w:val="0"/>
          <w:numId w:val="3"/>
        </w:numPr>
        <w:jc w:val="both"/>
        <w:rPr>
          <w:rFonts w:ascii="Arial" w:hAnsi="Arial" w:cs="Arial"/>
          <w:b/>
          <w:bCs/>
          <w:sz w:val="22"/>
        </w:rPr>
      </w:pPr>
      <w:r>
        <w:rPr>
          <w:rFonts w:ascii="Arial" w:hAnsi="Arial" w:cs="Arial"/>
          <w:b/>
          <w:bCs/>
          <w:sz w:val="22"/>
        </w:rPr>
        <w:t>Telekomunikacije</w:t>
      </w:r>
    </w:p>
    <w:p w:rsidR="00012172" w:rsidRDefault="00012172">
      <w:pPr>
        <w:jc w:val="both"/>
        <w:rPr>
          <w:rFonts w:ascii="Arial" w:hAnsi="Arial" w:cs="Arial"/>
          <w:sz w:val="22"/>
        </w:rPr>
      </w:pPr>
      <w:r>
        <w:rPr>
          <w:rFonts w:ascii="Arial" w:hAnsi="Arial" w:cs="Arial"/>
          <w:sz w:val="22"/>
          <w:szCs w:val="22"/>
        </w:rPr>
        <w:t xml:space="preserve">U području fiksne telefonije mjesna telefonska centrala (UPS) postavljena je u naselju Gornja Rijeka. </w:t>
      </w:r>
      <w:r>
        <w:rPr>
          <w:rFonts w:ascii="Arial" w:hAnsi="Arial" w:cs="Arial"/>
          <w:sz w:val="22"/>
        </w:rPr>
        <w:t>Dugoročno se planira osiguranje kvalitetne usluge u korištenju fiksne mreže telefonije u svim naseljima. Očekuje se daljnji razvoj povećanja kvalitete usluga sukladno interesu potencijalnih korisnika. U 2008. godini planirano je instaliranje potrebne opreme za pružanje ADSL usluga.</w:t>
      </w:r>
    </w:p>
    <w:p w:rsidR="00012172" w:rsidRDefault="00012172">
      <w:pPr>
        <w:jc w:val="both"/>
        <w:rPr>
          <w:rFonts w:ascii="Arial" w:hAnsi="Arial" w:cs="Arial"/>
          <w:sz w:val="22"/>
          <w:szCs w:val="22"/>
        </w:rPr>
      </w:pPr>
    </w:p>
    <w:p w:rsidR="00012172" w:rsidRDefault="00012172">
      <w:pPr>
        <w:jc w:val="both"/>
        <w:rPr>
          <w:rFonts w:ascii="Arial" w:hAnsi="Arial" w:cs="Arial"/>
          <w:sz w:val="22"/>
          <w:szCs w:val="22"/>
        </w:rPr>
      </w:pPr>
      <w:r>
        <w:rPr>
          <w:rFonts w:ascii="Arial" w:hAnsi="Arial" w:cs="Arial"/>
          <w:sz w:val="22"/>
          <w:szCs w:val="22"/>
        </w:rPr>
        <w:t>U dotičnom području niti jedan od mobilnih operatera nema postojećih baznih stanica ali postoji mogućnost izgradnje istih i proširenja mreže.</w:t>
      </w:r>
    </w:p>
    <w:p w:rsidR="00012172" w:rsidRDefault="00012172">
      <w:pPr>
        <w:jc w:val="both"/>
        <w:rPr>
          <w:rFonts w:ascii="Arial" w:hAnsi="Arial" w:cs="Arial"/>
          <w:sz w:val="22"/>
          <w:szCs w:val="22"/>
        </w:rPr>
      </w:pPr>
      <w:r>
        <w:rPr>
          <w:rFonts w:ascii="Arial" w:hAnsi="Arial" w:cs="Arial"/>
          <w:sz w:val="22"/>
          <w:szCs w:val="22"/>
        </w:rPr>
        <w:t>U razvoju postojećih javnih sustava pokretnih komunikacija planira se daljnje poboljšanje pokrivanja, povećanje kapaciteta mreža i uvođenje novih usluga i tehnologija (UMTS i sustavi sljedećih generacija) prema planiranom povećanju broja korisnika.</w:t>
      </w:r>
    </w:p>
    <w:p w:rsidR="00012172" w:rsidRDefault="00012172">
      <w:pPr>
        <w:jc w:val="both"/>
        <w:rPr>
          <w:rFonts w:ascii="Arial" w:hAnsi="Arial" w:cs="Arial"/>
          <w:sz w:val="22"/>
          <w:szCs w:val="22"/>
        </w:rPr>
      </w:pPr>
      <w:r>
        <w:rPr>
          <w:rFonts w:ascii="Arial" w:hAnsi="Arial" w:cs="Arial"/>
          <w:sz w:val="22"/>
          <w:szCs w:val="22"/>
        </w:rPr>
        <w:t>T-Mobile na području općine planira izgradnju dvije bazne stanice, u blizini naselja Deklešanec i Fodrovec Riječki.</w:t>
      </w:r>
    </w:p>
    <w:p w:rsidR="00012172" w:rsidRDefault="00012172">
      <w:pPr>
        <w:jc w:val="both"/>
        <w:rPr>
          <w:rFonts w:ascii="Arial" w:hAnsi="Arial" w:cs="Arial"/>
          <w:sz w:val="22"/>
        </w:rPr>
      </w:pPr>
      <w:r>
        <w:rPr>
          <w:rFonts w:ascii="Arial" w:hAnsi="Arial" w:cs="Arial"/>
          <w:sz w:val="22"/>
        </w:rPr>
        <w:t>Za stupove mobilne telekomunikacijske mreže mogu se koristiti parcele izvan građevinskog područja naselja,</w:t>
      </w:r>
      <w:r>
        <w:rPr>
          <w:rStyle w:val="glavnitekst1"/>
          <w:rFonts w:ascii="Times New Roman" w:hAnsi="Times New Roman" w:cs="Times New Roman"/>
          <w:b w:val="0"/>
          <w:bCs w:val="0"/>
          <w:color w:val="auto"/>
          <w:sz w:val="22"/>
        </w:rPr>
        <w:t xml:space="preserve"> </w:t>
      </w:r>
      <w:r>
        <w:rPr>
          <w:rStyle w:val="glavnitekst1"/>
          <w:b w:val="0"/>
          <w:bCs w:val="0"/>
          <w:color w:val="auto"/>
          <w:sz w:val="22"/>
        </w:rPr>
        <w:t xml:space="preserve">unutar naselja, izuzev smještaja uz ili na sakralne građevine te evidentirane i zaštićene objekte kulture </w:t>
      </w:r>
      <w:r>
        <w:rPr>
          <w:rFonts w:ascii="Arial" w:hAnsi="Arial" w:cs="Arial"/>
          <w:sz w:val="22"/>
        </w:rPr>
        <w:t>ili unutar industrijskih zona u skladu s racionalnim korištenjem i zaštitom prostora. Operateri će ubuduće na stupove mobilne telekomunikacijske mreže zajedno postavljati opremu za sve mreže (T-mobile, VIP i sl.) zbog racionalnog korištenja prostora, gdje god je to moguće. Nije dozvoljena izgradnja stupova mobilne telekomunikacijske mreže i sličnih građevina na osobito vrijednim predjelima – prirodni krajobraz te na mjestima gdje bi zaklanjali panoramske vrijednosti naselja.</w:t>
      </w:r>
    </w:p>
    <w:p w:rsidR="00012172" w:rsidRDefault="00012172">
      <w:pPr>
        <w:jc w:val="both"/>
        <w:rPr>
          <w:rFonts w:ascii="Arial" w:hAnsi="Arial" w:cs="Arial"/>
          <w:b/>
          <w:bCs/>
          <w:sz w:val="22"/>
        </w:rPr>
      </w:pPr>
    </w:p>
    <w:p w:rsidR="00012172" w:rsidRDefault="00012172">
      <w:pPr>
        <w:jc w:val="both"/>
        <w:rPr>
          <w:rFonts w:ascii="Arial" w:hAnsi="Arial" w:cs="Arial"/>
          <w:b/>
          <w:bCs/>
          <w:sz w:val="22"/>
        </w:rPr>
      </w:pPr>
      <w:r>
        <w:rPr>
          <w:rFonts w:ascii="Arial" w:hAnsi="Arial" w:cs="Arial"/>
          <w:b/>
          <w:bCs/>
          <w:sz w:val="22"/>
        </w:rPr>
        <w:t>e) Pošta</w:t>
      </w:r>
    </w:p>
    <w:p w:rsidR="00012172" w:rsidRDefault="00012172">
      <w:pPr>
        <w:jc w:val="both"/>
        <w:rPr>
          <w:rFonts w:ascii="Arial" w:hAnsi="Arial" w:cs="Arial"/>
          <w:b/>
          <w:bCs/>
          <w:sz w:val="22"/>
        </w:rPr>
      </w:pPr>
      <w:r>
        <w:rPr>
          <w:rFonts w:ascii="Arial" w:hAnsi="Arial" w:cs="Arial"/>
          <w:sz w:val="22"/>
          <w:szCs w:val="22"/>
        </w:rPr>
        <w:t xml:space="preserve">Poštanski ured smješten u središtu naselja Gornja Rijeka obavlja poštanske usluge za područje čitave općine. Broj pošte Gornja Rijeka je 48268. </w:t>
      </w:r>
      <w:r>
        <w:rPr>
          <w:rFonts w:ascii="Arial" w:hAnsi="Arial" w:cs="Arial"/>
          <w:sz w:val="22"/>
        </w:rPr>
        <w:t>Ured udovoljava potrebama poštanskih usluga te prema sadašnjim pokazateljima ne postoji potreba za otvaranjem novih poštanskih ureda na području općine.</w:t>
      </w:r>
    </w:p>
    <w:p w:rsidR="00012172" w:rsidRDefault="00012172">
      <w:pPr>
        <w:pStyle w:val="Opisslike"/>
        <w:rPr>
          <w:b/>
        </w:rPr>
      </w:pPr>
    </w:p>
    <w:p w:rsidR="00012172" w:rsidRDefault="00012172"/>
    <w:p w:rsidR="00012172" w:rsidRDefault="00012172">
      <w:pPr>
        <w:pStyle w:val="Naslov3"/>
      </w:pPr>
      <w:bookmarkStart w:id="58" w:name="_Toc95140606"/>
      <w:r>
        <w:t>3.5.2. Energetski sustav</w:t>
      </w:r>
      <w:bookmarkEnd w:id="58"/>
      <w:r>
        <w:t xml:space="preserve"> </w:t>
      </w:r>
    </w:p>
    <w:p w:rsidR="00012172" w:rsidRDefault="00012172">
      <w:pPr>
        <w:jc w:val="both"/>
        <w:rPr>
          <w:rFonts w:ascii="Arial" w:hAnsi="Arial" w:cs="Arial"/>
          <w:sz w:val="22"/>
        </w:rPr>
      </w:pPr>
      <w:r>
        <w:rPr>
          <w:rFonts w:ascii="Arial" w:hAnsi="Arial" w:cs="Arial"/>
          <w:sz w:val="22"/>
        </w:rPr>
        <w:t>Lokalni interes u odnosu na razvoj mreža i korištenje energetskog sustava je u osiguranju kvalitetne usluge opskrbe električnom energijom za sva domaćinstva na području Općine, a posebno u gospodarskim zonama.</w:t>
      </w:r>
    </w:p>
    <w:p w:rsidR="00012172" w:rsidRDefault="00012172">
      <w:pPr>
        <w:rPr>
          <w:rFonts w:ascii="Arial" w:hAnsi="Arial" w:cs="Arial"/>
          <w:sz w:val="22"/>
          <w:szCs w:val="22"/>
        </w:rPr>
      </w:pPr>
    </w:p>
    <w:p w:rsidR="00012172" w:rsidRDefault="00012172">
      <w:pPr>
        <w:rPr>
          <w:rFonts w:ascii="Arial" w:hAnsi="Arial" w:cs="Arial"/>
          <w:sz w:val="22"/>
          <w:szCs w:val="22"/>
        </w:rPr>
      </w:pPr>
    </w:p>
    <w:p w:rsidR="00012172" w:rsidRDefault="00012172">
      <w:pPr>
        <w:numPr>
          <w:ilvl w:val="0"/>
          <w:numId w:val="33"/>
        </w:numPr>
        <w:rPr>
          <w:rFonts w:ascii="Arial" w:hAnsi="Arial" w:cs="Arial"/>
          <w:b/>
          <w:bCs/>
          <w:sz w:val="22"/>
        </w:rPr>
      </w:pPr>
      <w:r>
        <w:rPr>
          <w:rFonts w:ascii="Arial" w:hAnsi="Arial" w:cs="Arial"/>
          <w:b/>
          <w:bCs/>
          <w:sz w:val="22"/>
        </w:rPr>
        <w:t>Elektroopskrba</w:t>
      </w:r>
    </w:p>
    <w:p w:rsidR="00012172" w:rsidRDefault="00012172">
      <w:pPr>
        <w:rPr>
          <w:rFonts w:ascii="Arial" w:hAnsi="Arial" w:cs="Arial"/>
          <w:sz w:val="22"/>
        </w:rPr>
      </w:pPr>
    </w:p>
    <w:p w:rsidR="00012172" w:rsidRDefault="00012172">
      <w:pPr>
        <w:jc w:val="both"/>
        <w:rPr>
          <w:rFonts w:ascii="Arial" w:hAnsi="Arial" w:cs="Arial"/>
          <w:sz w:val="22"/>
        </w:rPr>
      </w:pPr>
      <w:r>
        <w:rPr>
          <w:rFonts w:ascii="Arial" w:hAnsi="Arial" w:cs="Arial"/>
          <w:sz w:val="22"/>
        </w:rPr>
        <w:t>Na cijelom području Općine opskrbu električnom energijom vrši jedan distributer HEP d.d. DP ''Elektra'' Bjelovar – Pogon Križevci.</w:t>
      </w:r>
    </w:p>
    <w:p w:rsidR="00012172" w:rsidRDefault="00012172">
      <w:pPr>
        <w:jc w:val="both"/>
        <w:rPr>
          <w:rFonts w:ascii="Arial" w:hAnsi="Arial" w:cs="Arial"/>
          <w:sz w:val="22"/>
        </w:rPr>
      </w:pPr>
      <w:r>
        <w:rPr>
          <w:rFonts w:ascii="Arial" w:hAnsi="Arial" w:cs="Arial"/>
          <w:sz w:val="22"/>
        </w:rPr>
        <w:t>Niskonaponske mreže u svim naseljima općine su većim dijelom rekonstruirane i u dobrom su stanju. Kompletna mreža izgrađena je nadzemno, uglavnom na drvenim i betonskim stupovima i samonosivim kabelskim snopom. Dio mreža potrebno je rekonstruirati, što je u planu najkasnije do 2010. godine.</w:t>
      </w:r>
    </w:p>
    <w:p w:rsidR="00012172" w:rsidRDefault="00012172">
      <w:pPr>
        <w:jc w:val="both"/>
        <w:rPr>
          <w:rFonts w:ascii="Arial" w:hAnsi="Arial" w:cs="Arial"/>
          <w:sz w:val="22"/>
        </w:rPr>
      </w:pPr>
    </w:p>
    <w:p w:rsidR="00012172" w:rsidRDefault="00012172">
      <w:pPr>
        <w:jc w:val="both"/>
        <w:rPr>
          <w:rFonts w:ascii="Arial" w:hAnsi="Arial" w:cs="Arial"/>
          <w:sz w:val="22"/>
        </w:rPr>
      </w:pPr>
      <w:r>
        <w:rPr>
          <w:rFonts w:ascii="Arial" w:hAnsi="Arial" w:cs="Arial"/>
          <w:sz w:val="22"/>
        </w:rPr>
        <w:t>U narednom razdoblju HEP d.d. DP ''Elektra'' Bjelovar – Pogon Križevci s ciljem poboljšanja kvalitete opskrbe električnom energijom planira slijedeće:</w:t>
      </w:r>
    </w:p>
    <w:p w:rsidR="00012172" w:rsidRDefault="00012172">
      <w:pPr>
        <w:numPr>
          <w:ilvl w:val="0"/>
          <w:numId w:val="34"/>
        </w:numPr>
        <w:jc w:val="both"/>
        <w:rPr>
          <w:rFonts w:ascii="Arial" w:hAnsi="Arial" w:cs="Arial"/>
          <w:sz w:val="22"/>
        </w:rPr>
      </w:pPr>
      <w:r>
        <w:rPr>
          <w:rFonts w:ascii="Arial" w:hAnsi="Arial" w:cs="Arial"/>
          <w:sz w:val="22"/>
        </w:rPr>
        <w:t>rekonstruirati dijelove niskonaponskih mreža na kojima su loše naponske prilike te potrošačima isporučiti kvalitetan napon,</w:t>
      </w:r>
    </w:p>
    <w:p w:rsidR="00012172" w:rsidRDefault="00012172">
      <w:pPr>
        <w:numPr>
          <w:ilvl w:val="0"/>
          <w:numId w:val="34"/>
        </w:numPr>
        <w:jc w:val="both"/>
        <w:rPr>
          <w:rFonts w:ascii="Arial" w:hAnsi="Arial" w:cs="Arial"/>
          <w:sz w:val="22"/>
        </w:rPr>
      </w:pPr>
      <w:r>
        <w:rPr>
          <w:rFonts w:ascii="Arial" w:hAnsi="Arial" w:cs="Arial"/>
          <w:sz w:val="22"/>
        </w:rPr>
        <w:t xml:space="preserve">izgradnju nove TS 10(20)/0.4 kV Donja Rijeka II za potrebe buduće klaonice, te prespajanja dijela postojeće NNM – plan </w:t>
      </w:r>
      <w:smartTag w:uri="urn:schemas-microsoft-com:office:smarttags" w:element="metricconverter">
        <w:smartTagPr>
          <w:attr w:name="ProductID" w:val="2007 g"/>
        </w:smartTagPr>
        <w:r>
          <w:rPr>
            <w:rFonts w:ascii="Arial" w:hAnsi="Arial" w:cs="Arial"/>
            <w:sz w:val="22"/>
          </w:rPr>
          <w:t>2007 g</w:t>
        </w:r>
      </w:smartTag>
      <w:r>
        <w:rPr>
          <w:rFonts w:ascii="Arial" w:hAnsi="Arial" w:cs="Arial"/>
          <w:sz w:val="22"/>
        </w:rPr>
        <w:t>.,</w:t>
      </w:r>
    </w:p>
    <w:p w:rsidR="00012172" w:rsidRDefault="00012172">
      <w:pPr>
        <w:numPr>
          <w:ilvl w:val="0"/>
          <w:numId w:val="34"/>
        </w:numPr>
        <w:jc w:val="both"/>
        <w:rPr>
          <w:rFonts w:ascii="Arial" w:hAnsi="Arial" w:cs="Arial"/>
          <w:sz w:val="22"/>
        </w:rPr>
      </w:pPr>
      <w:r>
        <w:rPr>
          <w:rFonts w:ascii="Arial" w:hAnsi="Arial" w:cs="Arial"/>
          <w:sz w:val="22"/>
        </w:rPr>
        <w:t>izgradnju nove TS 10(20)/0.4 kV Mali Sudovec radi sanacije naponskih prilika – plan 2006-</w:t>
      </w:r>
      <w:smartTag w:uri="urn:schemas-microsoft-com:office:smarttags" w:element="metricconverter">
        <w:smartTagPr>
          <w:attr w:name="ProductID" w:val="2007. g"/>
        </w:smartTagPr>
        <w:r>
          <w:rPr>
            <w:rFonts w:ascii="Arial" w:hAnsi="Arial" w:cs="Arial"/>
            <w:sz w:val="22"/>
          </w:rPr>
          <w:t>2007. g</w:t>
        </w:r>
      </w:smartTag>
      <w:r>
        <w:rPr>
          <w:rFonts w:ascii="Arial" w:hAnsi="Arial" w:cs="Arial"/>
          <w:sz w:val="22"/>
        </w:rPr>
        <w:t>.,</w:t>
      </w:r>
    </w:p>
    <w:p w:rsidR="00012172" w:rsidRDefault="00012172">
      <w:pPr>
        <w:numPr>
          <w:ilvl w:val="0"/>
          <w:numId w:val="34"/>
        </w:numPr>
        <w:jc w:val="both"/>
        <w:rPr>
          <w:rFonts w:ascii="Arial" w:hAnsi="Arial" w:cs="Arial"/>
          <w:sz w:val="22"/>
        </w:rPr>
      </w:pPr>
      <w:r>
        <w:rPr>
          <w:rFonts w:ascii="Arial" w:hAnsi="Arial" w:cs="Arial"/>
          <w:sz w:val="22"/>
        </w:rPr>
        <w:t>ukoliko se pojavi interes na području naselja općine, omogućiti snabdijevanje el. energijom novih potrošača  i novih objekata.</w:t>
      </w:r>
    </w:p>
    <w:p w:rsidR="00012172" w:rsidRDefault="00012172">
      <w:pPr>
        <w:rPr>
          <w:rFonts w:ascii="Arial" w:hAnsi="Arial" w:cs="Arial"/>
          <w:sz w:val="22"/>
        </w:rPr>
      </w:pPr>
    </w:p>
    <w:p w:rsidR="00012172" w:rsidRDefault="00012172">
      <w:pPr>
        <w:jc w:val="both"/>
        <w:rPr>
          <w:rFonts w:ascii="Arial" w:hAnsi="Arial" w:cs="Arial"/>
          <w:sz w:val="22"/>
          <w:szCs w:val="22"/>
        </w:rPr>
      </w:pPr>
      <w:r>
        <w:rPr>
          <w:rFonts w:ascii="Arial" w:hAnsi="Arial" w:cs="Arial"/>
          <w:sz w:val="22"/>
        </w:rPr>
        <w:t>Prilikom rekonstrukcije električne mreže, r</w:t>
      </w:r>
      <w:r>
        <w:rPr>
          <w:rFonts w:ascii="Arial" w:hAnsi="Arial" w:cs="Arial"/>
          <w:sz w:val="22"/>
          <w:szCs w:val="22"/>
        </w:rPr>
        <w:t>adi racionalnijeg korištenja prostora, zračnu niskonaponsku mrežu unutar naselja potrebno je voditi jednostrano unutar koridora ulica, a samo iznimno obostrano, dok je podzemnu kabelsku niskonaponsku mrežu poželjno voditi obostrano. Isti koridor za potrebe niskonaponske mreže potrebno je koristiti i za javnu rasvjetu. Transformatorske stanice, osim ako nisu u sastavu</w:t>
      </w:r>
      <w:r>
        <w:rPr>
          <w:rFonts w:ascii="Arial" w:hAnsi="Arial" w:cs="Arial"/>
          <w:szCs w:val="22"/>
        </w:rPr>
        <w:t xml:space="preserve"> građevina gospodarske ili </w:t>
      </w:r>
      <w:r>
        <w:rPr>
          <w:rFonts w:ascii="Arial" w:hAnsi="Arial" w:cs="Arial"/>
          <w:sz w:val="22"/>
          <w:szCs w:val="22"/>
        </w:rPr>
        <w:t>društvene namjene, trebaju se graditi na vlastitim građevnim česticama, na način da ne narušavaju urbanu strukturu naselja i ne smetaju prometu.</w:t>
      </w:r>
    </w:p>
    <w:p w:rsidR="00012172" w:rsidRDefault="00012172">
      <w:pPr>
        <w:rPr>
          <w:rFonts w:ascii="Arial" w:hAnsi="Arial" w:cs="Arial"/>
          <w:b/>
          <w:bCs/>
          <w:sz w:val="22"/>
        </w:rPr>
      </w:pPr>
    </w:p>
    <w:p w:rsidR="00012172" w:rsidRDefault="00012172">
      <w:pPr>
        <w:rPr>
          <w:rFonts w:ascii="Arial" w:hAnsi="Arial" w:cs="Arial"/>
          <w:b/>
          <w:bCs/>
          <w:sz w:val="22"/>
        </w:rPr>
      </w:pPr>
      <w:r>
        <w:rPr>
          <w:rFonts w:ascii="Arial" w:hAnsi="Arial" w:cs="Arial"/>
          <w:b/>
          <w:bCs/>
          <w:sz w:val="22"/>
        </w:rPr>
        <w:t>b) Plinoopskrba</w:t>
      </w:r>
    </w:p>
    <w:p w:rsidR="00012172" w:rsidRDefault="00012172">
      <w:pPr>
        <w:jc w:val="both"/>
        <w:rPr>
          <w:rFonts w:ascii="Arial" w:hAnsi="Arial" w:cs="Arial"/>
          <w:bCs/>
          <w:sz w:val="22"/>
          <w:szCs w:val="22"/>
        </w:rPr>
      </w:pPr>
      <w:r>
        <w:rPr>
          <w:rFonts w:ascii="Arial" w:hAnsi="Arial" w:cs="Arial"/>
          <w:bCs/>
          <w:sz w:val="22"/>
          <w:szCs w:val="22"/>
        </w:rPr>
        <w:t>Na području općine Gornja Rijeka nema instaliranih uređaja i opreme plinskog distribucijskog sustava, niti je u dogledno vrijeme planirana izgradnja istih.</w:t>
      </w:r>
    </w:p>
    <w:p w:rsidR="00012172" w:rsidRDefault="00012172">
      <w:pPr>
        <w:jc w:val="both"/>
        <w:rPr>
          <w:rFonts w:ascii="Arial" w:hAnsi="Arial" w:cs="Arial"/>
          <w:bCs/>
          <w:szCs w:val="22"/>
        </w:rPr>
      </w:pPr>
    </w:p>
    <w:p w:rsidR="00012172" w:rsidRDefault="00012172">
      <w:pPr>
        <w:jc w:val="both"/>
        <w:rPr>
          <w:rFonts w:ascii="Arial" w:hAnsi="Arial" w:cs="Arial"/>
          <w:bCs/>
          <w:szCs w:val="22"/>
        </w:rPr>
      </w:pPr>
    </w:p>
    <w:p w:rsidR="00012172" w:rsidRDefault="00012172">
      <w:pPr>
        <w:jc w:val="both"/>
        <w:rPr>
          <w:rFonts w:ascii="Arial" w:hAnsi="Arial" w:cs="Arial"/>
          <w:bCs/>
          <w:szCs w:val="22"/>
        </w:rPr>
      </w:pPr>
    </w:p>
    <w:p w:rsidR="00012172" w:rsidRDefault="00012172">
      <w:pPr>
        <w:jc w:val="both"/>
        <w:rPr>
          <w:rFonts w:ascii="Arial" w:hAnsi="Arial" w:cs="Arial"/>
          <w:bCs/>
          <w:szCs w:val="22"/>
        </w:rPr>
      </w:pPr>
    </w:p>
    <w:p w:rsidR="00012172" w:rsidRDefault="00012172">
      <w:pPr>
        <w:jc w:val="both"/>
        <w:rPr>
          <w:rFonts w:ascii="Arial" w:hAnsi="Arial" w:cs="Arial"/>
          <w:bCs/>
          <w:szCs w:val="22"/>
        </w:rPr>
      </w:pPr>
    </w:p>
    <w:p w:rsidR="00012172" w:rsidRDefault="00012172">
      <w:pPr>
        <w:jc w:val="both"/>
        <w:rPr>
          <w:rFonts w:ascii="Arial" w:hAnsi="Arial" w:cs="Arial"/>
          <w:bCs/>
          <w:szCs w:val="22"/>
        </w:rPr>
      </w:pPr>
    </w:p>
    <w:p w:rsidR="00012172" w:rsidRDefault="00012172">
      <w:pPr>
        <w:jc w:val="both"/>
        <w:rPr>
          <w:rFonts w:ascii="Arial" w:hAnsi="Arial" w:cs="Arial"/>
          <w:b/>
          <w:bCs/>
          <w:sz w:val="22"/>
        </w:rPr>
      </w:pPr>
    </w:p>
    <w:p w:rsidR="00012172" w:rsidRDefault="00012172">
      <w:pPr>
        <w:pStyle w:val="Naslov3"/>
      </w:pPr>
      <w:bookmarkStart w:id="59" w:name="_Toc95140607"/>
      <w:r>
        <w:t>3.5.3. Vodnogospodarski sustav (vodoopskrba, odvodnja, uređenje vodotoka i voda, melioracijska odvodnja)</w:t>
      </w:r>
      <w:bookmarkEnd w:id="59"/>
      <w:r>
        <w:t xml:space="preserve"> </w:t>
      </w:r>
    </w:p>
    <w:p w:rsidR="00012172" w:rsidRDefault="00012172">
      <w:pPr>
        <w:rPr>
          <w:rFonts w:ascii="Arial" w:hAnsi="Arial" w:cs="Arial"/>
          <w:sz w:val="22"/>
          <w:szCs w:val="22"/>
        </w:rPr>
      </w:pPr>
    </w:p>
    <w:p w:rsidR="00012172" w:rsidRDefault="00012172">
      <w:pPr>
        <w:rPr>
          <w:rFonts w:ascii="Arial" w:hAnsi="Arial" w:cs="Arial"/>
          <w:sz w:val="22"/>
          <w:szCs w:val="22"/>
        </w:rPr>
      </w:pPr>
    </w:p>
    <w:p w:rsidR="00012172" w:rsidRDefault="00012172">
      <w:pPr>
        <w:jc w:val="both"/>
        <w:rPr>
          <w:rFonts w:ascii="Arial" w:hAnsi="Arial" w:cs="Arial"/>
          <w:b/>
          <w:bCs/>
          <w:sz w:val="22"/>
        </w:rPr>
      </w:pPr>
      <w:r>
        <w:rPr>
          <w:rFonts w:ascii="Arial" w:hAnsi="Arial" w:cs="Arial"/>
          <w:b/>
          <w:bCs/>
          <w:sz w:val="22"/>
        </w:rPr>
        <w:t>a) Vodoopskrba</w:t>
      </w:r>
    </w:p>
    <w:p w:rsidR="00012172" w:rsidRDefault="00012172">
      <w:pPr>
        <w:jc w:val="both"/>
        <w:rPr>
          <w:rFonts w:ascii="Arial" w:hAnsi="Arial" w:cs="Arial"/>
          <w:sz w:val="22"/>
        </w:rPr>
      </w:pPr>
      <w:r>
        <w:rPr>
          <w:rFonts w:ascii="Arial" w:hAnsi="Arial" w:cs="Arial"/>
          <w:sz w:val="22"/>
        </w:rPr>
        <w:t xml:space="preserve">Kako bi se osigurao daljnji nesmetani razvitak vodoopskrbe na području općine prioritetni zahvat je završetak izgradnje planiranih magistralnih cjevovoda, kako bi se </w:t>
      </w:r>
    </w:p>
    <w:p w:rsidR="00012172" w:rsidRDefault="00012172">
      <w:pPr>
        <w:jc w:val="both"/>
        <w:rPr>
          <w:rFonts w:ascii="Arial" w:hAnsi="Arial" w:cs="Arial"/>
          <w:sz w:val="22"/>
        </w:rPr>
      </w:pPr>
      <w:r>
        <w:rPr>
          <w:rFonts w:ascii="Arial" w:hAnsi="Arial" w:cs="Arial"/>
          <w:sz w:val="22"/>
        </w:rPr>
        <w:t>uspostavili zadovoljavajući uvjeti vodoopskrbe i protupožarne zaštite u predstojećem planskom razdoblju.</w:t>
      </w:r>
    </w:p>
    <w:p w:rsidR="00012172" w:rsidRDefault="00012172">
      <w:pPr>
        <w:jc w:val="both"/>
        <w:rPr>
          <w:rFonts w:ascii="Arial" w:hAnsi="Arial" w:cs="Arial"/>
          <w:sz w:val="22"/>
        </w:rPr>
      </w:pPr>
      <w:r>
        <w:rPr>
          <w:rFonts w:ascii="Arial" w:hAnsi="Arial" w:cs="Arial"/>
          <w:sz w:val="22"/>
        </w:rPr>
        <w:t xml:space="preserve">Od planiranih zahvata na području općine je izgradnja vodospreme ''Deklešanec'', zapremine </w:t>
      </w:r>
      <w:smartTag w:uri="urn:schemas-microsoft-com:office:smarttags" w:element="metricconverter">
        <w:smartTagPr>
          <w:attr w:name="ProductID" w:val="150 m3"/>
        </w:smartTagPr>
        <w:r>
          <w:rPr>
            <w:rFonts w:ascii="Arial" w:hAnsi="Arial" w:cs="Arial"/>
            <w:sz w:val="22"/>
          </w:rPr>
          <w:t>150 m</w:t>
        </w:r>
        <w:r>
          <w:rPr>
            <w:rFonts w:ascii="Arial" w:hAnsi="Arial" w:cs="Arial"/>
            <w:sz w:val="22"/>
            <w:vertAlign w:val="superscript"/>
          </w:rPr>
          <w:t>3</w:t>
        </w:r>
      </w:smartTag>
      <w:r>
        <w:rPr>
          <w:rFonts w:ascii="Arial" w:hAnsi="Arial" w:cs="Arial"/>
          <w:sz w:val="22"/>
        </w:rPr>
        <w:t>, te crpne stanice Donja Rijeka kapaciteta 5 l/s, koje bi se interpolirale u cjelokupni vodoopskrbni sustav općine.</w:t>
      </w:r>
    </w:p>
    <w:p w:rsidR="00012172" w:rsidRDefault="00012172">
      <w:pPr>
        <w:autoSpaceDE w:val="0"/>
        <w:autoSpaceDN w:val="0"/>
        <w:adjustRightInd w:val="0"/>
        <w:jc w:val="both"/>
        <w:rPr>
          <w:rFonts w:ascii="Arial" w:hAnsi="Arial" w:cs="Arial"/>
          <w:sz w:val="22"/>
        </w:rPr>
      </w:pPr>
      <w:r>
        <w:rPr>
          <w:rFonts w:ascii="Arial" w:hAnsi="Arial" w:cs="Arial"/>
          <w:sz w:val="22"/>
        </w:rPr>
        <w:t>Prema planiranom budućem rješenju, a koje je zacrtano Novelacijom Studije koncepcije razvitka vodoopskrbnog sustava Koprivničko – križevačke županije, opskrba vodom područja općine Sveti Petar Orehovec i Gornja  Rijeka obavljala bi se na temelju produženja vodoopskrbnog sustava vezanog na vodospremnik "Dedina" (koji je interpoliran uz dobavni sustav "Vratno - Križevci") s položajem magistralnog dovoda od naselja Sveti Petar Orehovec, uz postojeću cestovnu prometnicu prema naseljima Donja Rijeka, Selnica Miholečka, Lukačevec, Barlabaševec  te uz interpolaciju precrpne stanice “Donja Rijeka” i završnu otpremu vode prema planiranom vodospremniku “Deklešanec”.</w:t>
      </w:r>
    </w:p>
    <w:p w:rsidR="00012172" w:rsidRDefault="00012172">
      <w:pPr>
        <w:jc w:val="both"/>
        <w:rPr>
          <w:rFonts w:ascii="Arial" w:hAnsi="Arial"/>
          <w:b/>
          <w:bCs/>
          <w:sz w:val="22"/>
        </w:rPr>
      </w:pPr>
    </w:p>
    <w:p w:rsidR="00012172" w:rsidRDefault="00012172">
      <w:pPr>
        <w:rPr>
          <w:rFonts w:ascii="Arial" w:hAnsi="Arial" w:cs="Arial"/>
          <w:b/>
          <w:bCs/>
          <w:sz w:val="22"/>
        </w:rPr>
      </w:pPr>
      <w:r>
        <w:rPr>
          <w:rFonts w:ascii="Arial" w:hAnsi="Arial" w:cs="Arial"/>
          <w:b/>
          <w:bCs/>
          <w:sz w:val="22"/>
        </w:rPr>
        <w:t>b) Odvodnja</w:t>
      </w:r>
    </w:p>
    <w:p w:rsidR="00012172" w:rsidRDefault="00012172">
      <w:pPr>
        <w:jc w:val="both"/>
        <w:rPr>
          <w:rFonts w:ascii="Arial" w:hAnsi="Arial" w:cs="Arial"/>
          <w:sz w:val="22"/>
        </w:rPr>
      </w:pPr>
      <w:r>
        <w:rPr>
          <w:rFonts w:ascii="Arial" w:hAnsi="Arial" w:cs="Arial"/>
          <w:sz w:val="22"/>
        </w:rPr>
        <w:t>"</w:t>
      </w:r>
      <w:r>
        <w:rPr>
          <w:rFonts w:ascii="Arial" w:hAnsi="Arial" w:cs="Arial"/>
          <w:sz w:val="22"/>
          <w:lang w:val="de-DE"/>
        </w:rPr>
        <w:t>Studija</w:t>
      </w:r>
      <w:r>
        <w:rPr>
          <w:rFonts w:ascii="Arial" w:hAnsi="Arial" w:cs="Arial"/>
          <w:sz w:val="22"/>
        </w:rPr>
        <w:t xml:space="preserve"> </w:t>
      </w:r>
      <w:r>
        <w:rPr>
          <w:rFonts w:ascii="Arial" w:hAnsi="Arial" w:cs="Arial"/>
          <w:sz w:val="22"/>
          <w:lang w:val="de-DE"/>
        </w:rPr>
        <w:t>odvodnje</w:t>
      </w:r>
      <w:r>
        <w:rPr>
          <w:rFonts w:ascii="Arial" w:hAnsi="Arial" w:cs="Arial"/>
          <w:sz w:val="22"/>
        </w:rPr>
        <w:t xml:space="preserve"> </w:t>
      </w:r>
      <w:r>
        <w:rPr>
          <w:rFonts w:ascii="Arial" w:hAnsi="Arial" w:cs="Arial"/>
          <w:sz w:val="22"/>
          <w:lang w:val="de-DE"/>
        </w:rPr>
        <w:t>i</w:t>
      </w:r>
      <w:r>
        <w:rPr>
          <w:rFonts w:ascii="Arial" w:hAnsi="Arial" w:cs="Arial"/>
          <w:sz w:val="22"/>
        </w:rPr>
        <w:t xml:space="preserve"> </w:t>
      </w:r>
      <w:r>
        <w:rPr>
          <w:rFonts w:ascii="Arial" w:hAnsi="Arial" w:cs="Arial"/>
          <w:sz w:val="22"/>
          <w:lang w:val="de-DE"/>
        </w:rPr>
        <w:t>pro</w:t>
      </w:r>
      <w:r>
        <w:rPr>
          <w:rFonts w:ascii="Arial" w:hAnsi="Arial" w:cs="Arial"/>
          <w:sz w:val="22"/>
        </w:rPr>
        <w:t>č</w:t>
      </w:r>
      <w:r>
        <w:rPr>
          <w:rFonts w:ascii="Arial" w:hAnsi="Arial" w:cs="Arial"/>
          <w:sz w:val="22"/>
          <w:lang w:val="de-DE"/>
        </w:rPr>
        <w:t>i</w:t>
      </w:r>
      <w:r>
        <w:rPr>
          <w:rFonts w:ascii="Arial" w:hAnsi="Arial" w:cs="Arial"/>
          <w:sz w:val="22"/>
        </w:rPr>
        <w:t>šć</w:t>
      </w:r>
      <w:r>
        <w:rPr>
          <w:rFonts w:ascii="Arial" w:hAnsi="Arial" w:cs="Arial"/>
          <w:sz w:val="22"/>
          <w:lang w:val="de-DE"/>
        </w:rPr>
        <w:t>avanja</w:t>
      </w:r>
      <w:r>
        <w:rPr>
          <w:rFonts w:ascii="Arial" w:hAnsi="Arial" w:cs="Arial"/>
          <w:sz w:val="22"/>
        </w:rPr>
        <w:t xml:space="preserve"> </w:t>
      </w:r>
      <w:r>
        <w:rPr>
          <w:rFonts w:ascii="Arial" w:hAnsi="Arial" w:cs="Arial"/>
          <w:sz w:val="22"/>
          <w:lang w:val="de-DE"/>
        </w:rPr>
        <w:t>otpadnih</w:t>
      </w:r>
      <w:r>
        <w:rPr>
          <w:rFonts w:ascii="Arial" w:hAnsi="Arial" w:cs="Arial"/>
          <w:sz w:val="22"/>
        </w:rPr>
        <w:t xml:space="preserve"> </w:t>
      </w:r>
      <w:r>
        <w:rPr>
          <w:rFonts w:ascii="Arial" w:hAnsi="Arial" w:cs="Arial"/>
          <w:sz w:val="22"/>
          <w:lang w:val="de-DE"/>
        </w:rPr>
        <w:t>voda</w:t>
      </w:r>
      <w:r>
        <w:rPr>
          <w:rFonts w:ascii="Arial" w:hAnsi="Arial" w:cs="Arial"/>
          <w:sz w:val="22"/>
        </w:rPr>
        <w:t xml:space="preserve"> </w:t>
      </w:r>
      <w:r>
        <w:rPr>
          <w:rFonts w:ascii="Arial" w:hAnsi="Arial" w:cs="Arial"/>
          <w:sz w:val="22"/>
          <w:lang w:val="de-DE"/>
        </w:rPr>
        <w:t>na</w:t>
      </w:r>
      <w:r>
        <w:rPr>
          <w:rFonts w:ascii="Arial" w:hAnsi="Arial" w:cs="Arial"/>
          <w:sz w:val="22"/>
        </w:rPr>
        <w:t xml:space="preserve"> </w:t>
      </w:r>
      <w:r>
        <w:rPr>
          <w:rFonts w:ascii="Arial" w:hAnsi="Arial" w:cs="Arial"/>
          <w:sz w:val="22"/>
          <w:lang w:val="de-DE"/>
        </w:rPr>
        <w:t>podru</w:t>
      </w:r>
      <w:r>
        <w:rPr>
          <w:rFonts w:ascii="Arial" w:hAnsi="Arial" w:cs="Arial"/>
          <w:sz w:val="22"/>
        </w:rPr>
        <w:t>č</w:t>
      </w:r>
      <w:r>
        <w:rPr>
          <w:rFonts w:ascii="Arial" w:hAnsi="Arial" w:cs="Arial"/>
          <w:sz w:val="22"/>
          <w:lang w:val="de-DE"/>
        </w:rPr>
        <w:t>ju</w:t>
      </w:r>
      <w:r>
        <w:rPr>
          <w:rFonts w:ascii="Arial" w:hAnsi="Arial" w:cs="Arial"/>
          <w:sz w:val="22"/>
        </w:rPr>
        <w:t xml:space="preserve"> </w:t>
      </w:r>
      <w:r>
        <w:rPr>
          <w:rFonts w:ascii="Arial" w:hAnsi="Arial" w:cs="Arial"/>
          <w:sz w:val="22"/>
          <w:lang w:val="de-DE"/>
        </w:rPr>
        <w:t>Koprivni</w:t>
      </w:r>
      <w:r>
        <w:rPr>
          <w:rFonts w:ascii="Arial" w:hAnsi="Arial" w:cs="Arial"/>
          <w:sz w:val="22"/>
        </w:rPr>
        <w:t>č</w:t>
      </w:r>
      <w:r>
        <w:rPr>
          <w:rFonts w:ascii="Arial" w:hAnsi="Arial" w:cs="Arial"/>
          <w:sz w:val="22"/>
          <w:lang w:val="de-DE"/>
        </w:rPr>
        <w:t>ko</w:t>
      </w:r>
      <w:r>
        <w:rPr>
          <w:rFonts w:ascii="Arial" w:hAnsi="Arial" w:cs="Arial"/>
          <w:sz w:val="22"/>
        </w:rPr>
        <w:t>-</w:t>
      </w:r>
      <w:r>
        <w:rPr>
          <w:rFonts w:ascii="Arial" w:hAnsi="Arial" w:cs="Arial"/>
          <w:sz w:val="22"/>
          <w:lang w:val="de-DE"/>
        </w:rPr>
        <w:t>kri</w:t>
      </w:r>
      <w:r>
        <w:rPr>
          <w:rFonts w:ascii="Arial" w:hAnsi="Arial" w:cs="Arial"/>
          <w:sz w:val="22"/>
        </w:rPr>
        <w:t>ž</w:t>
      </w:r>
      <w:r>
        <w:rPr>
          <w:rFonts w:ascii="Arial" w:hAnsi="Arial" w:cs="Arial"/>
          <w:sz w:val="22"/>
          <w:lang w:val="de-DE"/>
        </w:rPr>
        <w:t>eva</w:t>
      </w:r>
      <w:r>
        <w:rPr>
          <w:rFonts w:ascii="Arial" w:hAnsi="Arial" w:cs="Arial"/>
          <w:sz w:val="22"/>
        </w:rPr>
        <w:t>č</w:t>
      </w:r>
      <w:r>
        <w:rPr>
          <w:rFonts w:ascii="Arial" w:hAnsi="Arial" w:cs="Arial"/>
          <w:sz w:val="22"/>
          <w:lang w:val="de-DE"/>
        </w:rPr>
        <w:t>ke</w:t>
      </w:r>
      <w:r>
        <w:rPr>
          <w:rFonts w:ascii="Arial" w:hAnsi="Arial" w:cs="Arial"/>
          <w:sz w:val="22"/>
        </w:rPr>
        <w:t xml:space="preserve"> ž</w:t>
      </w:r>
      <w:r>
        <w:rPr>
          <w:rFonts w:ascii="Arial" w:hAnsi="Arial" w:cs="Arial"/>
          <w:sz w:val="22"/>
          <w:lang w:val="de-DE"/>
        </w:rPr>
        <w:t>upanije</w:t>
      </w:r>
      <w:r>
        <w:rPr>
          <w:rFonts w:ascii="Arial" w:hAnsi="Arial" w:cs="Arial"/>
          <w:sz w:val="22"/>
        </w:rPr>
        <w:t>" (</w:t>
      </w:r>
      <w:r>
        <w:rPr>
          <w:rFonts w:ascii="Arial" w:hAnsi="Arial" w:cs="Arial"/>
          <w:sz w:val="22"/>
          <w:lang w:val="de-DE"/>
        </w:rPr>
        <w:t>IGH</w:t>
      </w:r>
      <w:r>
        <w:rPr>
          <w:rFonts w:ascii="Arial" w:hAnsi="Arial" w:cs="Arial"/>
          <w:sz w:val="22"/>
        </w:rPr>
        <w:t xml:space="preserve">, </w:t>
      </w:r>
      <w:r>
        <w:rPr>
          <w:rFonts w:ascii="Arial" w:hAnsi="Arial" w:cs="Arial"/>
          <w:sz w:val="22"/>
          <w:lang w:val="de-DE"/>
        </w:rPr>
        <w:t>Zagreb</w:t>
      </w:r>
      <w:r>
        <w:rPr>
          <w:rFonts w:ascii="Arial" w:hAnsi="Arial" w:cs="Arial"/>
          <w:sz w:val="22"/>
        </w:rPr>
        <w:t xml:space="preserve">, </w:t>
      </w:r>
      <w:r>
        <w:rPr>
          <w:rFonts w:ascii="Arial" w:hAnsi="Arial" w:cs="Arial"/>
          <w:sz w:val="22"/>
          <w:lang w:val="de-DE"/>
        </w:rPr>
        <w:t>rujan</w:t>
      </w:r>
      <w:r>
        <w:rPr>
          <w:rFonts w:ascii="Arial" w:hAnsi="Arial" w:cs="Arial"/>
          <w:sz w:val="22"/>
        </w:rPr>
        <w:t xml:space="preserve"> 1998.) </w:t>
      </w:r>
      <w:r>
        <w:rPr>
          <w:rFonts w:ascii="Arial" w:hAnsi="Arial" w:cs="Arial"/>
          <w:sz w:val="22"/>
          <w:lang w:val="de-DE"/>
        </w:rPr>
        <w:t>dala</w:t>
      </w:r>
      <w:r>
        <w:rPr>
          <w:rFonts w:ascii="Arial" w:hAnsi="Arial" w:cs="Arial"/>
          <w:sz w:val="22"/>
        </w:rPr>
        <w:t xml:space="preserve"> </w:t>
      </w:r>
      <w:r>
        <w:rPr>
          <w:rFonts w:ascii="Arial" w:hAnsi="Arial" w:cs="Arial"/>
          <w:sz w:val="22"/>
          <w:lang w:val="de-DE"/>
        </w:rPr>
        <w:t>je</w:t>
      </w:r>
      <w:r>
        <w:rPr>
          <w:rFonts w:ascii="Arial" w:hAnsi="Arial" w:cs="Arial"/>
          <w:sz w:val="22"/>
        </w:rPr>
        <w:t xml:space="preserve"> </w:t>
      </w:r>
      <w:r>
        <w:rPr>
          <w:rFonts w:ascii="Arial" w:hAnsi="Arial" w:cs="Arial"/>
          <w:sz w:val="22"/>
          <w:lang w:val="de-DE"/>
        </w:rPr>
        <w:t>prijedlog</w:t>
      </w:r>
      <w:r>
        <w:rPr>
          <w:rFonts w:ascii="Arial" w:hAnsi="Arial" w:cs="Arial"/>
          <w:sz w:val="22"/>
        </w:rPr>
        <w:t xml:space="preserve"> </w:t>
      </w:r>
      <w:r>
        <w:rPr>
          <w:rFonts w:ascii="Arial" w:hAnsi="Arial" w:cs="Arial"/>
          <w:sz w:val="22"/>
          <w:lang w:val="de-DE"/>
        </w:rPr>
        <w:t>rje</w:t>
      </w:r>
      <w:r>
        <w:rPr>
          <w:rFonts w:ascii="Arial" w:hAnsi="Arial" w:cs="Arial"/>
          <w:sz w:val="22"/>
        </w:rPr>
        <w:t>š</w:t>
      </w:r>
      <w:r>
        <w:rPr>
          <w:rFonts w:ascii="Arial" w:hAnsi="Arial" w:cs="Arial"/>
          <w:sz w:val="22"/>
          <w:lang w:val="de-DE"/>
        </w:rPr>
        <w:t>enja</w:t>
      </w:r>
      <w:r>
        <w:rPr>
          <w:rFonts w:ascii="Arial" w:hAnsi="Arial" w:cs="Arial"/>
          <w:sz w:val="22"/>
        </w:rPr>
        <w:t xml:space="preserve"> </w:t>
      </w:r>
      <w:r>
        <w:rPr>
          <w:rFonts w:ascii="Arial" w:hAnsi="Arial" w:cs="Arial"/>
          <w:sz w:val="22"/>
          <w:lang w:val="de-DE"/>
        </w:rPr>
        <w:t>odvodnje</w:t>
      </w:r>
      <w:r>
        <w:rPr>
          <w:rFonts w:ascii="Arial" w:hAnsi="Arial" w:cs="Arial"/>
          <w:sz w:val="22"/>
        </w:rPr>
        <w:t xml:space="preserve"> </w:t>
      </w:r>
      <w:r>
        <w:rPr>
          <w:rFonts w:ascii="Arial" w:hAnsi="Arial" w:cs="Arial"/>
          <w:sz w:val="22"/>
          <w:lang w:val="de-DE"/>
        </w:rPr>
        <w:t>oborinskih</w:t>
      </w:r>
      <w:r>
        <w:rPr>
          <w:rFonts w:ascii="Arial" w:hAnsi="Arial" w:cs="Arial"/>
          <w:sz w:val="22"/>
        </w:rPr>
        <w:t xml:space="preserve"> </w:t>
      </w:r>
      <w:r>
        <w:rPr>
          <w:rFonts w:ascii="Arial" w:hAnsi="Arial" w:cs="Arial"/>
          <w:sz w:val="22"/>
          <w:lang w:val="de-DE"/>
        </w:rPr>
        <w:t>i</w:t>
      </w:r>
      <w:r>
        <w:rPr>
          <w:rFonts w:ascii="Arial" w:hAnsi="Arial" w:cs="Arial"/>
          <w:sz w:val="22"/>
        </w:rPr>
        <w:t xml:space="preserve"> </w:t>
      </w:r>
      <w:r>
        <w:rPr>
          <w:rFonts w:ascii="Arial" w:hAnsi="Arial" w:cs="Arial"/>
          <w:sz w:val="22"/>
          <w:lang w:val="de-DE"/>
        </w:rPr>
        <w:t>fekalnih</w:t>
      </w:r>
      <w:r>
        <w:rPr>
          <w:rFonts w:ascii="Arial" w:hAnsi="Arial" w:cs="Arial"/>
          <w:sz w:val="22"/>
        </w:rPr>
        <w:t xml:space="preserve"> </w:t>
      </w:r>
      <w:r>
        <w:rPr>
          <w:rFonts w:ascii="Arial" w:hAnsi="Arial" w:cs="Arial"/>
          <w:sz w:val="22"/>
          <w:lang w:val="de-DE"/>
        </w:rPr>
        <w:t>voda</w:t>
      </w:r>
      <w:r>
        <w:rPr>
          <w:rFonts w:ascii="Arial" w:hAnsi="Arial" w:cs="Arial"/>
          <w:sz w:val="22"/>
        </w:rPr>
        <w:t xml:space="preserve"> </w:t>
      </w:r>
      <w:r>
        <w:rPr>
          <w:rFonts w:ascii="Arial" w:hAnsi="Arial" w:cs="Arial"/>
          <w:sz w:val="22"/>
          <w:lang w:val="de-DE"/>
        </w:rPr>
        <w:t>za</w:t>
      </w:r>
      <w:r>
        <w:rPr>
          <w:rFonts w:ascii="Arial" w:hAnsi="Arial" w:cs="Arial"/>
          <w:sz w:val="22"/>
        </w:rPr>
        <w:t xml:space="preserve"> </w:t>
      </w:r>
      <w:r>
        <w:rPr>
          <w:rFonts w:ascii="Arial" w:hAnsi="Arial" w:cs="Arial"/>
          <w:sz w:val="22"/>
          <w:lang w:val="de-DE"/>
        </w:rPr>
        <w:t>podru</w:t>
      </w:r>
      <w:r>
        <w:rPr>
          <w:rFonts w:ascii="Arial" w:hAnsi="Arial" w:cs="Arial"/>
          <w:sz w:val="22"/>
        </w:rPr>
        <w:t>č</w:t>
      </w:r>
      <w:r>
        <w:rPr>
          <w:rFonts w:ascii="Arial" w:hAnsi="Arial" w:cs="Arial"/>
          <w:sz w:val="22"/>
          <w:lang w:val="de-DE"/>
        </w:rPr>
        <w:t>je</w:t>
      </w:r>
      <w:r>
        <w:rPr>
          <w:rFonts w:ascii="Arial" w:hAnsi="Arial" w:cs="Arial"/>
          <w:sz w:val="22"/>
        </w:rPr>
        <w:t xml:space="preserve"> Ž</w:t>
      </w:r>
      <w:r>
        <w:rPr>
          <w:rFonts w:ascii="Arial" w:hAnsi="Arial" w:cs="Arial"/>
          <w:sz w:val="22"/>
          <w:lang w:val="de-DE"/>
        </w:rPr>
        <w:t>upanije</w:t>
      </w:r>
      <w:r>
        <w:rPr>
          <w:rFonts w:ascii="Arial" w:hAnsi="Arial" w:cs="Arial"/>
          <w:sz w:val="22"/>
        </w:rPr>
        <w:t xml:space="preserve">, </w:t>
      </w:r>
      <w:r>
        <w:rPr>
          <w:rFonts w:ascii="Arial" w:hAnsi="Arial" w:cs="Arial"/>
          <w:sz w:val="22"/>
          <w:lang w:val="de-DE"/>
        </w:rPr>
        <w:t>a</w:t>
      </w:r>
      <w:r>
        <w:rPr>
          <w:rFonts w:ascii="Arial" w:hAnsi="Arial" w:cs="Arial"/>
          <w:sz w:val="22"/>
        </w:rPr>
        <w:t xml:space="preserve"> </w:t>
      </w:r>
      <w:r>
        <w:rPr>
          <w:rFonts w:ascii="Arial" w:hAnsi="Arial" w:cs="Arial"/>
          <w:sz w:val="22"/>
          <w:lang w:val="de-DE"/>
        </w:rPr>
        <w:t>samim</w:t>
      </w:r>
      <w:r>
        <w:rPr>
          <w:rFonts w:ascii="Arial" w:hAnsi="Arial" w:cs="Arial"/>
          <w:sz w:val="22"/>
        </w:rPr>
        <w:t xml:space="preserve"> </w:t>
      </w:r>
      <w:r>
        <w:rPr>
          <w:rFonts w:ascii="Arial" w:hAnsi="Arial" w:cs="Arial"/>
          <w:sz w:val="22"/>
          <w:lang w:val="de-DE"/>
        </w:rPr>
        <w:t>time</w:t>
      </w:r>
      <w:r>
        <w:rPr>
          <w:rFonts w:ascii="Arial" w:hAnsi="Arial" w:cs="Arial"/>
          <w:sz w:val="22"/>
        </w:rPr>
        <w:t xml:space="preserve"> </w:t>
      </w:r>
      <w:r>
        <w:rPr>
          <w:rFonts w:ascii="Arial" w:hAnsi="Arial" w:cs="Arial"/>
          <w:sz w:val="22"/>
          <w:lang w:val="de-DE"/>
        </w:rPr>
        <w:t>i</w:t>
      </w:r>
      <w:r>
        <w:rPr>
          <w:rFonts w:ascii="Arial" w:hAnsi="Arial" w:cs="Arial"/>
          <w:sz w:val="22"/>
        </w:rPr>
        <w:t xml:space="preserve"> </w:t>
      </w:r>
      <w:r>
        <w:rPr>
          <w:rFonts w:ascii="Arial" w:hAnsi="Arial" w:cs="Arial"/>
          <w:sz w:val="22"/>
          <w:lang w:val="de-DE"/>
        </w:rPr>
        <w:t>za</w:t>
      </w:r>
      <w:r>
        <w:rPr>
          <w:rFonts w:ascii="Arial" w:hAnsi="Arial" w:cs="Arial"/>
          <w:sz w:val="22"/>
        </w:rPr>
        <w:t xml:space="preserve"> </w:t>
      </w:r>
      <w:r>
        <w:rPr>
          <w:rFonts w:ascii="Arial" w:hAnsi="Arial" w:cs="Arial"/>
          <w:sz w:val="22"/>
          <w:lang w:val="de-DE"/>
        </w:rPr>
        <w:t>podru</w:t>
      </w:r>
      <w:r>
        <w:rPr>
          <w:rFonts w:ascii="Arial" w:hAnsi="Arial" w:cs="Arial"/>
          <w:sz w:val="22"/>
        </w:rPr>
        <w:t>č</w:t>
      </w:r>
      <w:r>
        <w:rPr>
          <w:rFonts w:ascii="Arial" w:hAnsi="Arial" w:cs="Arial"/>
          <w:sz w:val="22"/>
          <w:lang w:val="de-DE"/>
        </w:rPr>
        <w:t>je</w:t>
      </w:r>
      <w:r>
        <w:rPr>
          <w:rFonts w:ascii="Arial" w:hAnsi="Arial" w:cs="Arial"/>
          <w:sz w:val="22"/>
        </w:rPr>
        <w:t xml:space="preserve"> </w:t>
      </w:r>
      <w:r>
        <w:rPr>
          <w:rFonts w:ascii="Arial" w:hAnsi="Arial" w:cs="Arial"/>
          <w:sz w:val="22"/>
          <w:lang w:val="de-DE"/>
        </w:rPr>
        <w:t>op</w:t>
      </w:r>
      <w:r>
        <w:rPr>
          <w:rFonts w:ascii="Arial" w:hAnsi="Arial" w:cs="Arial"/>
          <w:sz w:val="22"/>
        </w:rPr>
        <w:t>ć</w:t>
      </w:r>
      <w:r>
        <w:rPr>
          <w:rFonts w:ascii="Arial" w:hAnsi="Arial" w:cs="Arial"/>
          <w:sz w:val="22"/>
          <w:lang w:val="de-DE"/>
        </w:rPr>
        <w:t>ine</w:t>
      </w:r>
      <w:r>
        <w:rPr>
          <w:rFonts w:ascii="Arial" w:hAnsi="Arial" w:cs="Arial"/>
          <w:sz w:val="22"/>
        </w:rPr>
        <w:t xml:space="preserve">  </w:t>
      </w:r>
      <w:r>
        <w:rPr>
          <w:rFonts w:ascii="Arial" w:hAnsi="Arial" w:cs="Arial"/>
          <w:sz w:val="22"/>
          <w:lang w:val="de-DE"/>
        </w:rPr>
        <w:t>Gornja</w:t>
      </w:r>
      <w:r>
        <w:rPr>
          <w:rFonts w:ascii="Arial" w:hAnsi="Arial" w:cs="Arial"/>
          <w:sz w:val="22"/>
        </w:rPr>
        <w:t xml:space="preserve"> </w:t>
      </w:r>
      <w:r>
        <w:rPr>
          <w:rFonts w:ascii="Arial" w:hAnsi="Arial" w:cs="Arial"/>
          <w:sz w:val="22"/>
          <w:lang w:val="de-DE"/>
        </w:rPr>
        <w:t>Rijeka</w:t>
      </w:r>
      <w:r>
        <w:rPr>
          <w:rFonts w:ascii="Arial" w:hAnsi="Arial" w:cs="Arial"/>
          <w:sz w:val="22"/>
        </w:rPr>
        <w:t>.</w:t>
      </w:r>
    </w:p>
    <w:p w:rsidR="00012172" w:rsidRDefault="00012172">
      <w:pPr>
        <w:jc w:val="both"/>
        <w:rPr>
          <w:rFonts w:ascii="Arial" w:hAnsi="Arial" w:cs="Arial"/>
          <w:sz w:val="22"/>
        </w:rPr>
      </w:pPr>
      <w:r>
        <w:rPr>
          <w:rFonts w:ascii="Arial" w:hAnsi="Arial" w:cs="Arial"/>
          <w:sz w:val="22"/>
        </w:rPr>
        <w:t>Prilikom rješavanja pitanja odvodnje nekog područja osnovni zadatak je odabir sistema kanalizacije i to na način da se uzmu u obzir svi faktori koji utječu na izbor sistema, a to su: lokalne prilike, reljef terena, struktura izgradnje, lokacija industrije, udaljenost i karakter recipijenta, blizina zaštićenih područja i slično.</w:t>
      </w:r>
    </w:p>
    <w:p w:rsidR="00012172" w:rsidRDefault="00012172">
      <w:pPr>
        <w:jc w:val="both"/>
        <w:rPr>
          <w:rFonts w:ascii="Arial" w:hAnsi="Arial" w:cs="Arial"/>
          <w:sz w:val="22"/>
        </w:rPr>
      </w:pPr>
    </w:p>
    <w:p w:rsidR="00012172" w:rsidRDefault="00012172">
      <w:pPr>
        <w:jc w:val="both"/>
        <w:rPr>
          <w:rFonts w:ascii="Arial" w:hAnsi="Arial" w:cs="Arial"/>
          <w:sz w:val="22"/>
        </w:rPr>
      </w:pPr>
      <w:r>
        <w:rPr>
          <w:rFonts w:ascii="Arial" w:hAnsi="Arial" w:cs="Arial"/>
          <w:sz w:val="22"/>
        </w:rPr>
        <w:t>U skladu s reljefom terena i topografskim prilikama promatrani prostor čini brdski dio županije, tj. Kalničko prigorje. Budući da se u ovom slučaju ne radi o izgradnji objekata koji donose dobit, već je njihova izgradnja i održavanje vrlo skupo, s pravom se pitamo kako riješiti taj problem. S obzirom na činjenicu da se radi o brdskom terenu povezivanje naselja u jedinstveni sustav odvodnje i pročišćavanja iziskivao bi cijeli niz precrpnih stanica, čiji položaj bi bio vrlo delikatan u održavanju, a poskupio bi i izgradnju kanalizacijskog sustava. Gospodarska dvorišta, radi lakšeg i urednijeg održavanja također zahtijevaju posebna rješenja.</w:t>
      </w:r>
    </w:p>
    <w:p w:rsidR="00012172" w:rsidRDefault="00012172">
      <w:pPr>
        <w:jc w:val="both"/>
        <w:rPr>
          <w:rFonts w:ascii="Arial" w:hAnsi="Arial" w:cs="Arial"/>
          <w:sz w:val="22"/>
        </w:rPr>
      </w:pPr>
      <w:r>
        <w:rPr>
          <w:rFonts w:ascii="Arial" w:hAnsi="Arial" w:cs="Arial"/>
          <w:sz w:val="22"/>
        </w:rPr>
        <w:t>Odvodnja otpadnih i oborinskih voda manjih naselja, s obzirom na veliku disperzivnost naselja – malu gustoću stanovnika, ruralni karakter, relativno male količine otpadne vode te mogućnosti investitora predlaže s rješavati na dva načina:</w:t>
      </w:r>
    </w:p>
    <w:p w:rsidR="00012172" w:rsidRDefault="00012172">
      <w:pPr>
        <w:numPr>
          <w:ilvl w:val="0"/>
          <w:numId w:val="35"/>
        </w:numPr>
        <w:jc w:val="both"/>
        <w:rPr>
          <w:rFonts w:ascii="Arial" w:hAnsi="Arial" w:cs="Arial"/>
          <w:sz w:val="22"/>
        </w:rPr>
      </w:pPr>
      <w:r>
        <w:rPr>
          <w:rFonts w:ascii="Arial" w:hAnsi="Arial" w:cs="Arial"/>
          <w:sz w:val="22"/>
        </w:rPr>
        <w:t>u boje varijante oborinske vode odvodit će se cestovnim jarcima ili zatvorenom oborinskom kanalizacijom (po pojedinim dionicama) u najbliži vodotok ili će se upuštati upojnim zdencima u podzemlje;</w:t>
      </w:r>
    </w:p>
    <w:p w:rsidR="00012172" w:rsidRDefault="00012172">
      <w:pPr>
        <w:jc w:val="both"/>
        <w:rPr>
          <w:rFonts w:ascii="Arial" w:hAnsi="Arial" w:cs="Arial"/>
          <w:sz w:val="22"/>
        </w:rPr>
      </w:pPr>
    </w:p>
    <w:p w:rsidR="00012172" w:rsidRDefault="00012172">
      <w:pPr>
        <w:numPr>
          <w:ilvl w:val="0"/>
          <w:numId w:val="35"/>
        </w:numPr>
        <w:jc w:val="both"/>
        <w:rPr>
          <w:rFonts w:ascii="Arial" w:hAnsi="Arial" w:cs="Arial"/>
          <w:sz w:val="22"/>
        </w:rPr>
      </w:pPr>
      <w:r>
        <w:rPr>
          <w:rFonts w:ascii="Arial" w:hAnsi="Arial" w:cs="Arial"/>
          <w:sz w:val="22"/>
        </w:rPr>
        <w:t>sanitano – fekalne otpadne vode odvodit će se:</w:t>
      </w:r>
    </w:p>
    <w:p w:rsidR="00012172" w:rsidRDefault="00012172">
      <w:pPr>
        <w:numPr>
          <w:ilvl w:val="1"/>
          <w:numId w:val="35"/>
        </w:numPr>
        <w:jc w:val="both"/>
        <w:rPr>
          <w:rFonts w:ascii="Arial" w:hAnsi="Arial" w:cs="Arial"/>
          <w:sz w:val="22"/>
        </w:rPr>
      </w:pPr>
      <w:r>
        <w:rPr>
          <w:rFonts w:ascii="Arial" w:hAnsi="Arial" w:cs="Arial"/>
          <w:sz w:val="22"/>
        </w:rPr>
        <w:t>sanitarno-fekalnom kanalizacijom do tipskog uređaja za pročišćavanje otpadnih voda (centralni dio gušće naseljenih naselja)</w:t>
      </w:r>
    </w:p>
    <w:p w:rsidR="00012172" w:rsidRDefault="00012172">
      <w:pPr>
        <w:numPr>
          <w:ilvl w:val="1"/>
          <w:numId w:val="35"/>
        </w:numPr>
        <w:jc w:val="both"/>
        <w:rPr>
          <w:rFonts w:ascii="Arial" w:hAnsi="Arial" w:cs="Arial"/>
          <w:sz w:val="22"/>
        </w:rPr>
      </w:pPr>
      <w:r>
        <w:rPr>
          <w:rFonts w:ascii="Arial" w:hAnsi="Arial" w:cs="Arial"/>
          <w:sz w:val="22"/>
        </w:rPr>
        <w:t>u vodonepropusne trodjelne septičke jame, koje će se redovito prazniti, a sadržaj odvoziti.</w:t>
      </w:r>
    </w:p>
    <w:p w:rsidR="00012172" w:rsidRDefault="00012172">
      <w:pPr>
        <w:jc w:val="both"/>
        <w:rPr>
          <w:rFonts w:ascii="Arial" w:hAnsi="Arial" w:cs="Arial"/>
          <w:sz w:val="22"/>
        </w:rPr>
      </w:pPr>
      <w:r>
        <w:rPr>
          <w:rFonts w:ascii="Arial" w:hAnsi="Arial" w:cs="Arial"/>
          <w:sz w:val="22"/>
        </w:rPr>
        <w:t xml:space="preserve">Osim toga, valjalo bi razmotriti i mogućnost </w:t>
      </w:r>
      <w:r>
        <w:rPr>
          <w:rFonts w:ascii="Arial" w:hAnsi="Arial" w:cs="Arial"/>
          <w:sz w:val="22"/>
          <w:szCs w:val="22"/>
        </w:rPr>
        <w:t xml:space="preserve">primjene novih tehnologija (bio-lagune i sl.), koje su ekološki ali i financijski vrlo prihvatljive. </w:t>
      </w:r>
    </w:p>
    <w:p w:rsidR="00012172" w:rsidRDefault="00012172">
      <w:pPr>
        <w:pStyle w:val="Tijeloteksta2"/>
        <w:ind w:left="0" w:firstLine="0"/>
      </w:pPr>
      <w:r>
        <w:rPr>
          <w:sz w:val="22"/>
        </w:rPr>
        <w:t>Studija zaštite voda Koprivničko-križevačke županije (trenutno je u izradi) će postaviti osnovna koncepcijska rješenja odvodnje i pročišćavanja otpadnih voda svih gradova i naseljenih mjesta, te definirati uvjeti ispuštanja vode u prijemnike. Predstavljati će koncepcijsku osnovu  za planiranje, razvitak, pogon i održavanje sustava odvodnje te za sustavno provođenje zaštite voda područja Koprivničko-križevačke županije.</w:t>
      </w:r>
    </w:p>
    <w:p w:rsidR="00012172" w:rsidRDefault="00012172">
      <w:pPr>
        <w:jc w:val="both"/>
        <w:rPr>
          <w:rFonts w:ascii="Arial" w:hAnsi="Arial" w:cs="Arial"/>
          <w:sz w:val="22"/>
          <w:szCs w:val="22"/>
        </w:rPr>
      </w:pPr>
    </w:p>
    <w:p w:rsidR="00012172" w:rsidRDefault="00012172">
      <w:pPr>
        <w:pStyle w:val="Tijeloteksta-uvlaka2"/>
        <w:spacing w:line="240" w:lineRule="auto"/>
        <w:ind w:left="0"/>
        <w:rPr>
          <w:b/>
          <w:bCs/>
        </w:rPr>
      </w:pPr>
    </w:p>
    <w:p w:rsidR="00012172" w:rsidRDefault="00012172">
      <w:pPr>
        <w:jc w:val="both"/>
        <w:rPr>
          <w:rFonts w:ascii="Arial" w:hAnsi="Arial" w:cs="Arial"/>
          <w:b/>
          <w:bCs/>
          <w:sz w:val="22"/>
        </w:rPr>
      </w:pPr>
      <w:r>
        <w:rPr>
          <w:rFonts w:ascii="Arial" w:hAnsi="Arial" w:cs="Arial"/>
          <w:b/>
          <w:bCs/>
          <w:sz w:val="22"/>
        </w:rPr>
        <w:t>c) Uređenje vodotoka i voda</w:t>
      </w:r>
    </w:p>
    <w:p w:rsidR="00012172" w:rsidRDefault="00012172">
      <w:pPr>
        <w:jc w:val="both"/>
        <w:rPr>
          <w:rFonts w:ascii="Arial" w:hAnsi="Arial" w:cs="Arial"/>
          <w:sz w:val="22"/>
          <w:szCs w:val="22"/>
        </w:rPr>
      </w:pPr>
      <w:r>
        <w:rPr>
          <w:rFonts w:ascii="Arial" w:hAnsi="Arial" w:cs="Arial"/>
          <w:sz w:val="22"/>
          <w:szCs w:val="22"/>
        </w:rPr>
        <w:t>Erozija i bujice su kompleksan zadatak koji treba rješavati sustavno s rješavanjem ostalih poslova vodnogospodarske djelatnosti. To su prije svega radovi na regulaciji vodotoka i redovita održavanja vodotoka (košnja, krčenje, izmuljivanje). Dugoročno se na području općine planira daljnje održavanje i uređenje melioracijskih sustava u skladu sa Vodnogospodarskom osnovom županije.</w:t>
      </w:r>
    </w:p>
    <w:p w:rsidR="00012172" w:rsidRDefault="00012172">
      <w:pPr>
        <w:jc w:val="both"/>
        <w:rPr>
          <w:rFonts w:ascii="Arial" w:hAnsi="Arial" w:cs="Arial"/>
          <w:sz w:val="22"/>
          <w:szCs w:val="22"/>
        </w:rPr>
      </w:pPr>
      <w:r>
        <w:rPr>
          <w:rFonts w:ascii="Arial" w:hAnsi="Arial" w:cs="Arial"/>
          <w:sz w:val="22"/>
          <w:szCs w:val="22"/>
        </w:rPr>
        <w:t>U naseljima se hidromelioracijski sustav može koristiti za prihvat oborinskih voda pročišćenih do razine II kvalitete vode. Vodotoci na području Općine su Šopot, Pesji potok i Grabrovec.</w:t>
      </w:r>
    </w:p>
    <w:p w:rsidR="00012172" w:rsidRDefault="00012172">
      <w:pPr>
        <w:jc w:val="both"/>
        <w:rPr>
          <w:rFonts w:ascii="Arial" w:hAnsi="Arial" w:cs="Arial"/>
          <w:sz w:val="22"/>
          <w:szCs w:val="22"/>
        </w:rPr>
      </w:pPr>
      <w:r>
        <w:rPr>
          <w:rFonts w:ascii="Arial" w:hAnsi="Arial" w:cs="Arial"/>
          <w:sz w:val="22"/>
          <w:szCs w:val="22"/>
        </w:rPr>
        <w:t>Na području općine Gornja Rijeka postoji ribnjak koji je namijenjen potrebama ugostiteljskog objekta i rekreativnog pecanja. Postoji predispozicija za planiranje novih vodenih površina (akumulacija, komercijalni ribnjaci, retencije) koje je potrebno potpuno uklopiti u prirodno okruženje kalničkog prigorja. Spomenutim zahvatima bi uz minimalno narušavanje biološke i općenito ekološke stabilnosti, s vremenom došlo do pvečanja bioraznolokosti kraja. Potencijalna jezerca i ribnjaci dobra su podloga daljnjeg gospodarskog i turističkog razvoja same općine.</w:t>
      </w:r>
    </w:p>
    <w:p w:rsidR="00012172" w:rsidRDefault="00012172">
      <w:pPr>
        <w:jc w:val="both"/>
        <w:rPr>
          <w:rFonts w:ascii="Arial" w:hAnsi="Arial" w:cs="Arial"/>
          <w:sz w:val="22"/>
          <w:szCs w:val="22"/>
        </w:rPr>
      </w:pPr>
    </w:p>
    <w:p w:rsidR="00012172" w:rsidRDefault="00012172">
      <w:pPr>
        <w:jc w:val="both"/>
        <w:rPr>
          <w:rFonts w:ascii="Arial" w:hAnsi="Arial"/>
          <w:sz w:val="22"/>
          <w:szCs w:val="22"/>
        </w:rPr>
      </w:pPr>
    </w:p>
    <w:p w:rsidR="00012172" w:rsidRDefault="00012172">
      <w:pPr>
        <w:pStyle w:val="Tijeloteksta-uvlaka2"/>
        <w:spacing w:line="240" w:lineRule="auto"/>
        <w:ind w:left="357"/>
      </w:pPr>
    </w:p>
    <w:p w:rsidR="00012172" w:rsidRDefault="00012172">
      <w:pPr>
        <w:rPr>
          <w:rFonts w:ascii="Arial" w:hAnsi="Arial" w:cs="Arial"/>
          <w:b/>
          <w:sz w:val="22"/>
          <w:szCs w:val="22"/>
        </w:rPr>
      </w:pPr>
    </w:p>
    <w:p w:rsidR="00012172" w:rsidRDefault="00012172">
      <w:pPr>
        <w:pStyle w:val="Naslov2"/>
        <w:rPr>
          <w:i w:val="0"/>
          <w:iCs w:val="0"/>
        </w:rPr>
      </w:pPr>
      <w:r>
        <w:br w:type="page"/>
      </w:r>
      <w:bookmarkStart w:id="60" w:name="_Toc95140608"/>
      <w:r>
        <w:rPr>
          <w:i w:val="0"/>
          <w:iCs w:val="0"/>
        </w:rPr>
        <w:t>3.6. Postupanje s otpadom</w:t>
      </w:r>
      <w:bookmarkEnd w:id="60"/>
      <w:r>
        <w:rPr>
          <w:i w:val="0"/>
          <w:iCs w:val="0"/>
        </w:rPr>
        <w:t xml:space="preserve"> </w:t>
      </w:r>
    </w:p>
    <w:p w:rsidR="00012172" w:rsidRDefault="00012172">
      <w:pPr>
        <w:jc w:val="both"/>
        <w:rPr>
          <w:rFonts w:ascii="Arial" w:hAnsi="Arial"/>
          <w:sz w:val="22"/>
        </w:rPr>
      </w:pPr>
    </w:p>
    <w:p w:rsidR="00012172" w:rsidRDefault="00012172">
      <w:pPr>
        <w:ind w:firstLine="360"/>
        <w:jc w:val="both"/>
        <w:rPr>
          <w:rFonts w:ascii="Arial" w:hAnsi="Arial" w:cs="Arial"/>
          <w:sz w:val="22"/>
        </w:rPr>
      </w:pPr>
      <w:r>
        <w:rPr>
          <w:rFonts w:ascii="Arial" w:hAnsi="Arial" w:cs="Arial"/>
          <w:sz w:val="22"/>
        </w:rPr>
        <w:t xml:space="preserve">Prema Zakonu o otpadu (Narodne novine br.178/04) jedinice lokalne i područne samouprave obvezuju se da u prostornim planovima županija i prostornim planovima gradova i općina utvrde lokacije za gradnju građevina namijenjenih skladištenju, obradi i/ili odlaganju otpada, do roka koji je utvrđen posebnim propisom za njihovo donošenje. Općina Gornja Rijeka ima sklopljeni ugovor sa Komunalnim poduzećem d.d. iz Križevaca kojim se sakupljeno smeće odvozi van područja općine, na odlagalište "Piškornica" u Općini Koprivnički Ivanec. </w:t>
      </w:r>
    </w:p>
    <w:p w:rsidR="00012172" w:rsidRDefault="00012172">
      <w:pPr>
        <w:ind w:firstLine="360"/>
        <w:jc w:val="both"/>
        <w:rPr>
          <w:rFonts w:ascii="Arial" w:hAnsi="Arial" w:cs="Arial"/>
          <w:sz w:val="22"/>
        </w:rPr>
      </w:pPr>
      <w:r>
        <w:rPr>
          <w:rFonts w:ascii="Arial" w:hAnsi="Arial" w:cs="Arial"/>
          <w:sz w:val="22"/>
        </w:rPr>
        <w:t>Temeljem zakonskih obveza, u naselju Donja Rijeka, zaseok Jelaki, nalazi se lokacija koja zadovoljava uvjete za planiranje građevine namijenjene skladištenju, obradi i/ili odlaganju otpada. Spomenuta građevina  može biti i potencijalno reciklažno dvorište, kompostana, stanica za prihvat otpada životinjskog porijekla ili neke druge građevine koje se bave obradom otpada.</w:t>
      </w:r>
    </w:p>
    <w:p w:rsidR="00012172" w:rsidRDefault="00012172">
      <w:pPr>
        <w:jc w:val="both"/>
        <w:rPr>
          <w:rFonts w:ascii="Arial" w:hAnsi="Arial" w:cs="Arial"/>
          <w:sz w:val="22"/>
        </w:rPr>
      </w:pPr>
      <w:r>
        <w:rPr>
          <w:rFonts w:ascii="Arial" w:hAnsi="Arial" w:cs="Arial"/>
          <w:sz w:val="22"/>
        </w:rPr>
        <w:t>Na istoj lokaciji planira se buduće sakupljalište animalnog otpada.</w:t>
      </w:r>
    </w:p>
    <w:p w:rsidR="00012172" w:rsidRDefault="00012172">
      <w:pPr>
        <w:jc w:val="both"/>
        <w:rPr>
          <w:rFonts w:ascii="Arial" w:hAnsi="Arial" w:cs="Arial"/>
          <w:sz w:val="22"/>
        </w:rPr>
      </w:pPr>
      <w:r>
        <w:rPr>
          <w:rFonts w:ascii="Arial" w:hAnsi="Arial" w:cs="Arial"/>
          <w:sz w:val="22"/>
        </w:rPr>
        <w:t xml:space="preserve">Sukladno Zakonu, da bi se ostvarilo što bolje gospodarenje otpadom na području općine je organizirano odvojeno sakupljanje otpada putem 8 zelenih otoka (papir, staklo, MET, PET ambalaža. </w:t>
      </w:r>
    </w:p>
    <w:p w:rsidR="00012172" w:rsidRDefault="00012172">
      <w:pPr>
        <w:ind w:firstLine="360"/>
        <w:jc w:val="both"/>
        <w:rPr>
          <w:rFonts w:ascii="Arial" w:hAnsi="Arial" w:cs="Arial"/>
          <w:sz w:val="22"/>
        </w:rPr>
      </w:pPr>
      <w:r>
        <w:rPr>
          <w:rFonts w:ascii="Arial" w:hAnsi="Arial" w:cs="Arial"/>
          <w:sz w:val="22"/>
        </w:rPr>
        <w:t>Sukladno istom Zakonu, a i novoj Strategiji gospodarenja otpadom Republike Hrvatske (Narodne novine br.130/05) više Županija mogu sporazumno osigurati zajedničku provedbu mjera gospodarenja svih vrsta otpada, osim opasnog otpada. U svibnju 2003. godine osnovana je ''</w:t>
      </w:r>
      <w:r>
        <w:rPr>
          <w:rFonts w:ascii="Arial" w:hAnsi="Arial" w:cs="Arial"/>
          <w:bCs/>
          <w:sz w:val="22"/>
        </w:rPr>
        <w:t>Javna ustanova za odlaganje komunalnog i neopasnog tehnološkog otpada sjeverozapadne Hrvatske''</w:t>
      </w:r>
      <w:r>
        <w:rPr>
          <w:rFonts w:ascii="Arial" w:hAnsi="Arial" w:cs="Arial"/>
          <w:b/>
          <w:sz w:val="22"/>
        </w:rPr>
        <w:t xml:space="preserve"> </w:t>
      </w:r>
      <w:r>
        <w:rPr>
          <w:rFonts w:ascii="Arial" w:hAnsi="Arial" w:cs="Arial"/>
          <w:sz w:val="22"/>
        </w:rPr>
        <w:t>sa sjedištem u Koprivnici. Djelatnost ustanove je razvoj i realizacija projekta trajnog odlaganja komunalnog i neopasnog tehnološkog otpada na odlagalište, te saniranje i zatvaranje odlagališta temeljem posebnih propisa. Osnivači su: Koprivničko-križevačka županija, Krapinsko-zagorska županija, Međimurska i Varaždinska županija te gradovi Varaždin, Ivanec,  Lepoglava,  Ludbreg,  Novi Marof, Varaždinske Toplice, Koprivnica, Križevci, Đurđevac, Klanjec, Zlatar, Pregrada, Čakovec i Mursko Središće.</w:t>
      </w:r>
    </w:p>
    <w:p w:rsidR="00012172" w:rsidRDefault="00012172">
      <w:pPr>
        <w:jc w:val="both"/>
        <w:rPr>
          <w:rFonts w:ascii="Arial" w:hAnsi="Arial" w:cs="Arial"/>
          <w:sz w:val="22"/>
        </w:rPr>
      </w:pPr>
      <w:r>
        <w:rPr>
          <w:rFonts w:ascii="Arial" w:hAnsi="Arial" w:cs="Arial"/>
          <w:sz w:val="22"/>
        </w:rPr>
        <w:t>Funkcioniranje te ustanove pretpostavlja formiranje Centra gospodarenja otpadom za sve četiri županije.  Ukoliko se problem ne riješi na regionalnoj razini bit će riješen na županijskoj.</w:t>
      </w:r>
    </w:p>
    <w:p w:rsidR="00012172" w:rsidRDefault="00012172">
      <w:pPr>
        <w:jc w:val="both"/>
        <w:rPr>
          <w:rFonts w:ascii="Arial" w:hAnsi="Arial" w:cs="Arial"/>
          <w:sz w:val="22"/>
        </w:rPr>
      </w:pPr>
      <w:r>
        <w:rPr>
          <w:rFonts w:ascii="Arial" w:hAnsi="Arial" w:cs="Arial"/>
          <w:sz w:val="22"/>
        </w:rPr>
        <w:t xml:space="preserve">Za gospodarenje opasnim otpadom i spaljivanje otpada odgovorna je država, dok se gradovi i općine obvezuju na svom području osigurati uvjete i provedbu propisanih mjera za gospodarenje komunalnim otpadom. Općina Gornja Rijeka i grad Križevci dužni su međusobno surađivati i uz koordinaciju županije osigurati provedbu propisanih mjera za odvojeno prikupljanje otpada. Ako općina ne provede mjere za gospodarenje otpadom za koje je odgovorna u skladu sa Zakonom, propisane mjere provest će Vlada Republike Hrvatske o njihovu trošku. </w:t>
      </w:r>
    </w:p>
    <w:p w:rsidR="00012172" w:rsidRDefault="00012172">
      <w:pPr>
        <w:jc w:val="both"/>
        <w:rPr>
          <w:rFonts w:ascii="Arial" w:hAnsi="Arial"/>
          <w:sz w:val="22"/>
        </w:rPr>
      </w:pPr>
    </w:p>
    <w:p w:rsidR="00012172" w:rsidRDefault="00012172">
      <w:pPr>
        <w:jc w:val="both"/>
        <w:rPr>
          <w:rFonts w:ascii="Arial" w:hAnsi="Arial"/>
          <w:sz w:val="22"/>
        </w:rPr>
      </w:pPr>
    </w:p>
    <w:p w:rsidR="00012172" w:rsidRDefault="00012172">
      <w:pPr>
        <w:pStyle w:val="Opisslike"/>
        <w:rPr>
          <w:sz w:val="22"/>
          <w:szCs w:val="22"/>
        </w:rPr>
      </w:pPr>
    </w:p>
    <w:p w:rsidR="00012172" w:rsidRDefault="00012172">
      <w:pPr>
        <w:pStyle w:val="Opisslike"/>
        <w:rPr>
          <w:sz w:val="22"/>
          <w:szCs w:val="22"/>
        </w:rPr>
      </w:pPr>
    </w:p>
    <w:p w:rsidR="00012172" w:rsidRDefault="00012172">
      <w:pPr>
        <w:pStyle w:val="Opisslike"/>
        <w:rPr>
          <w:sz w:val="22"/>
          <w:szCs w:val="22"/>
        </w:rPr>
      </w:pPr>
    </w:p>
    <w:p w:rsidR="00012172" w:rsidRDefault="00012172">
      <w:pPr>
        <w:jc w:val="both"/>
        <w:rPr>
          <w:rFonts w:ascii="Arial" w:hAnsi="Arial"/>
          <w:sz w:val="22"/>
        </w:rPr>
      </w:pPr>
    </w:p>
    <w:p w:rsidR="00012172" w:rsidRDefault="00012172">
      <w:pPr>
        <w:pStyle w:val="Opisslike"/>
        <w:tabs>
          <w:tab w:val="left" w:pos="0"/>
        </w:tabs>
        <w:jc w:val="both"/>
        <w:rPr>
          <w:sz w:val="22"/>
          <w:szCs w:val="22"/>
        </w:rPr>
      </w:pPr>
      <w:r>
        <w:rPr>
          <w:sz w:val="22"/>
          <w:szCs w:val="22"/>
        </w:rPr>
        <w:br w:type="page"/>
      </w:r>
    </w:p>
    <w:p w:rsidR="00012172" w:rsidRDefault="00012172">
      <w:pPr>
        <w:pStyle w:val="Naslov2"/>
        <w:rPr>
          <w:sz w:val="22"/>
        </w:rPr>
      </w:pPr>
      <w:bookmarkStart w:id="61" w:name="_Toc95140609"/>
      <w:r>
        <w:rPr>
          <w:sz w:val="22"/>
        </w:rPr>
        <w:t>3.7. Sprječavanje nepovoljna utjecaja na okoliš</w:t>
      </w:r>
      <w:bookmarkEnd w:id="61"/>
    </w:p>
    <w:p w:rsidR="00012172" w:rsidRDefault="00012172">
      <w:pPr>
        <w:jc w:val="both"/>
        <w:rPr>
          <w:rFonts w:ascii="Arial" w:hAnsi="Arial" w:cs="Arial"/>
          <w:sz w:val="22"/>
          <w:szCs w:val="22"/>
        </w:rPr>
      </w:pPr>
      <w:r>
        <w:rPr>
          <w:rFonts w:ascii="Arial" w:hAnsi="Arial" w:cs="Arial"/>
          <w:sz w:val="22"/>
          <w:szCs w:val="22"/>
        </w:rPr>
        <w:t>Glavni postojeći i mogući izvori nepovoljnog utjecaja na okoliš na području općine Gornja Rijeka nastaju u segmentu odvodnje, nekontroliranog odlaganja otpada, prometa, te nekontrolirane uporabe zaštitnih sredstava u poljoprivredi.</w:t>
      </w:r>
    </w:p>
    <w:p w:rsidR="00012172" w:rsidRDefault="00012172">
      <w:pPr>
        <w:jc w:val="both"/>
        <w:rPr>
          <w:rFonts w:ascii="Arial" w:hAnsi="Arial" w:cs="Arial"/>
          <w:sz w:val="22"/>
          <w:szCs w:val="22"/>
        </w:rPr>
      </w:pPr>
      <w:r>
        <w:rPr>
          <w:rFonts w:ascii="Arial" w:hAnsi="Arial" w:cs="Arial"/>
          <w:sz w:val="22"/>
          <w:szCs w:val="22"/>
        </w:rPr>
        <w:t xml:space="preserve">Ukoliko dođe do nepovoljnih utjecaja na okoliš i ekosustav, potrebna je hitna sanacija  temeljena Državnim planom zaštite okoliša i Planom intervencija zaštite okoliša KKŽ (Službeni glasnik KKŽ br. 3/05).  </w:t>
      </w:r>
    </w:p>
    <w:p w:rsidR="00012172" w:rsidRDefault="00012172">
      <w:pPr>
        <w:rPr>
          <w:szCs w:val="22"/>
        </w:rPr>
      </w:pPr>
    </w:p>
    <w:p w:rsidR="00012172" w:rsidRDefault="00012172">
      <w:pPr>
        <w:rPr>
          <w:rFonts w:ascii="Arial" w:hAnsi="Arial" w:cs="Arial"/>
          <w:sz w:val="22"/>
          <w:szCs w:val="22"/>
        </w:rPr>
      </w:pPr>
    </w:p>
    <w:p w:rsidR="00012172" w:rsidRDefault="00012172">
      <w:pPr>
        <w:rPr>
          <w:rFonts w:ascii="Arial" w:hAnsi="Arial" w:cs="Arial"/>
          <w:b/>
          <w:sz w:val="22"/>
          <w:szCs w:val="22"/>
        </w:rPr>
      </w:pPr>
      <w:r>
        <w:rPr>
          <w:rFonts w:ascii="Arial" w:hAnsi="Arial" w:cs="Arial"/>
          <w:b/>
          <w:sz w:val="22"/>
          <w:szCs w:val="22"/>
        </w:rPr>
        <w:t>Voda</w:t>
      </w:r>
    </w:p>
    <w:p w:rsidR="00012172" w:rsidRDefault="00012172">
      <w:pPr>
        <w:jc w:val="both"/>
        <w:rPr>
          <w:rFonts w:ascii="Arial" w:hAnsi="Arial" w:cs="Arial"/>
          <w:sz w:val="22"/>
        </w:rPr>
      </w:pPr>
      <w:r>
        <w:rPr>
          <w:rFonts w:ascii="Arial" w:hAnsi="Arial" w:cs="Arial"/>
          <w:sz w:val="22"/>
          <w:szCs w:val="22"/>
        </w:rPr>
        <w:t xml:space="preserve">Pošto se cjelokupno područje Općine nalazi na području koje presijecaju vodotoci te kako se određeni postotak stanovništva snabdijeva vodom iz privatnih bunara, potrebno je pridržavati se svih mjera prevencije kako se ne bi ugrozila njena zdravstvena ispravnost. Veliku opasnost predstavlja neriješeno pitanje otpadnih voda (nepropusne septičke jame), nekontrolirano odlaganje otpada i poljoprivredna proizvodnja (nitrati, fosfati i nefermentirana gnojovka). </w:t>
      </w:r>
      <w:r>
        <w:rPr>
          <w:rFonts w:ascii="Arial" w:hAnsi="Arial" w:cs="Arial"/>
          <w:sz w:val="22"/>
        </w:rPr>
        <w:t xml:space="preserve">Najveću opasnost zdravstvenoj ispravnosti vode predstavlja mineralizirani dušik (nitrati). Pretpostavka je da je njegovo porijeklo antropogeno, od poljoprivredne aktivnosti sa okolnih polja. </w:t>
      </w:r>
    </w:p>
    <w:p w:rsidR="00012172" w:rsidRDefault="00012172">
      <w:pPr>
        <w:jc w:val="both"/>
        <w:rPr>
          <w:rFonts w:ascii="Arial" w:hAnsi="Arial" w:cs="Arial"/>
          <w:sz w:val="22"/>
        </w:rPr>
      </w:pPr>
    </w:p>
    <w:p w:rsidR="00012172" w:rsidRDefault="00012172">
      <w:pPr>
        <w:rPr>
          <w:rFonts w:ascii="Arial" w:hAnsi="Arial" w:cs="Arial"/>
          <w:b/>
          <w:sz w:val="22"/>
          <w:szCs w:val="22"/>
        </w:rPr>
      </w:pPr>
    </w:p>
    <w:p w:rsidR="00012172" w:rsidRDefault="00012172">
      <w:pPr>
        <w:rPr>
          <w:rFonts w:ascii="Arial" w:hAnsi="Arial" w:cs="Arial"/>
          <w:color w:val="0000FF"/>
          <w:sz w:val="22"/>
          <w:szCs w:val="22"/>
        </w:rPr>
      </w:pPr>
    </w:p>
    <w:p w:rsidR="00012172" w:rsidRDefault="00012172">
      <w:pPr>
        <w:rPr>
          <w:rFonts w:ascii="Arial" w:hAnsi="Arial" w:cs="Arial"/>
          <w:b/>
          <w:sz w:val="22"/>
          <w:szCs w:val="22"/>
        </w:rPr>
      </w:pPr>
      <w:r>
        <w:rPr>
          <w:rFonts w:ascii="Arial" w:hAnsi="Arial" w:cs="Arial"/>
          <w:b/>
          <w:sz w:val="22"/>
          <w:szCs w:val="22"/>
        </w:rPr>
        <w:t>Tlo</w:t>
      </w:r>
    </w:p>
    <w:p w:rsidR="00012172" w:rsidRDefault="00012172">
      <w:pPr>
        <w:jc w:val="both"/>
        <w:rPr>
          <w:rFonts w:ascii="Arial" w:hAnsi="Arial" w:cs="Arial"/>
          <w:sz w:val="22"/>
          <w:szCs w:val="22"/>
        </w:rPr>
      </w:pPr>
      <w:r>
        <w:rPr>
          <w:rFonts w:ascii="Arial" w:hAnsi="Arial" w:cs="Arial"/>
          <w:sz w:val="22"/>
          <w:szCs w:val="22"/>
        </w:rPr>
        <w:t>Sprečavanje nepovoljna utjecaja na tlo odnosi se na više štetnih aktivnosti koje smanjuju kvalitetu tla i neposredno ugrožavaju zdravlje čovjeka.</w:t>
      </w:r>
    </w:p>
    <w:p w:rsidR="00012172" w:rsidRDefault="00012172">
      <w:pPr>
        <w:jc w:val="both"/>
        <w:rPr>
          <w:rFonts w:ascii="Arial" w:hAnsi="Arial" w:cs="Arial"/>
          <w:sz w:val="22"/>
          <w:szCs w:val="22"/>
        </w:rPr>
      </w:pPr>
    </w:p>
    <w:p w:rsidR="00012172" w:rsidRDefault="00012172">
      <w:pPr>
        <w:jc w:val="both"/>
        <w:rPr>
          <w:rFonts w:ascii="Arial" w:hAnsi="Arial" w:cs="Arial"/>
          <w:sz w:val="22"/>
          <w:szCs w:val="22"/>
        </w:rPr>
      </w:pPr>
      <w:r>
        <w:rPr>
          <w:rFonts w:ascii="Arial" w:hAnsi="Arial" w:cs="Arial"/>
          <w:sz w:val="22"/>
          <w:szCs w:val="22"/>
        </w:rPr>
        <w:t>Zaštita tla od nepovoljna utjecaja intenzivnog i nekontroliranog poljoprivrednog gospodarenja svodi se na kontrolu distribucije i korištenja sintetičkih zaštitnih sredstava (pesticida i sl.)  i umjetnih gnojiva.</w:t>
      </w:r>
    </w:p>
    <w:p w:rsidR="00012172" w:rsidRDefault="00012172">
      <w:pPr>
        <w:rPr>
          <w:rFonts w:ascii="Arial" w:hAnsi="Arial" w:cs="Arial"/>
          <w:sz w:val="22"/>
          <w:szCs w:val="22"/>
        </w:rPr>
      </w:pPr>
    </w:p>
    <w:p w:rsidR="00012172" w:rsidRDefault="00012172">
      <w:pPr>
        <w:jc w:val="both"/>
        <w:rPr>
          <w:rFonts w:ascii="Arial" w:hAnsi="Arial" w:cs="Arial"/>
          <w:sz w:val="22"/>
          <w:szCs w:val="22"/>
        </w:rPr>
      </w:pPr>
      <w:r>
        <w:rPr>
          <w:rFonts w:ascii="Arial" w:hAnsi="Arial" w:cs="Arial"/>
          <w:sz w:val="22"/>
          <w:szCs w:val="22"/>
        </w:rPr>
        <w:t>Potrebno je poticati ekološku i integralnu poljoprivredu koja se prije svega bazira na kontroliranoj i racionalnoj uporabi različitih sintetičkih zaštitnih sredstava.</w:t>
      </w:r>
    </w:p>
    <w:p w:rsidR="00012172" w:rsidRDefault="00012172">
      <w:pPr>
        <w:jc w:val="both"/>
        <w:rPr>
          <w:rFonts w:ascii="Arial" w:hAnsi="Arial" w:cs="Arial"/>
          <w:sz w:val="22"/>
          <w:szCs w:val="22"/>
        </w:rPr>
      </w:pPr>
    </w:p>
    <w:p w:rsidR="00012172" w:rsidRDefault="00012172">
      <w:pPr>
        <w:rPr>
          <w:rFonts w:ascii="Arial" w:hAnsi="Arial" w:cs="Arial"/>
          <w:b/>
          <w:sz w:val="22"/>
          <w:szCs w:val="22"/>
        </w:rPr>
      </w:pPr>
    </w:p>
    <w:p w:rsidR="00012172" w:rsidRDefault="00012172">
      <w:pPr>
        <w:rPr>
          <w:rFonts w:ascii="Arial" w:hAnsi="Arial" w:cs="Arial"/>
          <w:sz w:val="22"/>
          <w:szCs w:val="22"/>
        </w:rPr>
      </w:pPr>
    </w:p>
    <w:p w:rsidR="00012172" w:rsidRDefault="00012172">
      <w:pPr>
        <w:pStyle w:val="Naslov6"/>
        <w:rPr>
          <w:rFonts w:cs="Arial"/>
        </w:rPr>
      </w:pPr>
      <w:r>
        <w:rPr>
          <w:rFonts w:cs="Arial"/>
        </w:rPr>
        <w:t>Šume</w:t>
      </w:r>
    </w:p>
    <w:p w:rsidR="00012172" w:rsidRDefault="00012172">
      <w:pPr>
        <w:jc w:val="both"/>
        <w:rPr>
          <w:rFonts w:ascii="Arial" w:hAnsi="Arial" w:cs="Arial"/>
          <w:sz w:val="22"/>
        </w:rPr>
      </w:pPr>
      <w:r>
        <w:rPr>
          <w:rFonts w:ascii="Arial" w:hAnsi="Arial" w:cs="Arial"/>
          <w:sz w:val="22"/>
        </w:rPr>
        <w:t xml:space="preserve">Potrebno je provoditi zajedničku politiku gospodarenja državnim i privatnim šumama po pravilima šumarske struke. Sukladno tome poželjno je korištenje postojećih osnova gospodarenja državnim šumama i za okolne privatne šume (do donošenja Programa za gospodarenje privatnim šumama) kako bi se što prije osiguralo očuvanje i unapređenje cjelokupnog šumskog fonda. Od izuzetne je važnosti da se u najvećoj mogućoj mjeri očuvaju šumarci i živice koje se sporadično isprepliću s površinama druge namjene. </w:t>
      </w:r>
    </w:p>
    <w:p w:rsidR="00012172" w:rsidRDefault="00012172">
      <w:pPr>
        <w:rPr>
          <w:rFonts w:ascii="Arial" w:hAnsi="Arial" w:cs="Arial"/>
          <w:sz w:val="22"/>
          <w:szCs w:val="22"/>
        </w:rPr>
      </w:pPr>
    </w:p>
    <w:p w:rsidR="00012172" w:rsidRDefault="00012172">
      <w:pPr>
        <w:rPr>
          <w:rFonts w:ascii="Arial" w:hAnsi="Arial" w:cs="Arial"/>
          <w:sz w:val="22"/>
          <w:szCs w:val="22"/>
        </w:rPr>
      </w:pPr>
    </w:p>
    <w:p w:rsidR="00012172" w:rsidRDefault="00012172">
      <w:pPr>
        <w:rPr>
          <w:rFonts w:ascii="Arial" w:hAnsi="Arial" w:cs="Arial"/>
          <w:b/>
          <w:sz w:val="22"/>
          <w:szCs w:val="22"/>
        </w:rPr>
      </w:pPr>
      <w:r>
        <w:rPr>
          <w:rFonts w:ascii="Arial" w:hAnsi="Arial" w:cs="Arial"/>
          <w:b/>
          <w:sz w:val="22"/>
          <w:szCs w:val="22"/>
        </w:rPr>
        <w:t>Zrak</w:t>
      </w:r>
    </w:p>
    <w:p w:rsidR="00012172" w:rsidRDefault="00012172">
      <w:pPr>
        <w:jc w:val="both"/>
        <w:rPr>
          <w:rFonts w:ascii="Arial" w:hAnsi="Arial" w:cs="Arial"/>
          <w:sz w:val="22"/>
        </w:rPr>
      </w:pPr>
      <w:r>
        <w:rPr>
          <w:rFonts w:ascii="Arial" w:hAnsi="Arial" w:cs="Arial"/>
          <w:sz w:val="22"/>
        </w:rPr>
        <w:t>Na području općine  Gornja Rijeka najveće zagađenje zraka izazivaju ispušni plinovi vozila, kućna ložišta te evidentni utjecaj dolazi i sa obližnjeg eksploatacijskog polja kamena "Vojnovec" u vidu onečišćenja zraka prašinom nastalom eksploatacijom, obradom i transportom kamena.</w:t>
      </w:r>
    </w:p>
    <w:p w:rsidR="00012172" w:rsidRDefault="00012172">
      <w:pPr>
        <w:jc w:val="both"/>
        <w:rPr>
          <w:rFonts w:ascii="Arial" w:hAnsi="Arial" w:cs="Arial"/>
          <w:sz w:val="22"/>
          <w:szCs w:val="22"/>
        </w:rPr>
      </w:pPr>
      <w:r>
        <w:rPr>
          <w:rFonts w:ascii="Arial" w:hAnsi="Arial" w:cs="Arial"/>
          <w:sz w:val="22"/>
        </w:rPr>
        <w:t>Županija je u skladu s postojećim zakonima, 2000. godine započela Program mjerenja kakvoće zraka. Mjeri se  koncentracija dima, SO</w:t>
      </w:r>
      <w:r>
        <w:rPr>
          <w:rFonts w:ascii="Arial" w:hAnsi="Arial" w:cs="Arial"/>
          <w:sz w:val="22"/>
          <w:vertAlign w:val="subscript"/>
        </w:rPr>
        <w:t xml:space="preserve">2 </w:t>
      </w:r>
      <w:r>
        <w:rPr>
          <w:rFonts w:ascii="Arial" w:hAnsi="Arial" w:cs="Arial"/>
          <w:sz w:val="22"/>
        </w:rPr>
        <w:t>(sumpor dioksida), ukupna taložna tvar, H</w:t>
      </w:r>
      <w:r>
        <w:rPr>
          <w:rFonts w:ascii="Arial" w:hAnsi="Arial" w:cs="Arial"/>
          <w:sz w:val="22"/>
          <w:vertAlign w:val="subscript"/>
        </w:rPr>
        <w:t>2</w:t>
      </w:r>
      <w:r>
        <w:rPr>
          <w:rFonts w:ascii="Arial" w:hAnsi="Arial" w:cs="Arial"/>
          <w:sz w:val="22"/>
        </w:rPr>
        <w:t xml:space="preserve">S (vodik sulfid) i Hg (živa). Mjerenja su sve do 2003. vršena u tri grada: Koprivnica, Križevci i Đurđevac.  Briga o zaštiti zraka i financiranje monitoringa je Zakonom o zaštiti zraka obvezalo JLS na odgovornost.  Zbog financijskih problema se mjerenje obustavljena. Trenutno se na razini Županije priprema Program zaštite kakvoće zraka i oformit će se podrućna mreža monitoringa. </w:t>
      </w:r>
    </w:p>
    <w:p w:rsidR="00012172" w:rsidRDefault="00012172">
      <w:pPr>
        <w:pStyle w:val="StandardWeb"/>
        <w:spacing w:before="0" w:beforeAutospacing="0" w:after="0" w:afterAutospacing="0"/>
        <w:rPr>
          <w:szCs w:val="22"/>
        </w:rPr>
      </w:pPr>
    </w:p>
    <w:p w:rsidR="00012172" w:rsidRDefault="00012172">
      <w:pPr>
        <w:rPr>
          <w:szCs w:val="22"/>
        </w:rPr>
      </w:pPr>
    </w:p>
    <w:p w:rsidR="00012172" w:rsidRDefault="00012172">
      <w:pPr>
        <w:pStyle w:val="Naslov4"/>
        <w:spacing w:before="0" w:after="0"/>
        <w:rPr>
          <w:rFonts w:cs="Arial"/>
          <w:sz w:val="22"/>
          <w:szCs w:val="22"/>
          <w:lang w:val="hr-HR"/>
        </w:rPr>
      </w:pPr>
      <w:r>
        <w:rPr>
          <w:rFonts w:cs="Arial"/>
          <w:sz w:val="22"/>
          <w:szCs w:val="22"/>
          <w:lang w:val="hr-HR"/>
        </w:rPr>
        <w:t>Buka</w:t>
      </w:r>
    </w:p>
    <w:p w:rsidR="00012172" w:rsidRDefault="00012172">
      <w:pPr>
        <w:jc w:val="both"/>
        <w:rPr>
          <w:rFonts w:ascii="Arial" w:hAnsi="Arial" w:cs="Arial"/>
          <w:sz w:val="22"/>
          <w:szCs w:val="22"/>
        </w:rPr>
      </w:pPr>
      <w:r>
        <w:rPr>
          <w:rFonts w:ascii="Arial" w:hAnsi="Arial" w:cs="Arial"/>
          <w:sz w:val="22"/>
        </w:rPr>
        <w:t>Sustavnog praćenja stanja u prostoru glede zaštite od buke  do sada nije bilo te se ono mora uvesti kao sastavni dio informacija o stanju okoliša.</w:t>
      </w:r>
    </w:p>
    <w:p w:rsidR="00012172" w:rsidRDefault="00012172">
      <w:pPr>
        <w:rPr>
          <w:rFonts w:ascii="Arial" w:hAnsi="Arial" w:cs="Arial"/>
          <w:sz w:val="22"/>
          <w:szCs w:val="22"/>
        </w:rPr>
      </w:pPr>
    </w:p>
    <w:p w:rsidR="00012172" w:rsidRDefault="00012172">
      <w:pPr>
        <w:pStyle w:val="StandardWeb"/>
        <w:spacing w:before="0" w:beforeAutospacing="0" w:after="0" w:afterAutospacing="0"/>
        <w:rPr>
          <w:szCs w:val="22"/>
        </w:rPr>
      </w:pPr>
    </w:p>
    <w:p w:rsidR="00012172" w:rsidRDefault="00012172">
      <w:pPr>
        <w:rPr>
          <w:rFonts w:ascii="Arial" w:hAnsi="Arial" w:cs="Arial"/>
          <w:b/>
          <w:sz w:val="22"/>
          <w:szCs w:val="22"/>
        </w:rPr>
      </w:pPr>
      <w:r>
        <w:rPr>
          <w:rFonts w:ascii="Arial" w:hAnsi="Arial" w:cs="Arial"/>
          <w:b/>
          <w:sz w:val="22"/>
          <w:szCs w:val="22"/>
        </w:rPr>
        <w:t>Mjere posebne zaštite</w:t>
      </w:r>
    </w:p>
    <w:p w:rsidR="00012172" w:rsidRDefault="00012172">
      <w:pPr>
        <w:jc w:val="both"/>
        <w:rPr>
          <w:rFonts w:ascii="Arial" w:hAnsi="Arial" w:cs="Arial"/>
          <w:sz w:val="22"/>
          <w:szCs w:val="22"/>
        </w:rPr>
      </w:pPr>
      <w:r>
        <w:rPr>
          <w:rFonts w:ascii="Arial" w:hAnsi="Arial" w:cs="Arial"/>
          <w:sz w:val="22"/>
          <w:szCs w:val="22"/>
        </w:rPr>
        <w:t xml:space="preserve">Mjere posebne zaštite predviđene za područje Općine Gornja Rijeka temelje se na odgovarajućim zakonskim i podzakonskim propisima, te na dokumentima Koprivničko-križevačke županije i Općine  Gornja Rijeka izrađenim i usvojenim temeljem tih propisa. To su sljedeći zakoni i propisi: </w:t>
      </w:r>
    </w:p>
    <w:p w:rsidR="00012172" w:rsidRDefault="00012172">
      <w:pPr>
        <w:numPr>
          <w:ilvl w:val="0"/>
          <w:numId w:val="1"/>
        </w:numPr>
        <w:jc w:val="both"/>
        <w:rPr>
          <w:rFonts w:ascii="Arial" w:hAnsi="Arial" w:cs="Arial"/>
          <w:sz w:val="22"/>
          <w:szCs w:val="22"/>
        </w:rPr>
      </w:pPr>
      <w:r>
        <w:rPr>
          <w:rFonts w:ascii="Arial" w:hAnsi="Arial" w:cs="Arial"/>
          <w:sz w:val="22"/>
          <w:szCs w:val="22"/>
        </w:rPr>
        <w:t>Zakon o izmjenama i dopunama Zakona o unutarnjim poslovima (NN broj 73/91, 19/92, 33/92, 76/94 i 161/98),</w:t>
      </w:r>
    </w:p>
    <w:p w:rsidR="00012172" w:rsidRDefault="00012172">
      <w:pPr>
        <w:numPr>
          <w:ilvl w:val="0"/>
          <w:numId w:val="1"/>
        </w:numPr>
        <w:jc w:val="both"/>
        <w:rPr>
          <w:rFonts w:ascii="Arial" w:hAnsi="Arial" w:cs="Arial"/>
          <w:sz w:val="22"/>
          <w:szCs w:val="22"/>
        </w:rPr>
      </w:pPr>
      <w:r>
        <w:rPr>
          <w:rFonts w:ascii="Arial" w:hAnsi="Arial" w:cs="Arial"/>
          <w:sz w:val="22"/>
          <w:szCs w:val="22"/>
        </w:rPr>
        <w:t xml:space="preserve">Zakon o zaštiti od elementarnih nepogoda (NN broj 73/97), </w:t>
      </w:r>
    </w:p>
    <w:p w:rsidR="00012172" w:rsidRDefault="00012172">
      <w:pPr>
        <w:numPr>
          <w:ilvl w:val="0"/>
          <w:numId w:val="1"/>
        </w:numPr>
        <w:jc w:val="both"/>
        <w:rPr>
          <w:rFonts w:ascii="Arial" w:hAnsi="Arial" w:cs="Arial"/>
          <w:sz w:val="22"/>
          <w:szCs w:val="22"/>
        </w:rPr>
      </w:pPr>
      <w:r>
        <w:rPr>
          <w:rFonts w:ascii="Arial" w:hAnsi="Arial" w:cs="Arial"/>
          <w:sz w:val="22"/>
          <w:szCs w:val="22"/>
        </w:rPr>
        <w:t>Zakon o zaštiti od požara (NN broj 58/93),</w:t>
      </w:r>
    </w:p>
    <w:p w:rsidR="00012172" w:rsidRDefault="00012172">
      <w:pPr>
        <w:numPr>
          <w:ilvl w:val="0"/>
          <w:numId w:val="1"/>
        </w:numPr>
        <w:jc w:val="both"/>
        <w:rPr>
          <w:rFonts w:ascii="Arial" w:hAnsi="Arial" w:cs="Arial"/>
          <w:sz w:val="22"/>
          <w:szCs w:val="22"/>
        </w:rPr>
      </w:pPr>
      <w:r>
        <w:rPr>
          <w:rFonts w:ascii="Arial" w:hAnsi="Arial" w:cs="Arial"/>
          <w:sz w:val="22"/>
          <w:szCs w:val="22"/>
        </w:rPr>
        <w:t>Pravilnik o mjerama zaštite od elementarnih nepogoda i ratnih opasnosti u prostornom planiranju i uređenju prostora (NN broj 29/83, 36/85 i 42/86),</w:t>
      </w:r>
    </w:p>
    <w:p w:rsidR="00012172" w:rsidRDefault="00012172">
      <w:pPr>
        <w:numPr>
          <w:ilvl w:val="0"/>
          <w:numId w:val="1"/>
        </w:numPr>
        <w:jc w:val="both"/>
        <w:rPr>
          <w:rFonts w:ascii="Arial" w:hAnsi="Arial" w:cs="Arial"/>
          <w:sz w:val="22"/>
          <w:szCs w:val="22"/>
        </w:rPr>
      </w:pPr>
      <w:r>
        <w:rPr>
          <w:rFonts w:ascii="Arial" w:hAnsi="Arial" w:cs="Arial"/>
          <w:sz w:val="22"/>
          <w:szCs w:val="22"/>
        </w:rPr>
        <w:t>Pravilnik o kriterijima za određivanje gradova i naseljenih mjesta u kojima se moraju graditi skloništa i drugi objekti za zaštitu (NN broj 2/91),</w:t>
      </w:r>
    </w:p>
    <w:p w:rsidR="00012172" w:rsidRDefault="00012172">
      <w:pPr>
        <w:numPr>
          <w:ilvl w:val="0"/>
          <w:numId w:val="1"/>
        </w:numPr>
        <w:jc w:val="both"/>
        <w:rPr>
          <w:rFonts w:ascii="Arial" w:hAnsi="Arial" w:cs="Arial"/>
          <w:sz w:val="22"/>
          <w:szCs w:val="22"/>
        </w:rPr>
      </w:pPr>
      <w:r>
        <w:rPr>
          <w:rFonts w:ascii="Arial" w:hAnsi="Arial" w:cs="Arial"/>
          <w:sz w:val="22"/>
          <w:szCs w:val="22"/>
        </w:rPr>
        <w:t>Pravilnik o tehničkim normativima za skloništa (SL broj 55/83)</w:t>
      </w:r>
    </w:p>
    <w:p w:rsidR="00012172" w:rsidRDefault="00012172">
      <w:pPr>
        <w:numPr>
          <w:ilvl w:val="0"/>
          <w:numId w:val="1"/>
        </w:numPr>
        <w:jc w:val="both"/>
        <w:rPr>
          <w:rFonts w:ascii="Arial" w:hAnsi="Arial" w:cs="Arial"/>
          <w:sz w:val="22"/>
          <w:szCs w:val="22"/>
        </w:rPr>
      </w:pPr>
      <w:r>
        <w:rPr>
          <w:rFonts w:ascii="Arial" w:hAnsi="Arial" w:cs="Arial"/>
          <w:sz w:val="22"/>
        </w:rPr>
        <w:t xml:space="preserve">Procjena ugroženosti od požara Općine  </w:t>
      </w:r>
      <w:r>
        <w:rPr>
          <w:rFonts w:ascii="Arial" w:hAnsi="Arial" w:cs="Arial"/>
          <w:sz w:val="22"/>
          <w:szCs w:val="22"/>
        </w:rPr>
        <w:t>Gornja Rijeka</w:t>
      </w:r>
      <w:r>
        <w:rPr>
          <w:rFonts w:ascii="Arial" w:hAnsi="Arial" w:cs="Arial"/>
          <w:sz w:val="22"/>
        </w:rPr>
        <w:t>, 2004.</w:t>
      </w:r>
    </w:p>
    <w:p w:rsidR="00012172" w:rsidRDefault="00012172">
      <w:pPr>
        <w:ind w:left="360"/>
        <w:jc w:val="both"/>
        <w:rPr>
          <w:color w:val="FF0000"/>
          <w:szCs w:val="22"/>
        </w:rPr>
      </w:pPr>
    </w:p>
    <w:p w:rsidR="00012172" w:rsidRDefault="00012172">
      <w:pPr>
        <w:jc w:val="both"/>
        <w:rPr>
          <w:rFonts w:ascii="Arial" w:hAnsi="Arial" w:cs="Arial"/>
          <w:sz w:val="22"/>
        </w:rPr>
      </w:pPr>
      <w:r>
        <w:rPr>
          <w:rFonts w:ascii="Arial" w:hAnsi="Arial" w:cs="Arial"/>
          <w:sz w:val="22"/>
          <w:szCs w:val="22"/>
        </w:rPr>
        <w:t xml:space="preserve">Procjena ugroženosti od požara Općine Gornja Rijeka detaljno analizira moguću ugroženost prostora i pojedinih dijelova (naselja i građevina) Općine, te procjene vlastitih mogućnosti i obveza u zaštiti i spašavanju ljudi i dobara. </w:t>
      </w:r>
    </w:p>
    <w:p w:rsidR="00012172" w:rsidRDefault="00012172">
      <w:pPr>
        <w:rPr>
          <w:rFonts w:ascii="Arial" w:hAnsi="Arial" w:cs="Arial"/>
          <w:sz w:val="22"/>
          <w:szCs w:val="22"/>
        </w:rPr>
      </w:pPr>
    </w:p>
    <w:p w:rsidR="00012172" w:rsidRDefault="00012172">
      <w:pPr>
        <w:rPr>
          <w:rFonts w:ascii="Arial" w:hAnsi="Arial" w:cs="Arial"/>
          <w:sz w:val="22"/>
          <w:szCs w:val="22"/>
        </w:rPr>
      </w:pPr>
    </w:p>
    <w:p w:rsidR="00012172" w:rsidRDefault="00012172">
      <w:pPr>
        <w:rPr>
          <w:rFonts w:ascii="Arial" w:hAnsi="Arial" w:cs="Arial"/>
          <w:sz w:val="22"/>
          <w:szCs w:val="22"/>
        </w:rPr>
      </w:pPr>
    </w:p>
    <w:p w:rsidR="00012172" w:rsidRDefault="00012172">
      <w:pPr>
        <w:rPr>
          <w:rFonts w:ascii="Arial" w:hAnsi="Arial" w:cs="Arial"/>
          <w:sz w:val="22"/>
          <w:szCs w:val="22"/>
        </w:rPr>
      </w:pPr>
    </w:p>
    <w:p w:rsidR="00012172" w:rsidRDefault="00012172">
      <w:pPr>
        <w:rPr>
          <w:rFonts w:ascii="Arial" w:hAnsi="Arial" w:cs="Arial"/>
          <w:sz w:val="22"/>
          <w:szCs w:val="22"/>
        </w:rPr>
      </w:pPr>
    </w:p>
    <w:p w:rsidR="00012172" w:rsidRDefault="00012172">
      <w:pPr>
        <w:rPr>
          <w:rFonts w:ascii="Arial" w:hAnsi="Arial" w:cs="Arial"/>
          <w:sz w:val="22"/>
          <w:szCs w:val="22"/>
        </w:rPr>
      </w:pPr>
    </w:p>
    <w:p w:rsidR="00012172" w:rsidRDefault="00012172">
      <w:pPr>
        <w:pStyle w:val="Tekst"/>
        <w:rPr>
          <w:lang w:val="hr-HR"/>
        </w:rPr>
      </w:pPr>
      <w:r>
        <w:rPr>
          <w:rFonts w:ascii="Arial" w:hAnsi="Arial" w:cs="Arial"/>
          <w:sz w:val="22"/>
          <w:szCs w:val="22"/>
          <w:lang w:val="hr-HR"/>
        </w:rPr>
        <w:br w:type="page"/>
      </w:r>
    </w:p>
    <w:p w:rsidR="00012172" w:rsidRDefault="00012172">
      <w:pPr>
        <w:pStyle w:val="Tekst"/>
        <w:rPr>
          <w:lang w:val="hr-HR"/>
        </w:rPr>
      </w:pPr>
    </w:p>
    <w:p w:rsidR="00012172" w:rsidRDefault="00012172">
      <w:pPr>
        <w:pStyle w:val="Tekst"/>
        <w:rPr>
          <w:lang w:val="hr-HR"/>
        </w:rPr>
      </w:pPr>
    </w:p>
    <w:p w:rsidR="00012172" w:rsidRDefault="00012172">
      <w:pPr>
        <w:pStyle w:val="Tekst"/>
        <w:rPr>
          <w:lang w:val="hr-HR"/>
        </w:rPr>
      </w:pPr>
    </w:p>
    <w:p w:rsidR="00012172" w:rsidRDefault="00012172">
      <w:pPr>
        <w:pStyle w:val="Tekst"/>
        <w:rPr>
          <w:lang w:val="hr-HR"/>
        </w:rPr>
      </w:pPr>
    </w:p>
    <w:p w:rsidR="00012172" w:rsidRDefault="00012172">
      <w:pPr>
        <w:pStyle w:val="Tekst"/>
        <w:rPr>
          <w:lang w:val="hr-HR"/>
        </w:rPr>
      </w:pPr>
    </w:p>
    <w:p w:rsidR="00012172" w:rsidRDefault="00012172">
      <w:pPr>
        <w:pStyle w:val="Tekst"/>
        <w:rPr>
          <w:lang w:val="hr-HR"/>
        </w:rPr>
      </w:pPr>
    </w:p>
    <w:p w:rsidR="00012172" w:rsidRDefault="00012172">
      <w:pPr>
        <w:pStyle w:val="Tekst"/>
        <w:rPr>
          <w:lang w:val="hr-HR"/>
        </w:rPr>
      </w:pPr>
    </w:p>
    <w:p w:rsidR="00012172" w:rsidRDefault="00012172">
      <w:pPr>
        <w:pStyle w:val="Tekst"/>
        <w:rPr>
          <w:lang w:val="hr-HR"/>
        </w:rPr>
      </w:pPr>
    </w:p>
    <w:p w:rsidR="00012172" w:rsidRDefault="00012172">
      <w:pPr>
        <w:pStyle w:val="Tekst"/>
        <w:rPr>
          <w:lang w:val="hr-HR"/>
        </w:rPr>
      </w:pPr>
    </w:p>
    <w:p w:rsidR="00012172" w:rsidRDefault="00012172">
      <w:pPr>
        <w:pStyle w:val="Tekst"/>
        <w:rPr>
          <w:lang w:val="hr-HR"/>
        </w:rPr>
      </w:pPr>
    </w:p>
    <w:p w:rsidR="00012172" w:rsidRDefault="00012172">
      <w:pPr>
        <w:pStyle w:val="Tekst"/>
        <w:rPr>
          <w:lang w:val="hr-HR"/>
        </w:rPr>
      </w:pPr>
    </w:p>
    <w:p w:rsidR="00012172" w:rsidRDefault="00012172">
      <w:pPr>
        <w:pStyle w:val="Tekst"/>
        <w:rPr>
          <w:lang w:val="hr-HR"/>
        </w:rPr>
      </w:pPr>
    </w:p>
    <w:p w:rsidR="00012172" w:rsidRDefault="00012172">
      <w:pPr>
        <w:pStyle w:val="Tekst"/>
        <w:rPr>
          <w:lang w:val="hr-HR"/>
        </w:rPr>
      </w:pPr>
    </w:p>
    <w:p w:rsidR="00012172" w:rsidRDefault="00012172">
      <w:pPr>
        <w:pStyle w:val="Tekst"/>
        <w:jc w:val="center"/>
        <w:rPr>
          <w:rFonts w:ascii="Arial" w:hAnsi="Arial" w:cs="Arial"/>
          <w:b/>
          <w:sz w:val="32"/>
          <w:szCs w:val="32"/>
          <w:lang w:val="hr-HR"/>
        </w:rPr>
      </w:pPr>
      <w:r>
        <w:rPr>
          <w:rFonts w:ascii="Arial" w:hAnsi="Arial" w:cs="Arial"/>
          <w:b/>
          <w:sz w:val="32"/>
          <w:szCs w:val="32"/>
          <w:lang w:val="hr-HR"/>
        </w:rPr>
        <w:t>PROVEDBENE ODREDBE</w:t>
      </w:r>
    </w:p>
    <w:p w:rsidR="00012172" w:rsidRDefault="00012172">
      <w:pPr>
        <w:pStyle w:val="Tekst"/>
        <w:rPr>
          <w:lang w:val="hr-HR"/>
        </w:rPr>
      </w:pPr>
    </w:p>
    <w:p w:rsidR="00012172" w:rsidRDefault="00012172">
      <w:pPr>
        <w:jc w:val="both"/>
        <w:rPr>
          <w:rFonts w:ascii="Arial" w:hAnsi="Arial" w:cs="Arial"/>
          <w:sz w:val="22"/>
        </w:rPr>
      </w:pPr>
      <w:r>
        <w:br w:type="page"/>
      </w:r>
      <w:r>
        <w:rPr>
          <w:rFonts w:ascii="Arial" w:hAnsi="Arial" w:cs="Arial"/>
          <w:sz w:val="22"/>
        </w:rPr>
        <w:t>Na temelju Zakona o prostornom uređenju („Narodne novine” broj 30/94, 68/98, 61/00,  32/02 i 100/04),</w:t>
      </w:r>
      <w:r>
        <w:rPr>
          <w:rFonts w:ascii="Arial" w:hAnsi="Arial" w:cs="Arial"/>
          <w:sz w:val="22"/>
          <w:szCs w:val="22"/>
        </w:rPr>
        <w:t xml:space="preserve"> Programa mjera za unapređenje stanja u prostoru na području Gornja Rijeka (</w:t>
      </w:r>
      <w:r>
        <w:rPr>
          <w:rFonts w:ascii="Arial" w:hAnsi="Arial" w:cs="Arial"/>
          <w:sz w:val="22"/>
        </w:rPr>
        <w:t>"</w:t>
      </w:r>
      <w:r>
        <w:rPr>
          <w:rFonts w:ascii="Arial" w:hAnsi="Arial" w:cs="Arial"/>
          <w:sz w:val="22"/>
          <w:szCs w:val="22"/>
        </w:rPr>
        <w:t>Službeni glasnik Koprivničko-križevačke županije</w:t>
      </w:r>
      <w:r>
        <w:rPr>
          <w:rFonts w:ascii="Arial" w:hAnsi="Arial" w:cs="Arial"/>
          <w:sz w:val="22"/>
        </w:rPr>
        <w:t>"</w:t>
      </w:r>
      <w:r>
        <w:rPr>
          <w:rFonts w:ascii="Arial" w:hAnsi="Arial" w:cs="Arial"/>
          <w:sz w:val="22"/>
          <w:szCs w:val="22"/>
        </w:rPr>
        <w:t xml:space="preserve"> broj 10/02)</w:t>
      </w:r>
      <w:r>
        <w:rPr>
          <w:rFonts w:ascii="Arial" w:hAnsi="Arial" w:cs="Arial"/>
          <w:sz w:val="22"/>
        </w:rPr>
        <w:t xml:space="preserve"> i članka  Statuta Općine  Gornja Rijeka (''Službeni glasnik Koprivničko-križevačke županij'' broj     ), po pribavljenoj Suglasnosti Službe za prostorno uređenje, zaštitu okoliša, graditeljstvo i imovinsko-pravne poslove u Koprivničko-križevačkoj županiji, Klasa:      </w:t>
      </w:r>
      <w:r w:rsidR="001C57F3">
        <w:rPr>
          <w:rFonts w:ascii="Arial" w:hAnsi="Arial" w:cs="Arial"/>
          <w:sz w:val="22"/>
        </w:rPr>
        <w:t xml:space="preserve">  </w:t>
      </w:r>
      <w:r>
        <w:rPr>
          <w:rFonts w:ascii="Arial" w:hAnsi="Arial" w:cs="Arial"/>
          <w:sz w:val="22"/>
        </w:rPr>
        <w:t xml:space="preserve">, Urbroj:    </w:t>
      </w:r>
      <w:r w:rsidR="001C57F3">
        <w:rPr>
          <w:rFonts w:ascii="Arial" w:hAnsi="Arial" w:cs="Arial"/>
          <w:sz w:val="22"/>
        </w:rPr>
        <w:t xml:space="preserve"> </w:t>
      </w:r>
      <w:r>
        <w:rPr>
          <w:rFonts w:ascii="Arial" w:hAnsi="Arial" w:cs="Arial"/>
          <w:sz w:val="22"/>
        </w:rPr>
        <w:t xml:space="preserve">     od.   </w:t>
      </w:r>
      <w:r w:rsidR="001C57F3">
        <w:rPr>
          <w:rFonts w:ascii="Arial" w:hAnsi="Arial" w:cs="Arial"/>
          <w:sz w:val="22"/>
        </w:rPr>
        <w:t xml:space="preserve">      </w:t>
      </w:r>
      <w:r>
        <w:rPr>
          <w:rFonts w:ascii="Arial" w:hAnsi="Arial" w:cs="Arial"/>
          <w:sz w:val="22"/>
        </w:rPr>
        <w:t xml:space="preserve">  </w:t>
      </w:r>
      <w:r w:rsidR="001C57F3">
        <w:rPr>
          <w:rFonts w:ascii="Arial" w:hAnsi="Arial" w:cs="Arial"/>
          <w:sz w:val="22"/>
        </w:rPr>
        <w:t>2006.</w:t>
      </w:r>
      <w:r>
        <w:rPr>
          <w:rFonts w:ascii="Arial" w:hAnsi="Arial" w:cs="Arial"/>
          <w:sz w:val="22"/>
        </w:rPr>
        <w:t xml:space="preserve"> godine, Općinsko vijeće Općine  Gornja Rijeka na    . sjednici održanoj dana              donijelo je</w:t>
      </w:r>
    </w:p>
    <w:p w:rsidR="00012172" w:rsidRDefault="00012172">
      <w:pPr>
        <w:pStyle w:val="Tekst"/>
        <w:spacing w:line="360" w:lineRule="auto"/>
        <w:jc w:val="center"/>
        <w:rPr>
          <w:rFonts w:ascii="Arial" w:hAnsi="Arial" w:cs="Arial"/>
          <w:lang w:val="hr-HR"/>
        </w:rPr>
      </w:pPr>
    </w:p>
    <w:p w:rsidR="00012172" w:rsidRDefault="00012172">
      <w:pPr>
        <w:pStyle w:val="Tekst"/>
        <w:spacing w:line="360" w:lineRule="auto"/>
        <w:jc w:val="center"/>
        <w:rPr>
          <w:rFonts w:ascii="Arial" w:hAnsi="Arial" w:cs="Arial"/>
          <w:b/>
          <w:sz w:val="32"/>
          <w:lang w:val="hr-HR"/>
        </w:rPr>
      </w:pPr>
      <w:r>
        <w:rPr>
          <w:rFonts w:ascii="Arial" w:hAnsi="Arial" w:cs="Arial"/>
          <w:b/>
          <w:sz w:val="32"/>
          <w:lang w:val="hr-HR"/>
        </w:rPr>
        <w:t>ODLUKU</w:t>
      </w:r>
    </w:p>
    <w:p w:rsidR="00012172" w:rsidRDefault="00012172">
      <w:pPr>
        <w:pStyle w:val="Tekst"/>
        <w:spacing w:line="360" w:lineRule="auto"/>
        <w:jc w:val="center"/>
        <w:rPr>
          <w:rFonts w:ascii="Arial" w:hAnsi="Arial" w:cs="Arial"/>
          <w:b/>
          <w:sz w:val="32"/>
          <w:lang w:val="hr-HR"/>
        </w:rPr>
      </w:pPr>
      <w:r>
        <w:rPr>
          <w:rFonts w:ascii="Arial" w:hAnsi="Arial" w:cs="Arial"/>
          <w:b/>
          <w:sz w:val="32"/>
          <w:lang w:val="hr-HR"/>
        </w:rPr>
        <w:t xml:space="preserve">o donošenju Prostornog plana uređenja općine  </w:t>
      </w:r>
    </w:p>
    <w:p w:rsidR="00012172" w:rsidRDefault="00012172">
      <w:pPr>
        <w:pStyle w:val="Tekst"/>
        <w:spacing w:line="360" w:lineRule="auto"/>
        <w:jc w:val="center"/>
        <w:rPr>
          <w:rFonts w:ascii="Arial" w:hAnsi="Arial" w:cs="Arial"/>
          <w:b/>
          <w:sz w:val="32"/>
          <w:lang w:val="hr-HR"/>
        </w:rPr>
      </w:pPr>
      <w:r>
        <w:rPr>
          <w:rFonts w:ascii="Arial" w:hAnsi="Arial" w:cs="Arial"/>
          <w:b/>
          <w:sz w:val="32"/>
          <w:lang w:val="hr-HR"/>
        </w:rPr>
        <w:t>Gornja Rijeka</w:t>
      </w:r>
    </w:p>
    <w:p w:rsidR="00012172" w:rsidRDefault="00012172">
      <w:pPr>
        <w:pStyle w:val="Naslov1"/>
        <w:jc w:val="center"/>
      </w:pPr>
      <w:bookmarkStart w:id="62" w:name="_Toc49756020"/>
      <w:bookmarkStart w:id="63" w:name="_Toc95140610"/>
      <w:r>
        <w:t>I. OPĆE ODREDBE</w:t>
      </w:r>
      <w:bookmarkEnd w:id="62"/>
      <w:bookmarkEnd w:id="63"/>
    </w:p>
    <w:p w:rsidR="00012172" w:rsidRDefault="00012172">
      <w:pPr>
        <w:pStyle w:val="Tekst"/>
        <w:spacing w:line="360" w:lineRule="auto"/>
        <w:jc w:val="center"/>
        <w:rPr>
          <w:rFonts w:ascii="Arial" w:hAnsi="Arial" w:cs="Arial"/>
          <w:sz w:val="32"/>
          <w:lang w:val="hr-HR"/>
        </w:rPr>
      </w:pPr>
    </w:p>
    <w:p w:rsidR="00012172" w:rsidRDefault="00012172">
      <w:pPr>
        <w:pStyle w:val="Tekst"/>
        <w:spacing w:line="240" w:lineRule="auto"/>
        <w:jc w:val="center"/>
        <w:rPr>
          <w:rFonts w:ascii="Times New Roman" w:hAnsi="Times New Roman"/>
          <w:sz w:val="24"/>
          <w:szCs w:val="22"/>
          <w:lang w:val="hr-HR"/>
        </w:rPr>
      </w:pPr>
      <w:r>
        <w:rPr>
          <w:rFonts w:ascii="Times New Roman" w:hAnsi="Times New Roman"/>
          <w:sz w:val="24"/>
          <w:szCs w:val="22"/>
          <w:lang w:val="hr-HR"/>
        </w:rPr>
        <w:t>Članak 1.</w:t>
      </w:r>
    </w:p>
    <w:p w:rsidR="00012172" w:rsidRDefault="00012172">
      <w:pPr>
        <w:pStyle w:val="Tekst"/>
        <w:spacing w:line="240" w:lineRule="auto"/>
        <w:rPr>
          <w:rFonts w:ascii="Times New Roman" w:hAnsi="Times New Roman"/>
          <w:sz w:val="24"/>
          <w:szCs w:val="22"/>
          <w:lang w:val="hr-HR"/>
        </w:rPr>
      </w:pPr>
      <w:r>
        <w:rPr>
          <w:rFonts w:ascii="Times New Roman" w:hAnsi="Times New Roman"/>
          <w:sz w:val="24"/>
          <w:szCs w:val="22"/>
          <w:lang w:val="hr-HR"/>
        </w:rPr>
        <w:t>(1) Ovom Odlukom donosi se Prostorni plan uređenja općine  Gornja Rijeka.</w:t>
      </w:r>
    </w:p>
    <w:p w:rsidR="00012172" w:rsidRDefault="00012172">
      <w:pPr>
        <w:pStyle w:val="Tekst"/>
        <w:spacing w:line="360" w:lineRule="auto"/>
        <w:jc w:val="center"/>
        <w:rPr>
          <w:rFonts w:ascii="Times New Roman" w:hAnsi="Times New Roman"/>
          <w:sz w:val="24"/>
          <w:szCs w:val="22"/>
          <w:lang w:val="hr-HR"/>
        </w:rPr>
      </w:pPr>
    </w:p>
    <w:p w:rsidR="00012172" w:rsidRDefault="00012172">
      <w:pPr>
        <w:pStyle w:val="Tekst"/>
        <w:spacing w:line="240" w:lineRule="auto"/>
        <w:jc w:val="center"/>
        <w:rPr>
          <w:rFonts w:ascii="Times New Roman" w:hAnsi="Times New Roman"/>
          <w:sz w:val="24"/>
          <w:szCs w:val="22"/>
          <w:lang w:val="hr-HR"/>
        </w:rPr>
      </w:pPr>
      <w:r>
        <w:rPr>
          <w:rFonts w:ascii="Times New Roman" w:hAnsi="Times New Roman"/>
          <w:sz w:val="24"/>
          <w:szCs w:val="22"/>
          <w:lang w:val="hr-HR"/>
        </w:rPr>
        <w:t>Članak 2.</w:t>
      </w:r>
    </w:p>
    <w:p w:rsidR="00012172" w:rsidRDefault="00012172">
      <w:pPr>
        <w:pStyle w:val="Tekst"/>
        <w:numPr>
          <w:ilvl w:val="0"/>
          <w:numId w:val="26"/>
        </w:numPr>
        <w:spacing w:line="240" w:lineRule="auto"/>
        <w:rPr>
          <w:rFonts w:ascii="Times New Roman" w:hAnsi="Times New Roman"/>
          <w:sz w:val="24"/>
          <w:szCs w:val="22"/>
          <w:lang w:val="hr-HR"/>
        </w:rPr>
      </w:pPr>
      <w:r>
        <w:rPr>
          <w:rFonts w:ascii="Times New Roman" w:hAnsi="Times New Roman"/>
          <w:sz w:val="24"/>
          <w:szCs w:val="22"/>
          <w:lang w:val="hr-HR"/>
        </w:rPr>
        <w:t>Granice Prostornog plana uređenja Općine Gornja Rijeka poklapaju se sa granicama Općine  Gornja Rijeka.</w:t>
      </w:r>
    </w:p>
    <w:p w:rsidR="00012172" w:rsidRDefault="00012172">
      <w:pPr>
        <w:pStyle w:val="Tekst"/>
        <w:spacing w:line="360" w:lineRule="auto"/>
        <w:rPr>
          <w:rFonts w:ascii="Times New Roman" w:hAnsi="Times New Roman"/>
          <w:sz w:val="24"/>
          <w:szCs w:val="22"/>
          <w:lang w:val="hr-HR"/>
        </w:rPr>
      </w:pPr>
    </w:p>
    <w:p w:rsidR="00012172" w:rsidRDefault="00012172">
      <w:pPr>
        <w:pStyle w:val="Tekst"/>
        <w:spacing w:line="240" w:lineRule="auto"/>
        <w:jc w:val="center"/>
        <w:rPr>
          <w:rFonts w:ascii="Times New Roman" w:hAnsi="Times New Roman"/>
          <w:sz w:val="24"/>
          <w:szCs w:val="22"/>
          <w:lang w:val="hr-HR"/>
        </w:rPr>
      </w:pPr>
      <w:r>
        <w:rPr>
          <w:rFonts w:ascii="Times New Roman" w:hAnsi="Times New Roman"/>
          <w:sz w:val="24"/>
          <w:szCs w:val="22"/>
          <w:lang w:val="hr-HR"/>
        </w:rPr>
        <w:t>Članak 3.</w:t>
      </w:r>
    </w:p>
    <w:p w:rsidR="00012172" w:rsidRDefault="00012172">
      <w:pPr>
        <w:pStyle w:val="Tekst"/>
        <w:spacing w:line="240" w:lineRule="auto"/>
        <w:rPr>
          <w:rFonts w:ascii="Times New Roman" w:hAnsi="Times New Roman"/>
          <w:sz w:val="24"/>
          <w:szCs w:val="22"/>
          <w:lang w:val="hr-HR"/>
        </w:rPr>
      </w:pPr>
      <w:r>
        <w:rPr>
          <w:rFonts w:ascii="Times New Roman" w:hAnsi="Times New Roman"/>
          <w:sz w:val="24"/>
          <w:szCs w:val="22"/>
          <w:lang w:val="hr-HR"/>
        </w:rPr>
        <w:t>(1) Prostorni plan uređenja Općine  Gornja Rijeka sastoji se od dva dijela:</w:t>
      </w:r>
    </w:p>
    <w:p w:rsidR="00012172" w:rsidRDefault="00012172">
      <w:pPr>
        <w:pStyle w:val="Tekst"/>
        <w:spacing w:line="360" w:lineRule="auto"/>
        <w:rPr>
          <w:rFonts w:ascii="Arial" w:hAnsi="Arial" w:cs="Arial"/>
          <w:sz w:val="22"/>
          <w:szCs w:val="22"/>
          <w:lang w:val="hr-HR"/>
        </w:rPr>
      </w:pPr>
    </w:p>
    <w:p w:rsidR="00012172" w:rsidRDefault="00012172">
      <w:pPr>
        <w:pStyle w:val="Tekst"/>
        <w:spacing w:line="360" w:lineRule="auto"/>
        <w:rPr>
          <w:rFonts w:ascii="Times New Roman" w:hAnsi="Times New Roman"/>
          <w:sz w:val="24"/>
          <w:szCs w:val="22"/>
          <w:lang w:val="hr-HR"/>
        </w:rPr>
      </w:pPr>
      <w:r>
        <w:rPr>
          <w:rFonts w:ascii="Times New Roman" w:hAnsi="Times New Roman"/>
          <w:sz w:val="24"/>
          <w:szCs w:val="22"/>
          <w:lang w:val="hr-HR"/>
        </w:rPr>
        <w:t>A) TEKSTUALNOG</w:t>
      </w:r>
    </w:p>
    <w:p w:rsidR="00012172" w:rsidRDefault="00012172">
      <w:pPr>
        <w:pStyle w:val="Tekst"/>
        <w:spacing w:line="360" w:lineRule="auto"/>
        <w:rPr>
          <w:rFonts w:ascii="Times New Roman" w:hAnsi="Times New Roman"/>
          <w:sz w:val="24"/>
          <w:szCs w:val="22"/>
          <w:lang w:val="hr-HR"/>
        </w:rPr>
      </w:pPr>
    </w:p>
    <w:p w:rsidR="00012172" w:rsidRDefault="00012172">
      <w:pPr>
        <w:pStyle w:val="Tekst"/>
        <w:spacing w:line="360" w:lineRule="auto"/>
        <w:rPr>
          <w:rFonts w:ascii="Times New Roman" w:hAnsi="Times New Roman"/>
          <w:sz w:val="24"/>
          <w:szCs w:val="22"/>
          <w:lang w:val="hr-HR"/>
        </w:rPr>
      </w:pPr>
      <w:r>
        <w:rPr>
          <w:rFonts w:ascii="Times New Roman" w:hAnsi="Times New Roman"/>
          <w:sz w:val="24"/>
          <w:szCs w:val="22"/>
          <w:lang w:val="hr-HR"/>
        </w:rPr>
        <w:t>Tekstualni dio sadrži:</w:t>
      </w:r>
    </w:p>
    <w:p w:rsidR="00012172" w:rsidRDefault="00012172">
      <w:pPr>
        <w:rPr>
          <w:szCs w:val="22"/>
        </w:rPr>
      </w:pPr>
      <w:r>
        <w:rPr>
          <w:szCs w:val="22"/>
        </w:rPr>
        <w:t xml:space="preserve">I. Obrazloženje </w:t>
      </w:r>
    </w:p>
    <w:p w:rsidR="00012172" w:rsidRDefault="00012172">
      <w:pPr>
        <w:rPr>
          <w:szCs w:val="22"/>
        </w:rPr>
      </w:pPr>
      <w:r>
        <w:rPr>
          <w:szCs w:val="22"/>
        </w:rPr>
        <w:t xml:space="preserve">1. POLAZIŠTA </w:t>
      </w:r>
    </w:p>
    <w:p w:rsidR="00012172" w:rsidRDefault="00012172">
      <w:pPr>
        <w:rPr>
          <w:szCs w:val="22"/>
        </w:rPr>
      </w:pPr>
      <w:r>
        <w:rPr>
          <w:szCs w:val="22"/>
        </w:rPr>
        <w:t xml:space="preserve">1.1. Položaj, značaj i posebnosti područja općine ili grada u odnosu na prostor i sustave županije i Države </w:t>
      </w:r>
    </w:p>
    <w:p w:rsidR="00012172" w:rsidRDefault="00012172">
      <w:pPr>
        <w:rPr>
          <w:szCs w:val="22"/>
        </w:rPr>
      </w:pPr>
      <w:r>
        <w:rPr>
          <w:szCs w:val="22"/>
        </w:rPr>
        <w:t xml:space="preserve">1.1.1 Osnovni podaci o stanju u prostoru (tablica 1. i 2.) </w:t>
      </w:r>
    </w:p>
    <w:p w:rsidR="00012172" w:rsidRDefault="00012172">
      <w:pPr>
        <w:rPr>
          <w:szCs w:val="22"/>
        </w:rPr>
      </w:pPr>
      <w:r>
        <w:rPr>
          <w:szCs w:val="22"/>
        </w:rPr>
        <w:t xml:space="preserve">1.1.2. Prostorno razvojne i resursne značajke </w:t>
      </w:r>
    </w:p>
    <w:p w:rsidR="00012172" w:rsidRDefault="00012172">
      <w:pPr>
        <w:rPr>
          <w:szCs w:val="22"/>
        </w:rPr>
      </w:pPr>
      <w:r>
        <w:rPr>
          <w:szCs w:val="22"/>
        </w:rPr>
        <w:t xml:space="preserve">1.1.3. Planski pokazatelji i obveze iz dokumenata prostornog uređenja šireg područja i ocjena postojećih prostornih planova </w:t>
      </w:r>
    </w:p>
    <w:p w:rsidR="00012172" w:rsidRDefault="00012172">
      <w:pPr>
        <w:rPr>
          <w:szCs w:val="22"/>
        </w:rPr>
      </w:pPr>
      <w:r>
        <w:rPr>
          <w:szCs w:val="22"/>
        </w:rPr>
        <w:t xml:space="preserve">1.1.4. Ocjena stanja, mogućnosti i ograničenja razvoja u odnosu na demografske i gospodarske podatke te prostorne pokazatelje </w:t>
      </w:r>
    </w:p>
    <w:p w:rsidR="00012172" w:rsidRDefault="00012172">
      <w:pPr>
        <w:rPr>
          <w:szCs w:val="22"/>
        </w:rPr>
      </w:pPr>
      <w:r>
        <w:rPr>
          <w:szCs w:val="22"/>
        </w:rPr>
        <w:t xml:space="preserve">2. CILJEVI PROSTORNOG RAZVOJA I UREĐENJA </w:t>
      </w:r>
    </w:p>
    <w:p w:rsidR="00012172" w:rsidRDefault="00012172">
      <w:pPr>
        <w:rPr>
          <w:szCs w:val="22"/>
        </w:rPr>
      </w:pPr>
      <w:r>
        <w:rPr>
          <w:szCs w:val="22"/>
        </w:rPr>
        <w:t xml:space="preserve">2.1. Ciljevi prostornog razvoja županijskog značaja </w:t>
      </w:r>
    </w:p>
    <w:p w:rsidR="00012172" w:rsidRDefault="00012172">
      <w:pPr>
        <w:rPr>
          <w:szCs w:val="22"/>
        </w:rPr>
      </w:pPr>
      <w:r>
        <w:rPr>
          <w:szCs w:val="22"/>
        </w:rPr>
        <w:t xml:space="preserve">2.1.1. Razvoj gradova i naselja posebnih funkcija i infrastrukturnih sustava </w:t>
      </w:r>
    </w:p>
    <w:p w:rsidR="00012172" w:rsidRDefault="00012172">
      <w:pPr>
        <w:rPr>
          <w:szCs w:val="22"/>
        </w:rPr>
      </w:pPr>
      <w:r>
        <w:rPr>
          <w:szCs w:val="22"/>
        </w:rPr>
        <w:t xml:space="preserve">2.1.2. Racionalno korištenje prirodnih izvora </w:t>
      </w:r>
    </w:p>
    <w:p w:rsidR="00012172" w:rsidRDefault="00012172">
      <w:pPr>
        <w:rPr>
          <w:szCs w:val="22"/>
        </w:rPr>
      </w:pPr>
      <w:r>
        <w:rPr>
          <w:szCs w:val="22"/>
        </w:rPr>
        <w:t xml:space="preserve">2.1.3. Očuvanje ekološke stabilnosti i vrijednih dijelova okoliša </w:t>
      </w:r>
    </w:p>
    <w:p w:rsidR="00012172" w:rsidRDefault="00012172">
      <w:pPr>
        <w:rPr>
          <w:szCs w:val="22"/>
        </w:rPr>
      </w:pPr>
      <w:r>
        <w:rPr>
          <w:szCs w:val="22"/>
        </w:rPr>
        <w:t xml:space="preserve">2.2. Ciljevi prostornog razvoja gradskog ili općinskog značaja </w:t>
      </w:r>
    </w:p>
    <w:p w:rsidR="00012172" w:rsidRDefault="00012172">
      <w:pPr>
        <w:pStyle w:val="StandardWeb"/>
        <w:spacing w:before="0" w:beforeAutospacing="0" w:after="0" w:afterAutospacing="0"/>
        <w:rPr>
          <w:szCs w:val="22"/>
        </w:rPr>
      </w:pPr>
      <w:r>
        <w:rPr>
          <w:szCs w:val="22"/>
        </w:rPr>
        <w:t xml:space="preserve">2.2.1. Demografski razvoj </w:t>
      </w:r>
    </w:p>
    <w:p w:rsidR="00012172" w:rsidRDefault="00012172">
      <w:pPr>
        <w:rPr>
          <w:szCs w:val="22"/>
        </w:rPr>
      </w:pPr>
      <w:r>
        <w:rPr>
          <w:szCs w:val="22"/>
        </w:rPr>
        <w:t xml:space="preserve">2.2.2. Odabir prostorno razvojne strukture </w:t>
      </w:r>
    </w:p>
    <w:p w:rsidR="00012172" w:rsidRDefault="00012172">
      <w:pPr>
        <w:rPr>
          <w:szCs w:val="22"/>
        </w:rPr>
      </w:pPr>
      <w:r>
        <w:rPr>
          <w:szCs w:val="22"/>
        </w:rPr>
        <w:t xml:space="preserve">2.2.3. Razvoj naselja, društvene, prometne i komunalne infrastrukture </w:t>
      </w:r>
    </w:p>
    <w:p w:rsidR="00012172" w:rsidRDefault="00012172">
      <w:pPr>
        <w:rPr>
          <w:szCs w:val="22"/>
        </w:rPr>
      </w:pPr>
      <w:r>
        <w:rPr>
          <w:szCs w:val="22"/>
        </w:rPr>
        <w:t xml:space="preserve">2.2.4. Zaštita krajobraznih i prirodnih vrijednosti i posebnosti i kulturno-povijesnih cjelina </w:t>
      </w:r>
    </w:p>
    <w:p w:rsidR="00012172" w:rsidRDefault="00012172">
      <w:pPr>
        <w:rPr>
          <w:szCs w:val="22"/>
        </w:rPr>
      </w:pPr>
      <w:r>
        <w:rPr>
          <w:szCs w:val="22"/>
        </w:rPr>
        <w:t xml:space="preserve">2.3. Ciljevi prostornog uređenja naselja na području grada ili općine </w:t>
      </w:r>
    </w:p>
    <w:p w:rsidR="00012172" w:rsidRDefault="00012172">
      <w:pPr>
        <w:rPr>
          <w:szCs w:val="22"/>
        </w:rPr>
      </w:pPr>
      <w:r>
        <w:rPr>
          <w:szCs w:val="22"/>
        </w:rPr>
        <w:t xml:space="preserve">2.3.1. Racionalno korištenje i zaštita prostora </w:t>
      </w:r>
    </w:p>
    <w:p w:rsidR="00012172" w:rsidRDefault="00012172">
      <w:pPr>
        <w:rPr>
          <w:szCs w:val="22"/>
        </w:rPr>
      </w:pPr>
      <w:r>
        <w:rPr>
          <w:szCs w:val="22"/>
        </w:rPr>
        <w:t xml:space="preserve">2.3.2. Utvrđivanje građevinskih područja naselja u odnosu na postojeći i planirani broj stanovnika, gustoću stanovanja, izgrađenost, iskorištenost i gustoću izgrađenosti, obilježja naselja, vrijednosti i posebnosti krajobraza, prirodnih i kulturno-povijesnih cjelina </w:t>
      </w:r>
    </w:p>
    <w:p w:rsidR="00012172" w:rsidRDefault="00012172">
      <w:pPr>
        <w:rPr>
          <w:szCs w:val="22"/>
        </w:rPr>
      </w:pPr>
      <w:r>
        <w:rPr>
          <w:szCs w:val="22"/>
        </w:rPr>
        <w:t xml:space="preserve">2.3.3. Unapređenje uređenja naselja i komunalna infrastrukture </w:t>
      </w:r>
    </w:p>
    <w:p w:rsidR="00012172" w:rsidRDefault="00012172">
      <w:pPr>
        <w:rPr>
          <w:szCs w:val="22"/>
        </w:rPr>
      </w:pPr>
      <w:r>
        <w:rPr>
          <w:szCs w:val="22"/>
        </w:rPr>
        <w:t xml:space="preserve">3. PLAN PROSTORNOG UREĐENJA </w:t>
      </w:r>
    </w:p>
    <w:p w:rsidR="00012172" w:rsidRDefault="00012172">
      <w:pPr>
        <w:rPr>
          <w:szCs w:val="22"/>
        </w:rPr>
      </w:pPr>
      <w:r>
        <w:rPr>
          <w:szCs w:val="22"/>
        </w:rPr>
        <w:t xml:space="preserve">3.1. Prikaz prostornog razvoja na području općine ili grada u odnosu na prostornu i gospodarsku strukturu županije </w:t>
      </w:r>
    </w:p>
    <w:p w:rsidR="00012172" w:rsidRDefault="00012172">
      <w:pPr>
        <w:rPr>
          <w:szCs w:val="22"/>
        </w:rPr>
      </w:pPr>
      <w:r>
        <w:rPr>
          <w:szCs w:val="22"/>
        </w:rPr>
        <w:t xml:space="preserve">3.2. Organizacija prostora i osnovna namjena i korištenje površina </w:t>
      </w:r>
    </w:p>
    <w:p w:rsidR="00012172" w:rsidRDefault="00012172">
      <w:pPr>
        <w:rPr>
          <w:szCs w:val="22"/>
        </w:rPr>
      </w:pPr>
      <w:r>
        <w:rPr>
          <w:szCs w:val="22"/>
        </w:rPr>
        <w:t xml:space="preserve">3.2.1. Iskaz prostornih pokazatelja za namjenu površina (naselja i izgrađene strukture van naselja; poljoprivredne, šumske, vodne te površine posebne namjene i ostale površine) - tablica 3. </w:t>
      </w:r>
    </w:p>
    <w:p w:rsidR="00012172" w:rsidRDefault="00012172">
      <w:pPr>
        <w:rPr>
          <w:szCs w:val="22"/>
        </w:rPr>
      </w:pPr>
      <w:r>
        <w:rPr>
          <w:szCs w:val="22"/>
        </w:rPr>
        <w:t xml:space="preserve">3.3. Prikaz gospodarskih i društvenih djelatnosti </w:t>
      </w:r>
    </w:p>
    <w:p w:rsidR="00012172" w:rsidRDefault="00012172">
      <w:pPr>
        <w:rPr>
          <w:szCs w:val="22"/>
        </w:rPr>
      </w:pPr>
      <w:r>
        <w:rPr>
          <w:szCs w:val="22"/>
        </w:rPr>
        <w:t xml:space="preserve">3.4. Uvjeti korištenja uređenja i zaštite prostora </w:t>
      </w:r>
    </w:p>
    <w:p w:rsidR="00012172" w:rsidRDefault="00012172">
      <w:pPr>
        <w:rPr>
          <w:szCs w:val="22"/>
        </w:rPr>
      </w:pPr>
      <w:r>
        <w:rPr>
          <w:szCs w:val="22"/>
        </w:rPr>
        <w:t xml:space="preserve">3.4.1. Iskaz površina za posebno vrijedna i/ili osjetljiva područja i prostorne cjeline (prirodni resursi, krajobraz, prirodne vrijednosti i kulturno-povijesne cjeline) - tablica 3. </w:t>
      </w:r>
    </w:p>
    <w:p w:rsidR="00012172" w:rsidRDefault="00012172">
      <w:pPr>
        <w:rPr>
          <w:szCs w:val="22"/>
        </w:rPr>
      </w:pPr>
      <w:r>
        <w:rPr>
          <w:szCs w:val="22"/>
        </w:rPr>
        <w:t xml:space="preserve">3.5. Razvoj infrastrukturnih sustava </w:t>
      </w:r>
    </w:p>
    <w:p w:rsidR="00012172" w:rsidRDefault="00012172">
      <w:pPr>
        <w:rPr>
          <w:szCs w:val="22"/>
        </w:rPr>
      </w:pPr>
      <w:r>
        <w:rPr>
          <w:szCs w:val="22"/>
        </w:rPr>
        <w:t xml:space="preserve">3.5.1. Prometni infrastrukturni sustav (ceste, željeznice, zračne, morske i riječne luke, javne telekomunikacije, produktovodi) </w:t>
      </w:r>
    </w:p>
    <w:p w:rsidR="00012172" w:rsidRDefault="00012172">
      <w:pPr>
        <w:rPr>
          <w:szCs w:val="22"/>
        </w:rPr>
      </w:pPr>
      <w:r>
        <w:rPr>
          <w:szCs w:val="22"/>
        </w:rPr>
        <w:t xml:space="preserve">3.5.2. Energetski sustav </w:t>
      </w:r>
    </w:p>
    <w:p w:rsidR="00012172" w:rsidRDefault="00012172">
      <w:pPr>
        <w:rPr>
          <w:szCs w:val="22"/>
        </w:rPr>
      </w:pPr>
      <w:r>
        <w:rPr>
          <w:szCs w:val="22"/>
        </w:rPr>
        <w:t xml:space="preserve">3.5.3. Vodnogospodarski sustav (vodoopskrba, odvodnja, uređenje vodotoka i voda, melioracijska odvodnja) </w:t>
      </w:r>
    </w:p>
    <w:p w:rsidR="00012172" w:rsidRDefault="00012172">
      <w:pPr>
        <w:rPr>
          <w:szCs w:val="22"/>
        </w:rPr>
      </w:pPr>
      <w:r>
        <w:rPr>
          <w:szCs w:val="22"/>
        </w:rPr>
        <w:t xml:space="preserve">3.6. Postupanje s otpadom </w:t>
      </w:r>
    </w:p>
    <w:p w:rsidR="00012172" w:rsidRDefault="00012172">
      <w:pPr>
        <w:rPr>
          <w:szCs w:val="22"/>
        </w:rPr>
      </w:pPr>
      <w:r>
        <w:rPr>
          <w:szCs w:val="22"/>
        </w:rPr>
        <w:t xml:space="preserve">3.7. Sprječavanje nepovoljna utjecaja na okoliš. </w:t>
      </w:r>
    </w:p>
    <w:p w:rsidR="00012172" w:rsidRDefault="00012172">
      <w:pPr>
        <w:rPr>
          <w:rFonts w:ascii="Arial" w:hAnsi="Arial" w:cs="Arial"/>
          <w:sz w:val="22"/>
          <w:szCs w:val="22"/>
        </w:rPr>
      </w:pPr>
    </w:p>
    <w:p w:rsidR="00012172" w:rsidRDefault="00012172">
      <w:pPr>
        <w:pStyle w:val="StandardWeb"/>
        <w:spacing w:before="0" w:beforeAutospacing="0" w:after="0" w:afterAutospacing="0"/>
        <w:rPr>
          <w:szCs w:val="22"/>
        </w:rPr>
      </w:pPr>
      <w:r>
        <w:rPr>
          <w:szCs w:val="22"/>
        </w:rPr>
        <w:t xml:space="preserve">II. Odredbe za provođenje </w:t>
      </w:r>
    </w:p>
    <w:p w:rsidR="00012172" w:rsidRDefault="00012172">
      <w:pPr>
        <w:rPr>
          <w:szCs w:val="22"/>
        </w:rPr>
      </w:pPr>
      <w:r>
        <w:rPr>
          <w:szCs w:val="22"/>
        </w:rPr>
        <w:t xml:space="preserve">1. Uvjeti za određivanje namjena površina na području općine ili grada </w:t>
      </w:r>
    </w:p>
    <w:p w:rsidR="00012172" w:rsidRDefault="00012172">
      <w:pPr>
        <w:rPr>
          <w:szCs w:val="22"/>
        </w:rPr>
      </w:pPr>
      <w:r>
        <w:rPr>
          <w:szCs w:val="22"/>
        </w:rPr>
        <w:t xml:space="preserve">2. Uvjeti za uređenje prostora </w:t>
      </w:r>
    </w:p>
    <w:p w:rsidR="00012172" w:rsidRDefault="00012172">
      <w:pPr>
        <w:rPr>
          <w:szCs w:val="22"/>
        </w:rPr>
      </w:pPr>
      <w:r>
        <w:rPr>
          <w:szCs w:val="22"/>
        </w:rPr>
        <w:t xml:space="preserve">2.1. Građevine od važnosti za Državu i županiju </w:t>
      </w:r>
    </w:p>
    <w:p w:rsidR="00012172" w:rsidRDefault="00012172">
      <w:pPr>
        <w:rPr>
          <w:szCs w:val="22"/>
        </w:rPr>
      </w:pPr>
      <w:r>
        <w:rPr>
          <w:szCs w:val="22"/>
        </w:rPr>
        <w:t xml:space="preserve">2.2. Građevinska područja naselja </w:t>
      </w:r>
    </w:p>
    <w:p w:rsidR="00012172" w:rsidRDefault="00012172">
      <w:pPr>
        <w:rPr>
          <w:szCs w:val="22"/>
        </w:rPr>
      </w:pPr>
      <w:r>
        <w:rPr>
          <w:szCs w:val="22"/>
        </w:rPr>
        <w:t xml:space="preserve">2.3. Izgrađene strukture van naselja </w:t>
      </w:r>
    </w:p>
    <w:p w:rsidR="00012172" w:rsidRDefault="00012172">
      <w:pPr>
        <w:rPr>
          <w:szCs w:val="22"/>
        </w:rPr>
      </w:pPr>
      <w:r>
        <w:rPr>
          <w:szCs w:val="22"/>
        </w:rPr>
        <w:t xml:space="preserve">3. Uvjeti smještaja gospodarskih djelatnosti </w:t>
      </w:r>
    </w:p>
    <w:p w:rsidR="00012172" w:rsidRDefault="00012172">
      <w:pPr>
        <w:rPr>
          <w:szCs w:val="22"/>
        </w:rPr>
      </w:pPr>
      <w:r>
        <w:rPr>
          <w:szCs w:val="22"/>
        </w:rPr>
        <w:t xml:space="preserve">4. Uvjeti smještaja društvenih djelatnosti </w:t>
      </w:r>
    </w:p>
    <w:p w:rsidR="00012172" w:rsidRDefault="00012172">
      <w:pPr>
        <w:rPr>
          <w:szCs w:val="22"/>
        </w:rPr>
      </w:pPr>
      <w:r>
        <w:rPr>
          <w:szCs w:val="22"/>
        </w:rPr>
        <w:t xml:space="preserve">5. Uvjeti utvrđivanja koridora ili trasa i površina prometnih i drugih infrastrukturnih sustava </w:t>
      </w:r>
    </w:p>
    <w:p w:rsidR="00012172" w:rsidRDefault="00012172">
      <w:pPr>
        <w:rPr>
          <w:szCs w:val="22"/>
        </w:rPr>
      </w:pPr>
      <w:r>
        <w:rPr>
          <w:szCs w:val="22"/>
        </w:rPr>
        <w:t xml:space="preserve">6. Mjere zaštite krajobraznih i prirodnih vrijednosti i kulturno-povijesnih cjelina </w:t>
      </w:r>
    </w:p>
    <w:p w:rsidR="00012172" w:rsidRDefault="00012172">
      <w:pPr>
        <w:rPr>
          <w:szCs w:val="22"/>
        </w:rPr>
      </w:pPr>
      <w:r>
        <w:rPr>
          <w:szCs w:val="22"/>
        </w:rPr>
        <w:t xml:space="preserve">7. Postupanje s otpadom </w:t>
      </w:r>
    </w:p>
    <w:p w:rsidR="00012172" w:rsidRDefault="00012172">
      <w:pPr>
        <w:rPr>
          <w:szCs w:val="22"/>
        </w:rPr>
      </w:pPr>
      <w:r>
        <w:rPr>
          <w:szCs w:val="22"/>
        </w:rPr>
        <w:t xml:space="preserve">8. Mjere sprječavanja nepovoljna utjecaja na okoliš </w:t>
      </w:r>
    </w:p>
    <w:p w:rsidR="00012172" w:rsidRDefault="00012172">
      <w:pPr>
        <w:rPr>
          <w:szCs w:val="22"/>
        </w:rPr>
      </w:pPr>
      <w:r>
        <w:rPr>
          <w:szCs w:val="22"/>
        </w:rPr>
        <w:t xml:space="preserve">9. Mjere provedbe plana </w:t>
      </w:r>
    </w:p>
    <w:p w:rsidR="00012172" w:rsidRDefault="00012172">
      <w:pPr>
        <w:rPr>
          <w:szCs w:val="22"/>
        </w:rPr>
      </w:pPr>
      <w:r>
        <w:rPr>
          <w:szCs w:val="22"/>
        </w:rPr>
        <w:t xml:space="preserve">9.1. Obveza izrade prostornih planova </w:t>
      </w:r>
    </w:p>
    <w:p w:rsidR="00012172" w:rsidRDefault="00012172">
      <w:pPr>
        <w:rPr>
          <w:szCs w:val="22"/>
        </w:rPr>
      </w:pPr>
      <w:r>
        <w:rPr>
          <w:szCs w:val="22"/>
        </w:rPr>
        <w:t xml:space="preserve">9.2. Primjena posebnih razvojnih i drugih mjera </w:t>
      </w:r>
    </w:p>
    <w:p w:rsidR="00012172" w:rsidRDefault="00012172">
      <w:pPr>
        <w:rPr>
          <w:szCs w:val="22"/>
        </w:rPr>
      </w:pPr>
      <w:r>
        <w:rPr>
          <w:szCs w:val="22"/>
        </w:rPr>
        <w:t>9.3. Rekonstrukcija građevina čija je namjena protivna planiranoj namjeni</w:t>
      </w:r>
    </w:p>
    <w:p w:rsidR="00012172" w:rsidRDefault="00012172"/>
    <w:p w:rsidR="00012172" w:rsidRDefault="00012172"/>
    <w:p w:rsidR="00012172" w:rsidRDefault="00012172"/>
    <w:p w:rsidR="00012172" w:rsidRDefault="00012172"/>
    <w:p w:rsidR="00012172" w:rsidRDefault="00012172">
      <w:pPr>
        <w:rPr>
          <w:rFonts w:ascii="Arial" w:hAnsi="Arial" w:cs="Arial"/>
          <w:sz w:val="22"/>
          <w:szCs w:val="22"/>
        </w:rPr>
      </w:pPr>
      <w:r>
        <w:rPr>
          <w:rFonts w:ascii="Arial" w:hAnsi="Arial" w:cs="Arial"/>
          <w:sz w:val="22"/>
          <w:szCs w:val="22"/>
        </w:rPr>
        <w:t>B) GRAFIČKOG</w:t>
      </w:r>
    </w:p>
    <w:p w:rsidR="00012172" w:rsidRDefault="00012172">
      <w:pPr>
        <w:rPr>
          <w:szCs w:val="22"/>
        </w:rPr>
      </w:pPr>
      <w:r>
        <w:rPr>
          <w:szCs w:val="22"/>
        </w:rPr>
        <w:t xml:space="preserve">Grafički dio plana sadrži u grafičkom dijelu kartografske prikaze i to: </w:t>
      </w:r>
    </w:p>
    <w:p w:rsidR="00012172" w:rsidRDefault="00012172">
      <w:pPr>
        <w:rPr>
          <w:szCs w:val="22"/>
        </w:rPr>
      </w:pPr>
    </w:p>
    <w:p w:rsidR="00012172" w:rsidRDefault="00012172">
      <w:pPr>
        <w:pStyle w:val="StandardWeb"/>
        <w:spacing w:before="0" w:beforeAutospacing="0" w:after="0" w:afterAutospacing="0"/>
        <w:rPr>
          <w:rFonts w:ascii="Arial" w:hAnsi="Arial" w:cs="Arial"/>
          <w:sz w:val="22"/>
          <w:szCs w:val="22"/>
        </w:rPr>
      </w:pPr>
      <w:r>
        <w:rPr>
          <w:rFonts w:ascii="Arial" w:hAnsi="Arial" w:cs="Arial"/>
          <w:sz w:val="22"/>
          <w:szCs w:val="22"/>
        </w:rPr>
        <w:t>1. KORIŠTENJE I NAMJENA POVRŠINA</w:t>
      </w:r>
      <w:r>
        <w:rPr>
          <w:rFonts w:ascii="Arial" w:hAnsi="Arial" w:cs="Arial"/>
          <w:sz w:val="22"/>
          <w:szCs w:val="22"/>
        </w:rPr>
        <w:tab/>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 25.000</w:t>
      </w:r>
    </w:p>
    <w:p w:rsidR="00012172" w:rsidRDefault="00012172">
      <w:pPr>
        <w:rPr>
          <w:rFonts w:ascii="Arial" w:hAnsi="Arial" w:cs="Arial"/>
          <w:sz w:val="22"/>
          <w:szCs w:val="22"/>
        </w:rPr>
      </w:pPr>
      <w:r>
        <w:rPr>
          <w:rFonts w:ascii="Arial" w:hAnsi="Arial" w:cs="Arial"/>
          <w:sz w:val="22"/>
          <w:szCs w:val="22"/>
        </w:rPr>
        <w:t xml:space="preserve">2. INFRASTRUKTURNI SUSTAVI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 25.000</w:t>
      </w:r>
    </w:p>
    <w:p w:rsidR="00012172" w:rsidRDefault="00012172">
      <w:pPr>
        <w:rPr>
          <w:rFonts w:ascii="Arial" w:hAnsi="Arial" w:cs="Arial"/>
          <w:sz w:val="22"/>
          <w:szCs w:val="22"/>
        </w:rPr>
      </w:pPr>
      <w:r>
        <w:rPr>
          <w:rFonts w:ascii="Arial" w:hAnsi="Arial" w:cs="Arial"/>
          <w:sz w:val="22"/>
          <w:szCs w:val="22"/>
        </w:rPr>
        <w:t xml:space="preserve">3. UVJETI ZA KORIŠTENJE, UREĐENJE I ZAŠTITU PROSTORA </w:t>
      </w:r>
      <w:r>
        <w:rPr>
          <w:rFonts w:ascii="Arial" w:hAnsi="Arial" w:cs="Arial"/>
          <w:sz w:val="22"/>
          <w:szCs w:val="22"/>
        </w:rPr>
        <w:tab/>
      </w:r>
      <w:r>
        <w:rPr>
          <w:rFonts w:ascii="Arial" w:hAnsi="Arial" w:cs="Arial"/>
          <w:sz w:val="22"/>
          <w:szCs w:val="22"/>
        </w:rPr>
        <w:tab/>
        <w:t>1: 25.000</w:t>
      </w:r>
    </w:p>
    <w:p w:rsidR="00012172" w:rsidRDefault="00012172">
      <w:pPr>
        <w:rPr>
          <w:szCs w:val="22"/>
        </w:rPr>
      </w:pPr>
    </w:p>
    <w:p w:rsidR="00012172" w:rsidRDefault="00012172">
      <w:pPr>
        <w:rPr>
          <w:szCs w:val="22"/>
        </w:rPr>
      </w:pPr>
    </w:p>
    <w:p w:rsidR="00012172" w:rsidRDefault="00012172">
      <w:pPr>
        <w:rPr>
          <w:rFonts w:ascii="Arial" w:hAnsi="Arial" w:cs="Arial"/>
          <w:sz w:val="22"/>
          <w:szCs w:val="22"/>
        </w:rPr>
      </w:pPr>
      <w:r>
        <w:rPr>
          <w:rFonts w:ascii="Arial" w:hAnsi="Arial" w:cs="Arial"/>
          <w:sz w:val="22"/>
          <w:szCs w:val="22"/>
        </w:rPr>
        <w:t>4. GRAĐEVINSKA PODRUČJA NASELJA:</w:t>
      </w:r>
    </w:p>
    <w:p w:rsidR="00012172" w:rsidRDefault="00012172">
      <w:pPr>
        <w:rPr>
          <w:rFonts w:ascii="Arial" w:hAnsi="Arial" w:cs="Arial"/>
          <w:sz w:val="22"/>
          <w:szCs w:val="22"/>
        </w:rPr>
      </w:pPr>
      <w:r>
        <w:rPr>
          <w:rFonts w:ascii="Arial" w:hAnsi="Arial" w:cs="Arial"/>
          <w:sz w:val="22"/>
          <w:szCs w:val="22"/>
        </w:rPr>
        <w:t>4.1. Deklešanec, Dropkovec, Gornja Rijeka, Štrigovec, Kostanjevec Riječki</w:t>
      </w:r>
      <w:r>
        <w:rPr>
          <w:rFonts w:ascii="Arial" w:hAnsi="Arial" w:cs="Arial"/>
          <w:sz w:val="22"/>
          <w:szCs w:val="22"/>
        </w:rPr>
        <w:tab/>
        <w:t>1: 5.000</w:t>
      </w:r>
    </w:p>
    <w:p w:rsidR="00012172" w:rsidRDefault="00012172">
      <w:pPr>
        <w:rPr>
          <w:rFonts w:ascii="Arial" w:hAnsi="Arial" w:cs="Arial"/>
          <w:sz w:val="22"/>
          <w:szCs w:val="22"/>
        </w:rPr>
      </w:pPr>
      <w:r>
        <w:rPr>
          <w:rFonts w:ascii="Arial" w:hAnsi="Arial" w:cs="Arial"/>
          <w:sz w:val="22"/>
          <w:szCs w:val="22"/>
        </w:rPr>
        <w:t>4.2. Fodrovec Riječki, Kolarec, Pofuki, Vukšinec Riječki</w:t>
      </w:r>
      <w:r>
        <w:rPr>
          <w:rFonts w:ascii="Arial" w:hAnsi="Arial" w:cs="Arial"/>
          <w:sz w:val="22"/>
          <w:szCs w:val="22"/>
        </w:rPr>
        <w:tab/>
      </w:r>
      <w:r>
        <w:rPr>
          <w:rFonts w:ascii="Arial" w:hAnsi="Arial" w:cs="Arial"/>
          <w:sz w:val="22"/>
          <w:szCs w:val="22"/>
        </w:rPr>
        <w:tab/>
        <w:t xml:space="preserve"> </w:t>
      </w:r>
      <w:r>
        <w:rPr>
          <w:rFonts w:ascii="Arial" w:hAnsi="Arial" w:cs="Arial"/>
          <w:sz w:val="22"/>
          <w:szCs w:val="22"/>
        </w:rPr>
        <w:tab/>
      </w:r>
      <w:r>
        <w:rPr>
          <w:rFonts w:ascii="Arial" w:hAnsi="Arial" w:cs="Arial"/>
          <w:sz w:val="22"/>
          <w:szCs w:val="22"/>
        </w:rPr>
        <w:tab/>
        <w:t>1: 5.000</w:t>
      </w:r>
    </w:p>
    <w:p w:rsidR="00012172" w:rsidRDefault="00012172">
      <w:pPr>
        <w:rPr>
          <w:rFonts w:ascii="Arial" w:hAnsi="Arial" w:cs="Arial"/>
          <w:sz w:val="22"/>
          <w:szCs w:val="22"/>
        </w:rPr>
      </w:pPr>
      <w:r>
        <w:rPr>
          <w:rFonts w:ascii="Arial" w:hAnsi="Arial" w:cs="Arial"/>
          <w:sz w:val="22"/>
          <w:szCs w:val="22"/>
        </w:rPr>
        <w:t>4.3. Barlabaševec, Donja Rijeka, Fajerovec, Lukačevec, Nemčevec</w:t>
      </w:r>
      <w:r>
        <w:rPr>
          <w:rFonts w:ascii="Arial" w:hAnsi="Arial" w:cs="Arial"/>
          <w:sz w:val="22"/>
          <w:szCs w:val="22"/>
        </w:rPr>
        <w:tab/>
      </w:r>
      <w:r>
        <w:rPr>
          <w:rFonts w:ascii="Arial" w:hAnsi="Arial" w:cs="Arial"/>
          <w:sz w:val="22"/>
          <w:szCs w:val="22"/>
        </w:rPr>
        <w:tab/>
        <w:t>1: 5.000</w:t>
      </w:r>
    </w:p>
    <w:p w:rsidR="00012172" w:rsidRDefault="00012172">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rsidR="00012172" w:rsidRDefault="00012172">
      <w:pPr>
        <w:pStyle w:val="Tekst"/>
        <w:spacing w:line="360" w:lineRule="auto"/>
        <w:rPr>
          <w:rFonts w:ascii="Arial" w:hAnsi="Arial" w:cs="Arial"/>
          <w:sz w:val="22"/>
          <w:szCs w:val="22"/>
          <w:lang w:val="hr-HR"/>
        </w:rPr>
      </w:pPr>
    </w:p>
    <w:p w:rsidR="00012172" w:rsidRDefault="00012172">
      <w:pPr>
        <w:pStyle w:val="clanak"/>
        <w:rPr>
          <w:rFonts w:ascii="Times New Roman" w:hAnsi="Times New Roman"/>
          <w:b/>
          <w:sz w:val="24"/>
          <w:szCs w:val="22"/>
          <w:lang w:val="hr-HR" w:eastAsia="en-US"/>
        </w:rPr>
      </w:pPr>
    </w:p>
    <w:p w:rsidR="00012172" w:rsidRDefault="00012172">
      <w:pPr>
        <w:pStyle w:val="Naslov1"/>
        <w:jc w:val="center"/>
        <w:rPr>
          <w:rFonts w:ascii="Times New Roman" w:hAnsi="Times New Roman" w:cs="Times New Roman"/>
        </w:rPr>
      </w:pPr>
      <w:bookmarkStart w:id="64" w:name="_Toc49756021"/>
      <w:bookmarkStart w:id="65" w:name="_Toc95140611"/>
      <w:r>
        <w:rPr>
          <w:rFonts w:ascii="Times New Roman" w:hAnsi="Times New Roman" w:cs="Times New Roman"/>
        </w:rPr>
        <w:t>II. ODREDBE ZA PROVOĐENJE</w:t>
      </w:r>
      <w:bookmarkEnd w:id="64"/>
      <w:bookmarkEnd w:id="65"/>
    </w:p>
    <w:p w:rsidR="00012172" w:rsidRDefault="00012172">
      <w:pPr>
        <w:pStyle w:val="Tekst"/>
        <w:jc w:val="center"/>
        <w:rPr>
          <w:rFonts w:ascii="Times New Roman" w:hAnsi="Times New Roman"/>
          <w:b/>
          <w:sz w:val="28"/>
          <w:szCs w:val="28"/>
          <w:lang w:val="hr-HR"/>
        </w:rPr>
      </w:pPr>
    </w:p>
    <w:p w:rsidR="00012172" w:rsidRDefault="00012172">
      <w:pPr>
        <w:pStyle w:val="Naslov1"/>
        <w:numPr>
          <w:ilvl w:val="0"/>
          <w:numId w:val="24"/>
        </w:numPr>
        <w:rPr>
          <w:rFonts w:ascii="Times New Roman" w:hAnsi="Times New Roman" w:cs="Times New Roman"/>
        </w:rPr>
      </w:pPr>
      <w:bookmarkStart w:id="66" w:name="_Toc49756022"/>
      <w:bookmarkStart w:id="67" w:name="_Toc95140612"/>
      <w:r>
        <w:rPr>
          <w:rFonts w:ascii="Times New Roman" w:hAnsi="Times New Roman" w:cs="Times New Roman"/>
        </w:rPr>
        <w:t xml:space="preserve">Uvjeti za određivanje namjena površina na području općine </w:t>
      </w:r>
      <w:bookmarkEnd w:id="66"/>
      <w:r>
        <w:rPr>
          <w:rFonts w:ascii="Times New Roman" w:hAnsi="Times New Roman" w:cs="Times New Roman"/>
        </w:rPr>
        <w:t xml:space="preserve"> Gornja Rijeka</w:t>
      </w:r>
      <w:bookmarkEnd w:id="67"/>
    </w:p>
    <w:p w:rsidR="00012172" w:rsidRDefault="00012172"/>
    <w:p w:rsidR="00012172" w:rsidRDefault="00012172">
      <w:pPr>
        <w:pStyle w:val="Tekst"/>
        <w:jc w:val="center"/>
        <w:rPr>
          <w:rFonts w:ascii="Arial" w:hAnsi="Arial" w:cs="Arial"/>
          <w:b/>
          <w:sz w:val="28"/>
          <w:szCs w:val="28"/>
          <w:lang w:val="hr-HR"/>
        </w:rPr>
      </w:pPr>
    </w:p>
    <w:p w:rsidR="00012172" w:rsidRDefault="00012172">
      <w:pPr>
        <w:jc w:val="center"/>
        <w:rPr>
          <w:szCs w:val="22"/>
        </w:rPr>
      </w:pPr>
      <w:r>
        <w:rPr>
          <w:szCs w:val="22"/>
        </w:rPr>
        <w:t>Članak 4.</w:t>
      </w:r>
    </w:p>
    <w:p w:rsidR="00012172" w:rsidRDefault="00012172">
      <w:pPr>
        <w:jc w:val="both"/>
        <w:rPr>
          <w:szCs w:val="22"/>
        </w:rPr>
      </w:pPr>
      <w:r>
        <w:rPr>
          <w:szCs w:val="22"/>
        </w:rPr>
        <w:t xml:space="preserve">(1) Namjena površina na području općine Gornja Rijeka prikazana je na karti 1: Korištenje i namjena površina. </w:t>
      </w:r>
    </w:p>
    <w:p w:rsidR="00012172" w:rsidRDefault="00012172">
      <w:pPr>
        <w:jc w:val="both"/>
        <w:rPr>
          <w:szCs w:val="22"/>
        </w:rPr>
      </w:pPr>
    </w:p>
    <w:p w:rsidR="00012172" w:rsidRDefault="00012172">
      <w:pPr>
        <w:jc w:val="both"/>
      </w:pPr>
      <w:r>
        <w:t xml:space="preserve">(2) Korištenje i namjena površina uvjetovani su osnovnim obilježjima prostora i podjelom na izgrađena (i namijenjena gradnji), kultivirana i prirodna područja. </w:t>
      </w:r>
    </w:p>
    <w:p w:rsidR="00012172" w:rsidRDefault="00012172">
      <w:pPr>
        <w:jc w:val="both"/>
        <w:rPr>
          <w:rFonts w:ascii="Arial" w:hAnsi="Arial" w:cs="Arial"/>
          <w:sz w:val="22"/>
        </w:rPr>
      </w:pPr>
    </w:p>
    <w:p w:rsidR="00012172" w:rsidRDefault="00012172">
      <w:pPr>
        <w:pStyle w:val="xl30"/>
        <w:pBdr>
          <w:left w:val="none" w:sz="0" w:space="0" w:color="auto"/>
          <w:bottom w:val="none" w:sz="0" w:space="0" w:color="auto"/>
        </w:pBdr>
        <w:spacing w:before="0" w:beforeAutospacing="0" w:after="0" w:afterAutospacing="0"/>
        <w:rPr>
          <w:rFonts w:ascii="Times New Roman" w:hAnsi="Times New Roman"/>
        </w:rPr>
      </w:pPr>
      <w:r>
        <w:rPr>
          <w:rFonts w:ascii="Times New Roman" w:hAnsi="Times New Roman"/>
        </w:rPr>
        <w:t>Članak 5.</w:t>
      </w:r>
    </w:p>
    <w:p w:rsidR="00012172" w:rsidRDefault="00012172">
      <w:pPr>
        <w:rPr>
          <w:szCs w:val="22"/>
          <w:lang w:eastAsia="en-US"/>
        </w:rPr>
      </w:pPr>
      <w:r>
        <w:rPr>
          <w:szCs w:val="22"/>
          <w:lang w:eastAsia="en-US"/>
        </w:rPr>
        <w:t>Prostor općine  Gornja Rijeka prema namjeni se dijeli na:</w:t>
      </w:r>
    </w:p>
    <w:p w:rsidR="00012172" w:rsidRDefault="00012172">
      <w:pPr>
        <w:rPr>
          <w:szCs w:val="22"/>
          <w:lang w:eastAsia="en-US"/>
        </w:rPr>
      </w:pPr>
    </w:p>
    <w:p w:rsidR="00012172" w:rsidRDefault="00012172">
      <w:pPr>
        <w:rPr>
          <w:szCs w:val="22"/>
          <w:lang w:eastAsia="en-US"/>
        </w:rPr>
      </w:pPr>
      <w:r>
        <w:rPr>
          <w:szCs w:val="22"/>
          <w:lang w:eastAsia="en-US"/>
        </w:rPr>
        <w:t>1)</w:t>
      </w:r>
      <w:r>
        <w:rPr>
          <w:szCs w:val="22"/>
          <w:lang w:eastAsia="en-US"/>
        </w:rPr>
        <w:tab/>
        <w:t>Površine građevinskih područja:</w:t>
      </w:r>
    </w:p>
    <w:p w:rsidR="00012172" w:rsidRDefault="00012172">
      <w:pPr>
        <w:ind w:left="705"/>
        <w:rPr>
          <w:szCs w:val="22"/>
          <w:lang w:eastAsia="en-US"/>
        </w:rPr>
      </w:pPr>
      <w:r>
        <w:rPr>
          <w:szCs w:val="22"/>
          <w:lang w:eastAsia="en-US"/>
        </w:rPr>
        <w:t>a) Zona mješovite-pretežito stambene namjene- gradnja u naseljima i izdvojenim dijelovima naselja</w:t>
      </w:r>
    </w:p>
    <w:p w:rsidR="00012172" w:rsidRDefault="00012172">
      <w:pPr>
        <w:ind w:left="705"/>
        <w:rPr>
          <w:szCs w:val="22"/>
          <w:lang w:eastAsia="en-US"/>
        </w:rPr>
      </w:pPr>
      <w:r>
        <w:rPr>
          <w:szCs w:val="22"/>
          <w:lang w:eastAsia="en-US"/>
        </w:rPr>
        <w:tab/>
      </w:r>
      <w:r>
        <w:rPr>
          <w:szCs w:val="22"/>
          <w:lang w:eastAsia="en-US"/>
        </w:rPr>
        <w:tab/>
        <w:t>- izgrađeni dio građevinskog područja</w:t>
      </w:r>
    </w:p>
    <w:p w:rsidR="00012172" w:rsidRDefault="00012172">
      <w:pPr>
        <w:ind w:left="705"/>
        <w:rPr>
          <w:szCs w:val="22"/>
          <w:lang w:eastAsia="en-US"/>
        </w:rPr>
      </w:pPr>
      <w:r>
        <w:rPr>
          <w:szCs w:val="22"/>
          <w:lang w:eastAsia="en-US"/>
        </w:rPr>
        <w:tab/>
      </w:r>
      <w:r>
        <w:rPr>
          <w:szCs w:val="22"/>
          <w:lang w:eastAsia="en-US"/>
        </w:rPr>
        <w:tab/>
        <w:t>- neizgrađeni dio građevinskog područja</w:t>
      </w:r>
    </w:p>
    <w:p w:rsidR="00012172" w:rsidRDefault="00012172">
      <w:pPr>
        <w:ind w:left="705"/>
        <w:rPr>
          <w:szCs w:val="22"/>
          <w:lang w:eastAsia="en-US"/>
        </w:rPr>
      </w:pPr>
      <w:r>
        <w:rPr>
          <w:szCs w:val="22"/>
          <w:lang w:eastAsia="en-US"/>
        </w:rPr>
        <w:t>b) Zone javnih i društvenih sadržaja</w:t>
      </w:r>
      <w:r w:rsidR="0064110D">
        <w:rPr>
          <w:szCs w:val="22"/>
          <w:lang w:eastAsia="en-US"/>
        </w:rPr>
        <w:t>,</w:t>
      </w:r>
    </w:p>
    <w:p w:rsidR="00F02C68" w:rsidRDefault="00012172">
      <w:pPr>
        <w:ind w:left="705"/>
        <w:rPr>
          <w:szCs w:val="22"/>
          <w:lang w:eastAsia="en-US"/>
        </w:rPr>
      </w:pPr>
      <w:r>
        <w:rPr>
          <w:szCs w:val="22"/>
          <w:lang w:eastAsia="en-US"/>
        </w:rPr>
        <w:t xml:space="preserve">c) Zone zelenila, </w:t>
      </w:r>
    </w:p>
    <w:p w:rsidR="00F02C68" w:rsidRDefault="00012172">
      <w:pPr>
        <w:ind w:left="705"/>
        <w:rPr>
          <w:szCs w:val="22"/>
          <w:lang w:eastAsia="en-US"/>
        </w:rPr>
      </w:pPr>
      <w:r>
        <w:rPr>
          <w:szCs w:val="22"/>
          <w:lang w:eastAsia="en-US"/>
        </w:rPr>
        <w:t xml:space="preserve">d) </w:t>
      </w:r>
      <w:r w:rsidR="00021CD9">
        <w:rPr>
          <w:szCs w:val="22"/>
          <w:lang w:eastAsia="en-US"/>
        </w:rPr>
        <w:t xml:space="preserve">Zone </w:t>
      </w:r>
      <w:r w:rsidR="0064110D">
        <w:rPr>
          <w:szCs w:val="22"/>
          <w:lang w:eastAsia="en-US"/>
        </w:rPr>
        <w:t>športa i rekreacije,</w:t>
      </w:r>
    </w:p>
    <w:p w:rsidR="00012172" w:rsidRDefault="00F02C68">
      <w:pPr>
        <w:ind w:left="705"/>
        <w:rPr>
          <w:szCs w:val="22"/>
          <w:lang w:eastAsia="en-US"/>
        </w:rPr>
      </w:pPr>
      <w:r>
        <w:rPr>
          <w:szCs w:val="22"/>
          <w:lang w:eastAsia="en-US"/>
        </w:rPr>
        <w:t xml:space="preserve">e) </w:t>
      </w:r>
      <w:r w:rsidR="00012172">
        <w:rPr>
          <w:szCs w:val="22"/>
          <w:lang w:eastAsia="en-US"/>
        </w:rPr>
        <w:t>Zone gospodarske namjene</w:t>
      </w:r>
      <w:r w:rsidR="0064110D">
        <w:rPr>
          <w:szCs w:val="22"/>
          <w:lang w:eastAsia="en-US"/>
        </w:rPr>
        <w:t>,</w:t>
      </w:r>
    </w:p>
    <w:p w:rsidR="00012172" w:rsidRDefault="00F02C68">
      <w:pPr>
        <w:rPr>
          <w:szCs w:val="22"/>
          <w:lang w:eastAsia="en-US"/>
        </w:rPr>
      </w:pPr>
      <w:r>
        <w:rPr>
          <w:szCs w:val="22"/>
          <w:lang w:eastAsia="en-US"/>
        </w:rPr>
        <w:tab/>
        <w:t>f</w:t>
      </w:r>
      <w:r w:rsidR="00B4503D">
        <w:rPr>
          <w:szCs w:val="22"/>
          <w:lang w:eastAsia="en-US"/>
        </w:rPr>
        <w:t>) Turističko-ugostiteljske</w:t>
      </w:r>
      <w:r w:rsidR="00012172">
        <w:rPr>
          <w:szCs w:val="22"/>
          <w:lang w:eastAsia="en-US"/>
        </w:rPr>
        <w:t xml:space="preserve"> namjene</w:t>
      </w:r>
      <w:r w:rsidR="0064110D">
        <w:rPr>
          <w:szCs w:val="22"/>
          <w:lang w:eastAsia="en-US"/>
        </w:rPr>
        <w:t>.</w:t>
      </w:r>
    </w:p>
    <w:p w:rsidR="00012172" w:rsidRDefault="00012172">
      <w:pPr>
        <w:ind w:left="705"/>
        <w:rPr>
          <w:szCs w:val="22"/>
          <w:lang w:eastAsia="en-US"/>
        </w:rPr>
      </w:pPr>
    </w:p>
    <w:p w:rsidR="00012172" w:rsidRDefault="00012172">
      <w:pPr>
        <w:rPr>
          <w:rFonts w:ascii="Arial" w:hAnsi="Arial" w:cs="Arial"/>
          <w:sz w:val="22"/>
          <w:szCs w:val="22"/>
          <w:lang w:eastAsia="en-US"/>
        </w:rPr>
      </w:pPr>
    </w:p>
    <w:p w:rsidR="00012172" w:rsidRDefault="00012172">
      <w:pPr>
        <w:rPr>
          <w:szCs w:val="22"/>
          <w:lang w:eastAsia="en-US"/>
        </w:rPr>
      </w:pPr>
      <w:r>
        <w:rPr>
          <w:szCs w:val="22"/>
          <w:lang w:eastAsia="en-US"/>
        </w:rPr>
        <w:t>2)</w:t>
      </w:r>
      <w:r>
        <w:rPr>
          <w:szCs w:val="22"/>
          <w:lang w:eastAsia="en-US"/>
        </w:rPr>
        <w:tab/>
        <w:t>Površine izvan građevinskih područja:</w:t>
      </w:r>
    </w:p>
    <w:p w:rsidR="00012172" w:rsidRDefault="00012172" w:rsidP="00012172">
      <w:pPr>
        <w:numPr>
          <w:ilvl w:val="0"/>
          <w:numId w:val="13"/>
        </w:numPr>
        <w:tabs>
          <w:tab w:val="clear" w:pos="1413"/>
          <w:tab w:val="num" w:pos="900"/>
        </w:tabs>
        <w:rPr>
          <w:szCs w:val="22"/>
          <w:lang w:eastAsia="en-US"/>
        </w:rPr>
      </w:pPr>
      <w:r>
        <w:rPr>
          <w:szCs w:val="22"/>
          <w:lang w:eastAsia="en-US"/>
        </w:rPr>
        <w:t>Zona specifične namjene- vinogradi</w:t>
      </w:r>
      <w:r w:rsidR="0064110D">
        <w:rPr>
          <w:szCs w:val="22"/>
          <w:lang w:eastAsia="en-US"/>
        </w:rPr>
        <w:t>,</w:t>
      </w:r>
    </w:p>
    <w:p w:rsidR="00012172" w:rsidRDefault="00012172" w:rsidP="00012172">
      <w:pPr>
        <w:numPr>
          <w:ilvl w:val="0"/>
          <w:numId w:val="13"/>
        </w:numPr>
        <w:tabs>
          <w:tab w:val="clear" w:pos="1413"/>
          <w:tab w:val="num" w:pos="900"/>
        </w:tabs>
        <w:rPr>
          <w:szCs w:val="22"/>
          <w:lang w:eastAsia="en-US"/>
        </w:rPr>
      </w:pPr>
      <w:r>
        <w:rPr>
          <w:szCs w:val="22"/>
          <w:lang w:eastAsia="en-US"/>
        </w:rPr>
        <w:t>površine gospodarske namjene (farme)</w:t>
      </w:r>
      <w:r w:rsidR="0064110D">
        <w:rPr>
          <w:szCs w:val="22"/>
          <w:lang w:eastAsia="en-US"/>
        </w:rPr>
        <w:t>,</w:t>
      </w:r>
    </w:p>
    <w:p w:rsidR="00012172" w:rsidRDefault="00012172" w:rsidP="00012172">
      <w:pPr>
        <w:numPr>
          <w:ilvl w:val="0"/>
          <w:numId w:val="13"/>
        </w:numPr>
        <w:tabs>
          <w:tab w:val="clear" w:pos="1413"/>
          <w:tab w:val="num" w:pos="900"/>
        </w:tabs>
        <w:rPr>
          <w:szCs w:val="22"/>
          <w:lang w:eastAsia="en-US"/>
        </w:rPr>
      </w:pPr>
      <w:r>
        <w:rPr>
          <w:szCs w:val="22"/>
          <w:lang w:eastAsia="en-US"/>
        </w:rPr>
        <w:t>površine gospodarske namjene (turizam)</w:t>
      </w:r>
      <w:r w:rsidR="0064110D">
        <w:rPr>
          <w:szCs w:val="22"/>
          <w:lang w:eastAsia="en-US"/>
        </w:rPr>
        <w:t>,</w:t>
      </w:r>
    </w:p>
    <w:p w:rsidR="00012172" w:rsidRDefault="00012172" w:rsidP="00012172">
      <w:pPr>
        <w:numPr>
          <w:ilvl w:val="0"/>
          <w:numId w:val="13"/>
        </w:numPr>
        <w:tabs>
          <w:tab w:val="clear" w:pos="1413"/>
          <w:tab w:val="num" w:pos="900"/>
        </w:tabs>
        <w:rPr>
          <w:szCs w:val="22"/>
          <w:lang w:eastAsia="en-US"/>
        </w:rPr>
      </w:pPr>
      <w:r>
        <w:rPr>
          <w:szCs w:val="22"/>
          <w:lang w:eastAsia="en-US"/>
        </w:rPr>
        <w:t>poljoprivredne površine</w:t>
      </w:r>
      <w:r w:rsidR="0064110D">
        <w:rPr>
          <w:szCs w:val="22"/>
          <w:lang w:eastAsia="en-US"/>
        </w:rPr>
        <w:t>,</w:t>
      </w:r>
      <w:r>
        <w:rPr>
          <w:szCs w:val="22"/>
          <w:lang w:eastAsia="en-US"/>
        </w:rPr>
        <w:t xml:space="preserve"> </w:t>
      </w:r>
    </w:p>
    <w:p w:rsidR="00012172" w:rsidRDefault="00012172" w:rsidP="00012172">
      <w:pPr>
        <w:numPr>
          <w:ilvl w:val="0"/>
          <w:numId w:val="13"/>
        </w:numPr>
        <w:tabs>
          <w:tab w:val="clear" w:pos="1413"/>
          <w:tab w:val="num" w:pos="900"/>
        </w:tabs>
        <w:rPr>
          <w:szCs w:val="22"/>
          <w:lang w:eastAsia="en-US"/>
        </w:rPr>
      </w:pPr>
      <w:r>
        <w:rPr>
          <w:szCs w:val="22"/>
          <w:lang w:eastAsia="en-US"/>
        </w:rPr>
        <w:t>šumske površine</w:t>
      </w:r>
      <w:r w:rsidR="0064110D">
        <w:rPr>
          <w:szCs w:val="22"/>
          <w:lang w:eastAsia="en-US"/>
        </w:rPr>
        <w:t>,</w:t>
      </w:r>
    </w:p>
    <w:p w:rsidR="00012172" w:rsidRDefault="00012172" w:rsidP="00012172">
      <w:pPr>
        <w:numPr>
          <w:ilvl w:val="0"/>
          <w:numId w:val="13"/>
        </w:numPr>
        <w:tabs>
          <w:tab w:val="clear" w:pos="1413"/>
          <w:tab w:val="num" w:pos="900"/>
        </w:tabs>
        <w:rPr>
          <w:szCs w:val="22"/>
          <w:lang w:eastAsia="en-US"/>
        </w:rPr>
      </w:pPr>
      <w:r>
        <w:rPr>
          <w:szCs w:val="22"/>
          <w:lang w:eastAsia="en-US"/>
        </w:rPr>
        <w:t>ostalo poljoprivredno tlo, šume i šumsko zemljište</w:t>
      </w:r>
      <w:r w:rsidR="0064110D">
        <w:rPr>
          <w:szCs w:val="22"/>
          <w:lang w:eastAsia="en-US"/>
        </w:rPr>
        <w:t>,</w:t>
      </w:r>
    </w:p>
    <w:p w:rsidR="00012172" w:rsidRDefault="00012172" w:rsidP="00012172">
      <w:pPr>
        <w:numPr>
          <w:ilvl w:val="0"/>
          <w:numId w:val="13"/>
        </w:numPr>
        <w:tabs>
          <w:tab w:val="clear" w:pos="1413"/>
          <w:tab w:val="num" w:pos="900"/>
        </w:tabs>
        <w:rPr>
          <w:szCs w:val="22"/>
          <w:lang w:eastAsia="en-US"/>
        </w:rPr>
      </w:pPr>
      <w:r>
        <w:rPr>
          <w:szCs w:val="22"/>
          <w:lang w:eastAsia="en-US"/>
        </w:rPr>
        <w:t xml:space="preserve">vodene površine, ribnjaci </w:t>
      </w:r>
    </w:p>
    <w:p w:rsidR="00012172" w:rsidRDefault="00012172" w:rsidP="00012172">
      <w:pPr>
        <w:numPr>
          <w:ilvl w:val="0"/>
          <w:numId w:val="13"/>
        </w:numPr>
        <w:tabs>
          <w:tab w:val="clear" w:pos="1413"/>
          <w:tab w:val="num" w:pos="900"/>
        </w:tabs>
        <w:rPr>
          <w:szCs w:val="22"/>
          <w:lang w:eastAsia="en-US"/>
        </w:rPr>
      </w:pPr>
      <w:r>
        <w:rPr>
          <w:szCs w:val="22"/>
          <w:lang w:eastAsia="en-US"/>
        </w:rPr>
        <w:t>šport, rekreacija, ugostiteljstvo i turizam</w:t>
      </w:r>
      <w:r w:rsidR="0064110D">
        <w:rPr>
          <w:szCs w:val="22"/>
          <w:lang w:eastAsia="en-US"/>
        </w:rPr>
        <w:t>,</w:t>
      </w:r>
    </w:p>
    <w:p w:rsidR="00012172" w:rsidRDefault="00012172" w:rsidP="00012172">
      <w:pPr>
        <w:numPr>
          <w:ilvl w:val="0"/>
          <w:numId w:val="13"/>
        </w:numPr>
        <w:tabs>
          <w:tab w:val="clear" w:pos="1413"/>
          <w:tab w:val="num" w:pos="900"/>
        </w:tabs>
        <w:rPr>
          <w:szCs w:val="22"/>
          <w:lang w:eastAsia="en-US"/>
        </w:rPr>
      </w:pPr>
      <w:r>
        <w:rPr>
          <w:szCs w:val="22"/>
          <w:lang w:eastAsia="en-US"/>
        </w:rPr>
        <w:t>lovni turizam</w:t>
      </w:r>
      <w:r w:rsidR="0064110D">
        <w:rPr>
          <w:szCs w:val="22"/>
          <w:lang w:eastAsia="en-US"/>
        </w:rPr>
        <w:t>,</w:t>
      </w:r>
    </w:p>
    <w:p w:rsidR="00012172" w:rsidRDefault="00012172" w:rsidP="00012172">
      <w:pPr>
        <w:numPr>
          <w:ilvl w:val="0"/>
          <w:numId w:val="13"/>
        </w:numPr>
        <w:tabs>
          <w:tab w:val="clear" w:pos="1413"/>
          <w:tab w:val="num" w:pos="900"/>
        </w:tabs>
        <w:rPr>
          <w:szCs w:val="22"/>
          <w:lang w:eastAsia="en-US"/>
        </w:rPr>
      </w:pPr>
      <w:r>
        <w:rPr>
          <w:szCs w:val="22"/>
          <w:lang w:eastAsia="en-US"/>
        </w:rPr>
        <w:t>groblja</w:t>
      </w:r>
      <w:r w:rsidR="0064110D">
        <w:rPr>
          <w:szCs w:val="22"/>
          <w:lang w:eastAsia="en-US"/>
        </w:rPr>
        <w:t>.</w:t>
      </w:r>
    </w:p>
    <w:p w:rsidR="00012172" w:rsidRDefault="00012172">
      <w:pPr>
        <w:rPr>
          <w:rFonts w:ascii="Arial" w:hAnsi="Arial" w:cs="Arial"/>
          <w:sz w:val="22"/>
          <w:szCs w:val="22"/>
          <w:lang w:eastAsia="en-US"/>
        </w:rPr>
      </w:pPr>
    </w:p>
    <w:p w:rsidR="00012172" w:rsidRDefault="00012172">
      <w:pPr>
        <w:rPr>
          <w:szCs w:val="22"/>
          <w:lang w:eastAsia="en-US"/>
        </w:rPr>
      </w:pPr>
      <w:r>
        <w:rPr>
          <w:szCs w:val="22"/>
          <w:lang w:eastAsia="en-US"/>
        </w:rPr>
        <w:t>3)</w:t>
      </w:r>
      <w:r>
        <w:rPr>
          <w:szCs w:val="22"/>
          <w:lang w:eastAsia="en-US"/>
        </w:rPr>
        <w:tab/>
        <w:t>Površine infrastrukturnih sustava</w:t>
      </w:r>
      <w:r w:rsidR="00257D68">
        <w:rPr>
          <w:szCs w:val="22"/>
          <w:lang w:eastAsia="en-US"/>
        </w:rPr>
        <w:t>:</w:t>
      </w:r>
    </w:p>
    <w:p w:rsidR="00012172" w:rsidRDefault="00012172" w:rsidP="00012172">
      <w:pPr>
        <w:numPr>
          <w:ilvl w:val="0"/>
          <w:numId w:val="13"/>
        </w:numPr>
        <w:tabs>
          <w:tab w:val="clear" w:pos="1413"/>
          <w:tab w:val="num" w:pos="900"/>
        </w:tabs>
        <w:rPr>
          <w:szCs w:val="22"/>
          <w:lang w:eastAsia="en-US"/>
        </w:rPr>
      </w:pPr>
      <w:r>
        <w:rPr>
          <w:szCs w:val="22"/>
          <w:lang w:eastAsia="en-US"/>
        </w:rPr>
        <w:t>cestovne građevine</w:t>
      </w:r>
    </w:p>
    <w:p w:rsidR="00012172" w:rsidRDefault="00012172" w:rsidP="00012172">
      <w:pPr>
        <w:numPr>
          <w:ilvl w:val="0"/>
          <w:numId w:val="13"/>
        </w:numPr>
        <w:tabs>
          <w:tab w:val="clear" w:pos="1413"/>
          <w:tab w:val="num" w:pos="900"/>
        </w:tabs>
        <w:rPr>
          <w:szCs w:val="22"/>
          <w:lang w:eastAsia="en-US"/>
        </w:rPr>
      </w:pPr>
      <w:r>
        <w:rPr>
          <w:szCs w:val="22"/>
          <w:lang w:eastAsia="en-US"/>
        </w:rPr>
        <w:t>elektroenergetske građevine</w:t>
      </w:r>
    </w:p>
    <w:p w:rsidR="00012172" w:rsidRDefault="00012172" w:rsidP="00012172">
      <w:pPr>
        <w:numPr>
          <w:ilvl w:val="0"/>
          <w:numId w:val="13"/>
        </w:numPr>
        <w:tabs>
          <w:tab w:val="clear" w:pos="1413"/>
          <w:tab w:val="num" w:pos="900"/>
        </w:tabs>
        <w:jc w:val="both"/>
        <w:rPr>
          <w:szCs w:val="22"/>
          <w:lang w:eastAsia="en-US"/>
        </w:rPr>
      </w:pPr>
      <w:r>
        <w:rPr>
          <w:szCs w:val="22"/>
          <w:lang w:eastAsia="en-US"/>
        </w:rPr>
        <w:t>ostala komunalna infrastruktura (vodoopskrba, odvodnja, plinifikacija, telekomunikacije i pošta)</w:t>
      </w:r>
    </w:p>
    <w:p w:rsidR="00012172" w:rsidRDefault="00012172">
      <w:pPr>
        <w:ind w:left="708"/>
        <w:jc w:val="both"/>
        <w:rPr>
          <w:rFonts w:ascii="Arial" w:hAnsi="Arial" w:cs="Arial"/>
          <w:sz w:val="22"/>
          <w:szCs w:val="22"/>
          <w:lang w:eastAsia="en-US"/>
        </w:rPr>
      </w:pPr>
    </w:p>
    <w:p w:rsidR="00012172" w:rsidRDefault="00012172">
      <w:pPr>
        <w:ind w:left="708"/>
        <w:jc w:val="both"/>
        <w:rPr>
          <w:rFonts w:ascii="Arial" w:hAnsi="Arial" w:cs="Arial"/>
          <w:sz w:val="22"/>
          <w:szCs w:val="22"/>
          <w:lang w:eastAsia="en-US"/>
        </w:rPr>
      </w:pPr>
    </w:p>
    <w:p w:rsidR="00012172" w:rsidRDefault="00012172">
      <w:pPr>
        <w:ind w:left="708"/>
        <w:jc w:val="both"/>
        <w:rPr>
          <w:rFonts w:ascii="Arial" w:hAnsi="Arial" w:cs="Arial"/>
          <w:sz w:val="22"/>
          <w:szCs w:val="22"/>
          <w:lang w:eastAsia="en-US"/>
        </w:rPr>
      </w:pPr>
    </w:p>
    <w:p w:rsidR="00012172" w:rsidRDefault="00012172" w:rsidP="00012172">
      <w:pPr>
        <w:numPr>
          <w:ilvl w:val="1"/>
          <w:numId w:val="17"/>
        </w:numPr>
        <w:tabs>
          <w:tab w:val="clear" w:pos="720"/>
          <w:tab w:val="num" w:pos="540"/>
        </w:tabs>
        <w:ind w:left="360" w:hanging="360"/>
        <w:rPr>
          <w:b/>
          <w:szCs w:val="22"/>
          <w:lang w:eastAsia="en-US"/>
        </w:rPr>
      </w:pPr>
      <w:r>
        <w:rPr>
          <w:b/>
          <w:szCs w:val="22"/>
          <w:lang w:eastAsia="en-US"/>
        </w:rPr>
        <w:t>Površine građevinskih područja</w:t>
      </w:r>
    </w:p>
    <w:p w:rsidR="00012172" w:rsidRDefault="00012172">
      <w:pPr>
        <w:rPr>
          <w:b/>
          <w:szCs w:val="22"/>
          <w:lang w:eastAsia="en-US"/>
        </w:rPr>
      </w:pPr>
    </w:p>
    <w:p w:rsidR="00012172" w:rsidRDefault="00012172">
      <w:pPr>
        <w:rPr>
          <w:b/>
          <w:szCs w:val="22"/>
          <w:lang w:eastAsia="en-US"/>
        </w:rPr>
      </w:pPr>
      <w:r>
        <w:rPr>
          <w:b/>
          <w:szCs w:val="22"/>
          <w:lang w:eastAsia="en-US"/>
        </w:rPr>
        <w:t>1.1.1. Građevne zone (pretežito stambene)</w:t>
      </w:r>
    </w:p>
    <w:p w:rsidR="00012172" w:rsidRDefault="00012172">
      <w:pPr>
        <w:rPr>
          <w:b/>
          <w:szCs w:val="22"/>
          <w:lang w:eastAsia="en-US"/>
        </w:rPr>
      </w:pPr>
    </w:p>
    <w:p w:rsidR="00012172" w:rsidRDefault="00BD04E2">
      <w:pPr>
        <w:jc w:val="center"/>
        <w:rPr>
          <w:szCs w:val="22"/>
          <w:lang w:eastAsia="en-US"/>
        </w:rPr>
      </w:pPr>
      <w:r>
        <w:rPr>
          <w:szCs w:val="22"/>
          <w:lang w:eastAsia="en-US"/>
        </w:rPr>
        <w:t>Članak 6</w:t>
      </w:r>
      <w:r w:rsidR="00012172">
        <w:rPr>
          <w:szCs w:val="22"/>
          <w:lang w:eastAsia="en-US"/>
        </w:rPr>
        <w:t>.</w:t>
      </w:r>
    </w:p>
    <w:p w:rsidR="00012172" w:rsidRDefault="00012172" w:rsidP="00012172">
      <w:pPr>
        <w:numPr>
          <w:ilvl w:val="0"/>
          <w:numId w:val="18"/>
        </w:numPr>
        <w:tabs>
          <w:tab w:val="clear" w:pos="720"/>
          <w:tab w:val="num" w:pos="360"/>
        </w:tabs>
        <w:ind w:left="360"/>
        <w:jc w:val="both"/>
        <w:rPr>
          <w:szCs w:val="22"/>
          <w:lang w:eastAsia="en-US"/>
        </w:rPr>
      </w:pPr>
      <w:r>
        <w:rPr>
          <w:szCs w:val="22"/>
          <w:lang w:eastAsia="en-US"/>
        </w:rPr>
        <w:t>Građevne zone (pretežito stambene) obuhvaćaju građevinska područja u sklopu naselja i izdvojene stambene objekte.</w:t>
      </w:r>
    </w:p>
    <w:p w:rsidR="00012172" w:rsidRDefault="00012172">
      <w:pPr>
        <w:rPr>
          <w:szCs w:val="22"/>
          <w:lang w:eastAsia="en-US"/>
        </w:rPr>
      </w:pPr>
    </w:p>
    <w:p w:rsidR="00012172" w:rsidRDefault="00012172" w:rsidP="00012172">
      <w:pPr>
        <w:numPr>
          <w:ilvl w:val="0"/>
          <w:numId w:val="18"/>
        </w:numPr>
        <w:tabs>
          <w:tab w:val="clear" w:pos="720"/>
          <w:tab w:val="num" w:pos="360"/>
        </w:tabs>
        <w:ind w:left="360"/>
        <w:jc w:val="both"/>
        <w:rPr>
          <w:szCs w:val="22"/>
          <w:lang w:eastAsia="en-US"/>
        </w:rPr>
      </w:pPr>
      <w:r>
        <w:rPr>
          <w:szCs w:val="22"/>
          <w:lang w:eastAsia="en-US"/>
        </w:rPr>
        <w:t>Građevne zone unutar naselja razgraničena su na izgrađeni i neizgrađeni dio sukladno Odredbama Prostornog plana Koprivničko-križevačke županije.</w:t>
      </w:r>
    </w:p>
    <w:p w:rsidR="00012172" w:rsidRDefault="00012172">
      <w:pPr>
        <w:rPr>
          <w:rFonts w:ascii="Arial" w:hAnsi="Arial" w:cs="Arial"/>
          <w:sz w:val="22"/>
          <w:szCs w:val="22"/>
          <w:lang w:eastAsia="en-US"/>
        </w:rPr>
      </w:pPr>
    </w:p>
    <w:p w:rsidR="00012172" w:rsidRDefault="00012172" w:rsidP="00012172">
      <w:pPr>
        <w:numPr>
          <w:ilvl w:val="0"/>
          <w:numId w:val="18"/>
        </w:numPr>
        <w:tabs>
          <w:tab w:val="clear" w:pos="720"/>
          <w:tab w:val="num" w:pos="360"/>
        </w:tabs>
        <w:ind w:left="360"/>
        <w:jc w:val="both"/>
        <w:rPr>
          <w:szCs w:val="22"/>
          <w:lang w:eastAsia="en-US"/>
        </w:rPr>
      </w:pPr>
      <w:r>
        <w:rPr>
          <w:szCs w:val="22"/>
          <w:lang w:eastAsia="en-US"/>
        </w:rPr>
        <w:t>Razgraničenje površina prema namjeni unutar građevinskog područja naselja određeno je za:</w:t>
      </w:r>
    </w:p>
    <w:p w:rsidR="00012172" w:rsidRDefault="00012172">
      <w:pPr>
        <w:ind w:firstLine="708"/>
        <w:rPr>
          <w:szCs w:val="22"/>
          <w:lang w:eastAsia="en-US"/>
        </w:rPr>
      </w:pPr>
      <w:r>
        <w:rPr>
          <w:szCs w:val="22"/>
          <w:lang w:eastAsia="en-US"/>
        </w:rPr>
        <w:t xml:space="preserve">- stambenu namjenu, </w:t>
      </w:r>
    </w:p>
    <w:p w:rsidR="00012172" w:rsidRDefault="00012172">
      <w:pPr>
        <w:ind w:firstLine="708"/>
        <w:rPr>
          <w:szCs w:val="22"/>
          <w:lang w:eastAsia="en-US"/>
        </w:rPr>
      </w:pPr>
      <w:r>
        <w:rPr>
          <w:szCs w:val="22"/>
          <w:lang w:eastAsia="en-US"/>
        </w:rPr>
        <w:t>- mješovitu namjenu (pretežito poslovnu M2)</w:t>
      </w:r>
      <w:r w:rsidR="008A0CDB">
        <w:rPr>
          <w:szCs w:val="22"/>
          <w:lang w:eastAsia="en-US"/>
        </w:rPr>
        <w:t>,</w:t>
      </w:r>
    </w:p>
    <w:p w:rsidR="008A0CDB" w:rsidRDefault="008A0CDB" w:rsidP="008A0CDB">
      <w:pPr>
        <w:ind w:firstLine="708"/>
        <w:rPr>
          <w:szCs w:val="22"/>
          <w:lang w:eastAsia="en-US"/>
        </w:rPr>
      </w:pPr>
      <w:r>
        <w:rPr>
          <w:szCs w:val="22"/>
          <w:lang w:eastAsia="en-US"/>
        </w:rPr>
        <w:t>- javnu i društvenu namjenu,</w:t>
      </w:r>
    </w:p>
    <w:p w:rsidR="008A0CDB" w:rsidRDefault="008A0CDB" w:rsidP="008A0CDB">
      <w:pPr>
        <w:ind w:firstLine="708"/>
        <w:rPr>
          <w:szCs w:val="22"/>
          <w:lang w:eastAsia="en-US"/>
        </w:rPr>
      </w:pPr>
      <w:r>
        <w:rPr>
          <w:szCs w:val="22"/>
          <w:lang w:eastAsia="en-US"/>
        </w:rPr>
        <w:t>- gospodarsku namjenu (proizvodnu),</w:t>
      </w:r>
    </w:p>
    <w:p w:rsidR="008A0CDB" w:rsidRDefault="008A0CDB" w:rsidP="008A0CDB">
      <w:pPr>
        <w:ind w:firstLine="708"/>
        <w:rPr>
          <w:szCs w:val="22"/>
          <w:lang w:eastAsia="en-US"/>
        </w:rPr>
      </w:pPr>
      <w:r>
        <w:rPr>
          <w:szCs w:val="22"/>
          <w:lang w:eastAsia="en-US"/>
        </w:rPr>
        <w:t>- gospodarsku namjenu (turističko-ugostiteljska namjena),</w:t>
      </w:r>
    </w:p>
    <w:p w:rsidR="008A0CDB" w:rsidRDefault="00012172" w:rsidP="008A0CDB">
      <w:pPr>
        <w:ind w:firstLine="708"/>
        <w:rPr>
          <w:szCs w:val="22"/>
          <w:lang w:eastAsia="en-US"/>
        </w:rPr>
      </w:pPr>
      <w:r>
        <w:rPr>
          <w:szCs w:val="22"/>
          <w:lang w:eastAsia="en-US"/>
        </w:rPr>
        <w:t>-</w:t>
      </w:r>
      <w:r w:rsidR="008A0CDB">
        <w:rPr>
          <w:szCs w:val="22"/>
          <w:lang w:eastAsia="en-US"/>
        </w:rPr>
        <w:t xml:space="preserve"> sportsko-rekreacijsku namjenu,</w:t>
      </w:r>
    </w:p>
    <w:p w:rsidR="008A0CDB" w:rsidRDefault="008A0CDB" w:rsidP="008A0CDB">
      <w:pPr>
        <w:ind w:firstLine="708"/>
        <w:rPr>
          <w:szCs w:val="22"/>
          <w:lang w:eastAsia="en-US"/>
        </w:rPr>
      </w:pPr>
      <w:r>
        <w:rPr>
          <w:szCs w:val="22"/>
          <w:lang w:eastAsia="en-US"/>
        </w:rPr>
        <w:t>- javne zelene površine i zaštitne zelene površine,</w:t>
      </w:r>
    </w:p>
    <w:p w:rsidR="00012172" w:rsidRDefault="00012172">
      <w:pPr>
        <w:ind w:firstLine="708"/>
        <w:rPr>
          <w:szCs w:val="22"/>
          <w:lang w:eastAsia="en-US"/>
        </w:rPr>
      </w:pPr>
      <w:r>
        <w:rPr>
          <w:szCs w:val="22"/>
          <w:lang w:eastAsia="en-US"/>
        </w:rPr>
        <w:t>- groblja,</w:t>
      </w:r>
    </w:p>
    <w:p w:rsidR="00012172" w:rsidRDefault="0064110D">
      <w:pPr>
        <w:ind w:left="708"/>
        <w:rPr>
          <w:szCs w:val="22"/>
          <w:lang w:eastAsia="en-US"/>
        </w:rPr>
      </w:pPr>
      <w:r>
        <w:rPr>
          <w:szCs w:val="22"/>
          <w:lang w:eastAsia="en-US"/>
        </w:rPr>
        <w:t>- infrastrukturni koridori.</w:t>
      </w:r>
    </w:p>
    <w:p w:rsidR="00012172" w:rsidRDefault="0064110D">
      <w:pPr>
        <w:jc w:val="both"/>
        <w:rPr>
          <w:szCs w:val="22"/>
          <w:lang w:eastAsia="en-US"/>
        </w:rPr>
      </w:pPr>
      <w:r>
        <w:rPr>
          <w:szCs w:val="22"/>
          <w:lang w:eastAsia="en-US"/>
        </w:rPr>
        <w:t xml:space="preserve">Napomena: </w:t>
      </w:r>
      <w:r w:rsidR="00012172">
        <w:rPr>
          <w:szCs w:val="22"/>
          <w:lang w:eastAsia="en-US"/>
        </w:rPr>
        <w:t>zbog karaktera Plana, nedostupnih i netočnih podataka, te neusklađenosti stvarnog stanja na terenu i katastarskih podloga, u pravilu nisu precizno izdvojene prometne površine, vodotoci, manje zelene površine…</w:t>
      </w:r>
    </w:p>
    <w:p w:rsidR="00012172" w:rsidRDefault="00012172">
      <w:pPr>
        <w:jc w:val="both"/>
        <w:rPr>
          <w:rFonts w:ascii="Arial" w:hAnsi="Arial" w:cs="Arial"/>
          <w:snapToGrid w:val="0"/>
          <w:sz w:val="22"/>
          <w:szCs w:val="22"/>
          <w:lang w:eastAsia="en-US"/>
        </w:rPr>
      </w:pPr>
    </w:p>
    <w:p w:rsidR="00012172" w:rsidRDefault="00012172" w:rsidP="00012172">
      <w:pPr>
        <w:numPr>
          <w:ilvl w:val="0"/>
          <w:numId w:val="18"/>
        </w:numPr>
        <w:tabs>
          <w:tab w:val="clear" w:pos="720"/>
          <w:tab w:val="num" w:pos="360"/>
        </w:tabs>
        <w:ind w:left="360"/>
        <w:jc w:val="both"/>
        <w:rPr>
          <w:szCs w:val="22"/>
          <w:lang w:eastAsia="en-US"/>
        </w:rPr>
      </w:pPr>
      <w:r>
        <w:rPr>
          <w:snapToGrid w:val="0"/>
          <w:szCs w:val="22"/>
          <w:lang w:eastAsia="en-US"/>
        </w:rPr>
        <w:t>Razgraničenje građevinskih područja utvrđeno je na kartografskom prikazu br.1 “Korištenje i namjena površina”, mj. 1:25.000. a detaljnije na kartografskim prikazima građevinskih područja 4.1., 4.2. i 4.3., mj. 1:5.000.</w:t>
      </w:r>
    </w:p>
    <w:p w:rsidR="00012172" w:rsidRDefault="00012172">
      <w:pPr>
        <w:rPr>
          <w:rFonts w:ascii="Arial" w:hAnsi="Arial" w:cs="Arial"/>
          <w:b/>
          <w:sz w:val="22"/>
          <w:szCs w:val="22"/>
          <w:lang w:eastAsia="en-US"/>
        </w:rPr>
      </w:pPr>
    </w:p>
    <w:p w:rsidR="00012172" w:rsidRDefault="00012172">
      <w:pPr>
        <w:rPr>
          <w:rFonts w:ascii="Arial" w:hAnsi="Arial" w:cs="Arial"/>
          <w:b/>
          <w:sz w:val="22"/>
          <w:szCs w:val="22"/>
          <w:lang w:eastAsia="en-US"/>
        </w:rPr>
      </w:pPr>
    </w:p>
    <w:p w:rsidR="00012172" w:rsidRDefault="00012172">
      <w:pPr>
        <w:rPr>
          <w:b/>
          <w:szCs w:val="22"/>
          <w:lang w:eastAsia="en-US"/>
        </w:rPr>
      </w:pPr>
      <w:r>
        <w:rPr>
          <w:b/>
          <w:szCs w:val="22"/>
          <w:lang w:eastAsia="en-US"/>
        </w:rPr>
        <w:t>1.1.2. Građevne zone (poduzetničke zone)</w:t>
      </w:r>
    </w:p>
    <w:p w:rsidR="00012172" w:rsidRDefault="00012172">
      <w:pPr>
        <w:rPr>
          <w:b/>
          <w:szCs w:val="22"/>
          <w:lang w:eastAsia="en-US"/>
        </w:rPr>
      </w:pPr>
    </w:p>
    <w:p w:rsidR="00012172" w:rsidRDefault="00BD04E2">
      <w:pPr>
        <w:jc w:val="center"/>
        <w:rPr>
          <w:szCs w:val="22"/>
          <w:lang w:eastAsia="en-US"/>
        </w:rPr>
      </w:pPr>
      <w:r>
        <w:rPr>
          <w:szCs w:val="22"/>
          <w:lang w:eastAsia="en-US"/>
        </w:rPr>
        <w:t>Članak 7</w:t>
      </w:r>
      <w:r w:rsidR="00012172">
        <w:rPr>
          <w:szCs w:val="22"/>
          <w:lang w:eastAsia="en-US"/>
        </w:rPr>
        <w:t>.</w:t>
      </w:r>
    </w:p>
    <w:p w:rsidR="00012172" w:rsidRDefault="00CC0DEE" w:rsidP="00012172">
      <w:pPr>
        <w:numPr>
          <w:ilvl w:val="0"/>
          <w:numId w:val="19"/>
        </w:numPr>
        <w:tabs>
          <w:tab w:val="clear" w:pos="720"/>
          <w:tab w:val="num" w:pos="360"/>
        </w:tabs>
        <w:ind w:left="360"/>
        <w:rPr>
          <w:szCs w:val="22"/>
          <w:lang w:eastAsia="en-US"/>
        </w:rPr>
      </w:pPr>
      <w:r>
        <w:rPr>
          <w:szCs w:val="22"/>
          <w:lang w:eastAsia="en-US"/>
        </w:rPr>
        <w:t>Poduzetnička zona obuhvaća zone</w:t>
      </w:r>
      <w:r w:rsidR="00012172">
        <w:rPr>
          <w:szCs w:val="22"/>
          <w:lang w:eastAsia="en-US"/>
        </w:rPr>
        <w:t xml:space="preserve"> u Dropkovcu</w:t>
      </w:r>
      <w:r w:rsidR="00DB57EA">
        <w:rPr>
          <w:szCs w:val="22"/>
          <w:lang w:eastAsia="en-US"/>
        </w:rPr>
        <w:t xml:space="preserve"> i Pofukima.</w:t>
      </w:r>
      <w:r w:rsidR="00012172">
        <w:rPr>
          <w:szCs w:val="22"/>
          <w:lang w:eastAsia="en-US"/>
        </w:rPr>
        <w:t xml:space="preserve"> </w:t>
      </w:r>
    </w:p>
    <w:p w:rsidR="00012172" w:rsidRDefault="00012172">
      <w:pPr>
        <w:jc w:val="both"/>
        <w:rPr>
          <w:szCs w:val="22"/>
          <w:lang w:eastAsia="en-US"/>
        </w:rPr>
      </w:pPr>
    </w:p>
    <w:p w:rsidR="00DB57EA" w:rsidRPr="00DB57EA" w:rsidRDefault="00DB57EA" w:rsidP="00012172">
      <w:pPr>
        <w:numPr>
          <w:ilvl w:val="0"/>
          <w:numId w:val="19"/>
        </w:numPr>
        <w:tabs>
          <w:tab w:val="clear" w:pos="720"/>
          <w:tab w:val="num" w:pos="360"/>
        </w:tabs>
        <w:ind w:left="360"/>
        <w:jc w:val="both"/>
        <w:rPr>
          <w:szCs w:val="22"/>
          <w:lang w:eastAsia="en-US"/>
        </w:rPr>
      </w:pPr>
      <w:r>
        <w:rPr>
          <w:szCs w:val="22"/>
          <w:lang w:eastAsia="en-US"/>
        </w:rPr>
        <w:t xml:space="preserve">Izgradnja je moguća i drugdje u građevinskoj zoni ako zadovoljava minimalnu površinu od </w:t>
      </w:r>
      <w:smartTag w:uri="urn:schemas-microsoft-com:office:smarttags" w:element="metricconverter">
        <w:smartTagPr>
          <w:attr w:name="ProductID" w:val="2000 m2"/>
        </w:smartTagPr>
        <w:r>
          <w:rPr>
            <w:szCs w:val="22"/>
            <w:lang w:eastAsia="en-US"/>
          </w:rPr>
          <w:t>2000 m</w:t>
        </w:r>
        <w:r>
          <w:rPr>
            <w:szCs w:val="22"/>
            <w:vertAlign w:val="superscript"/>
            <w:lang w:eastAsia="en-US"/>
          </w:rPr>
          <w:t>2</w:t>
        </w:r>
      </w:smartTag>
      <w:r>
        <w:rPr>
          <w:szCs w:val="22"/>
          <w:lang w:eastAsia="en-US"/>
        </w:rPr>
        <w:t>.</w:t>
      </w:r>
    </w:p>
    <w:p w:rsidR="00DB57EA" w:rsidRDefault="00DB57EA" w:rsidP="00DB57EA">
      <w:pPr>
        <w:jc w:val="both"/>
        <w:rPr>
          <w:snapToGrid w:val="0"/>
          <w:szCs w:val="22"/>
          <w:lang w:eastAsia="en-US"/>
        </w:rPr>
      </w:pPr>
    </w:p>
    <w:p w:rsidR="00012172" w:rsidRDefault="00012172" w:rsidP="00DB57EA">
      <w:pPr>
        <w:numPr>
          <w:ilvl w:val="0"/>
          <w:numId w:val="19"/>
        </w:numPr>
        <w:tabs>
          <w:tab w:val="clear" w:pos="720"/>
          <w:tab w:val="num" w:pos="360"/>
        </w:tabs>
        <w:ind w:left="360"/>
        <w:jc w:val="both"/>
        <w:rPr>
          <w:szCs w:val="22"/>
          <w:lang w:eastAsia="en-US"/>
        </w:rPr>
      </w:pPr>
      <w:r>
        <w:rPr>
          <w:snapToGrid w:val="0"/>
          <w:szCs w:val="22"/>
          <w:lang w:eastAsia="en-US"/>
        </w:rPr>
        <w:t xml:space="preserve">Kriteriji prostornog razgraničenja prikazani su na kartografskom prikazu br.1 “Korištenje i namjena površina”, MJ. 1:25.000, a detaljnije na kartografskom prikazu br. 4.1.  i 4.2. MJ. 1:5000. </w:t>
      </w:r>
    </w:p>
    <w:p w:rsidR="00012172" w:rsidRDefault="00012172">
      <w:pPr>
        <w:rPr>
          <w:rFonts w:ascii="Arial" w:hAnsi="Arial" w:cs="Arial"/>
          <w:b/>
          <w:sz w:val="22"/>
          <w:szCs w:val="22"/>
          <w:lang w:eastAsia="en-US"/>
        </w:rPr>
      </w:pPr>
    </w:p>
    <w:p w:rsidR="00012172" w:rsidRDefault="00012172">
      <w:pPr>
        <w:rPr>
          <w:rFonts w:ascii="Arial" w:hAnsi="Arial" w:cs="Arial"/>
          <w:b/>
          <w:sz w:val="22"/>
          <w:szCs w:val="22"/>
          <w:lang w:eastAsia="en-US"/>
        </w:rPr>
      </w:pPr>
    </w:p>
    <w:p w:rsidR="00012172" w:rsidRDefault="00012172" w:rsidP="00012172">
      <w:pPr>
        <w:numPr>
          <w:ilvl w:val="1"/>
          <w:numId w:val="17"/>
        </w:numPr>
        <w:tabs>
          <w:tab w:val="clear" w:pos="720"/>
          <w:tab w:val="num" w:pos="540"/>
        </w:tabs>
        <w:ind w:left="360" w:hanging="360"/>
        <w:rPr>
          <w:b/>
          <w:szCs w:val="22"/>
          <w:lang w:eastAsia="en-US"/>
        </w:rPr>
      </w:pPr>
      <w:r>
        <w:rPr>
          <w:b/>
          <w:szCs w:val="22"/>
          <w:lang w:eastAsia="en-US"/>
        </w:rPr>
        <w:t>Površine izvan građevinskih područja</w:t>
      </w:r>
    </w:p>
    <w:p w:rsidR="00012172" w:rsidRDefault="00012172">
      <w:pPr>
        <w:pStyle w:val="StandardWeb"/>
        <w:spacing w:before="0" w:beforeAutospacing="0" w:after="0" w:afterAutospacing="0"/>
        <w:rPr>
          <w:szCs w:val="22"/>
          <w:lang w:eastAsia="en-US"/>
        </w:rPr>
      </w:pPr>
    </w:p>
    <w:p w:rsidR="00012172" w:rsidRDefault="00012172">
      <w:pPr>
        <w:pStyle w:val="clanak"/>
        <w:numPr>
          <w:ilvl w:val="2"/>
          <w:numId w:val="17"/>
        </w:numPr>
        <w:rPr>
          <w:rFonts w:ascii="Times New Roman" w:hAnsi="Times New Roman"/>
          <w:b/>
          <w:snapToGrid w:val="0"/>
          <w:sz w:val="24"/>
          <w:szCs w:val="22"/>
          <w:lang w:val="hr-HR" w:eastAsia="en-US"/>
        </w:rPr>
      </w:pPr>
      <w:r>
        <w:rPr>
          <w:rFonts w:ascii="Times New Roman" w:hAnsi="Times New Roman"/>
          <w:b/>
          <w:snapToGrid w:val="0"/>
          <w:sz w:val="24"/>
          <w:szCs w:val="22"/>
          <w:lang w:val="hr-HR" w:eastAsia="en-US"/>
        </w:rPr>
        <w:t>Površine gospodarske nam</w:t>
      </w:r>
      <w:r w:rsidR="0064110D">
        <w:rPr>
          <w:rFonts w:ascii="Times New Roman" w:hAnsi="Times New Roman"/>
          <w:b/>
          <w:snapToGrid w:val="0"/>
          <w:sz w:val="24"/>
          <w:szCs w:val="22"/>
          <w:lang w:val="hr-HR" w:eastAsia="en-US"/>
        </w:rPr>
        <w:t>jene (farme</w:t>
      </w:r>
      <w:r>
        <w:rPr>
          <w:rFonts w:ascii="Times New Roman" w:hAnsi="Times New Roman"/>
          <w:b/>
          <w:snapToGrid w:val="0"/>
          <w:sz w:val="24"/>
          <w:szCs w:val="22"/>
          <w:lang w:val="hr-HR" w:eastAsia="en-US"/>
        </w:rPr>
        <w:t>)</w:t>
      </w:r>
    </w:p>
    <w:p w:rsidR="00012172" w:rsidRDefault="00012172">
      <w:pPr>
        <w:pStyle w:val="clanak"/>
        <w:rPr>
          <w:rFonts w:ascii="Times New Roman" w:hAnsi="Times New Roman"/>
          <w:b/>
          <w:snapToGrid w:val="0"/>
          <w:sz w:val="24"/>
          <w:szCs w:val="22"/>
          <w:lang w:val="hr-HR" w:eastAsia="en-US"/>
        </w:rPr>
      </w:pPr>
    </w:p>
    <w:p w:rsidR="00012172" w:rsidRDefault="00012172">
      <w:pPr>
        <w:pStyle w:val="clanak"/>
        <w:jc w:val="center"/>
        <w:rPr>
          <w:rFonts w:ascii="Times New Roman" w:hAnsi="Times New Roman"/>
          <w:snapToGrid w:val="0"/>
          <w:sz w:val="24"/>
          <w:lang w:val="hr-HR" w:eastAsia="en-US"/>
        </w:rPr>
      </w:pPr>
      <w:r>
        <w:rPr>
          <w:rFonts w:ascii="Times New Roman" w:hAnsi="Times New Roman"/>
          <w:snapToGrid w:val="0"/>
          <w:sz w:val="24"/>
          <w:szCs w:val="22"/>
          <w:lang w:val="hr-HR" w:eastAsia="en-US"/>
        </w:rPr>
        <w:t>Člana</w:t>
      </w:r>
      <w:r w:rsidR="00BD04E2">
        <w:rPr>
          <w:rFonts w:ascii="Times New Roman" w:hAnsi="Times New Roman"/>
          <w:snapToGrid w:val="0"/>
          <w:sz w:val="24"/>
          <w:szCs w:val="22"/>
          <w:lang w:val="hr-HR" w:eastAsia="en-US"/>
        </w:rPr>
        <w:t>k 8</w:t>
      </w:r>
      <w:r>
        <w:rPr>
          <w:rFonts w:ascii="Times New Roman" w:hAnsi="Times New Roman"/>
          <w:snapToGrid w:val="0"/>
          <w:sz w:val="24"/>
          <w:szCs w:val="22"/>
          <w:lang w:val="hr-HR" w:eastAsia="en-US"/>
        </w:rPr>
        <w:t>.</w:t>
      </w:r>
    </w:p>
    <w:p w:rsidR="00012172" w:rsidRDefault="00012172">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(1)</w:t>
      </w:r>
      <w:r>
        <w:rPr>
          <w:rFonts w:ascii="Times New Roman" w:hAnsi="Times New Roman"/>
          <w:snapToGrid w:val="0"/>
          <w:sz w:val="24"/>
          <w:szCs w:val="22"/>
          <w:lang w:val="hr-HR" w:eastAsia="en-US"/>
        </w:rPr>
        <w:tab/>
        <w:t>Površine gospodarske namjene prikazane su na kartografskom prikazu br.1 “Korištenje i namjena površina”, MJ. 1:25.000.</w:t>
      </w:r>
    </w:p>
    <w:p w:rsidR="00012172" w:rsidRDefault="00012172">
      <w:pPr>
        <w:pStyle w:val="clanak"/>
        <w:rPr>
          <w:rFonts w:ascii="Times New Roman" w:hAnsi="Times New Roman"/>
          <w:b/>
          <w:snapToGrid w:val="0"/>
          <w:sz w:val="24"/>
          <w:szCs w:val="22"/>
          <w:lang w:val="hr-HR" w:eastAsia="en-US"/>
        </w:rPr>
      </w:pPr>
    </w:p>
    <w:p w:rsidR="00012172" w:rsidRDefault="00012172">
      <w:pPr>
        <w:pStyle w:val="clanak"/>
        <w:rPr>
          <w:rFonts w:ascii="Times New Roman" w:hAnsi="Times New Roman"/>
          <w:b/>
          <w:snapToGrid w:val="0"/>
          <w:sz w:val="24"/>
          <w:szCs w:val="22"/>
          <w:lang w:val="hr-HR" w:eastAsia="en-US"/>
        </w:rPr>
      </w:pPr>
      <w:r>
        <w:rPr>
          <w:rFonts w:ascii="Times New Roman" w:hAnsi="Times New Roman"/>
          <w:b/>
          <w:snapToGrid w:val="0"/>
          <w:sz w:val="24"/>
          <w:szCs w:val="22"/>
          <w:lang w:val="hr-HR" w:eastAsia="en-US"/>
        </w:rPr>
        <w:t>1.2.2.</w:t>
      </w:r>
      <w:r>
        <w:rPr>
          <w:rFonts w:ascii="Times New Roman" w:hAnsi="Times New Roman"/>
          <w:b/>
          <w:snapToGrid w:val="0"/>
          <w:sz w:val="24"/>
          <w:szCs w:val="22"/>
          <w:lang w:val="hr-HR" w:eastAsia="en-US"/>
        </w:rPr>
        <w:tab/>
        <w:t>Poljoprivredne površine</w:t>
      </w:r>
    </w:p>
    <w:p w:rsidR="00012172" w:rsidRDefault="00BD04E2">
      <w:pPr>
        <w:pStyle w:val="clanak"/>
        <w:jc w:val="center"/>
        <w:rPr>
          <w:rFonts w:ascii="Times New Roman" w:hAnsi="Times New Roman"/>
          <w:snapToGrid w:val="0"/>
          <w:sz w:val="24"/>
          <w:szCs w:val="22"/>
          <w:lang w:val="hr-HR" w:eastAsia="en-US"/>
        </w:rPr>
      </w:pPr>
      <w:r>
        <w:rPr>
          <w:rFonts w:ascii="Times New Roman" w:hAnsi="Times New Roman"/>
          <w:snapToGrid w:val="0"/>
          <w:sz w:val="24"/>
          <w:szCs w:val="22"/>
          <w:lang w:val="hr-HR" w:eastAsia="en-US"/>
        </w:rPr>
        <w:t>Članak 9</w:t>
      </w:r>
      <w:r w:rsidR="00012172">
        <w:rPr>
          <w:rFonts w:ascii="Times New Roman" w:hAnsi="Times New Roman"/>
          <w:snapToGrid w:val="0"/>
          <w:sz w:val="24"/>
          <w:szCs w:val="22"/>
          <w:lang w:val="hr-HR" w:eastAsia="en-US"/>
        </w:rPr>
        <w:t>.</w:t>
      </w:r>
    </w:p>
    <w:p w:rsidR="00012172" w:rsidRDefault="00012172">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(1)</w:t>
      </w:r>
      <w:r>
        <w:rPr>
          <w:rFonts w:ascii="Times New Roman" w:hAnsi="Times New Roman"/>
          <w:snapToGrid w:val="0"/>
          <w:sz w:val="24"/>
          <w:szCs w:val="22"/>
          <w:lang w:val="hr-HR" w:eastAsia="en-US"/>
        </w:rPr>
        <w:tab/>
        <w:t>Poljoprivredne površine prikazane su na kartografskom prikazu br.1 “Korištenje i namjena površina”, MJ. 1:25.000.</w:t>
      </w:r>
    </w:p>
    <w:p w:rsidR="00012172" w:rsidRDefault="00012172">
      <w:pPr>
        <w:pStyle w:val="clanak"/>
        <w:rPr>
          <w:rFonts w:ascii="Times New Roman" w:hAnsi="Times New Roman"/>
          <w:b/>
          <w:snapToGrid w:val="0"/>
          <w:sz w:val="24"/>
          <w:szCs w:val="22"/>
          <w:lang w:val="hr-HR" w:eastAsia="en-US"/>
        </w:rPr>
      </w:pPr>
    </w:p>
    <w:p w:rsidR="00012172" w:rsidRDefault="00012172">
      <w:pPr>
        <w:rPr>
          <w:b/>
          <w:szCs w:val="22"/>
          <w:lang w:eastAsia="en-US"/>
        </w:rPr>
      </w:pPr>
      <w:r>
        <w:rPr>
          <w:b/>
          <w:szCs w:val="22"/>
          <w:lang w:eastAsia="en-US"/>
        </w:rPr>
        <w:t>1.2.3.Ostalo poljoprivredno tlo, šume i šumsko zemljište</w:t>
      </w:r>
    </w:p>
    <w:p w:rsidR="00012172" w:rsidRDefault="00BD04E2">
      <w:pPr>
        <w:pStyle w:val="clanak"/>
        <w:jc w:val="center"/>
        <w:rPr>
          <w:rFonts w:ascii="Times New Roman" w:hAnsi="Times New Roman"/>
          <w:b/>
          <w:snapToGrid w:val="0"/>
          <w:sz w:val="24"/>
          <w:szCs w:val="22"/>
          <w:lang w:val="hr-HR" w:eastAsia="en-US"/>
        </w:rPr>
      </w:pPr>
      <w:r>
        <w:rPr>
          <w:rFonts w:ascii="Times New Roman" w:hAnsi="Times New Roman"/>
          <w:snapToGrid w:val="0"/>
          <w:sz w:val="24"/>
          <w:szCs w:val="22"/>
          <w:lang w:val="hr-HR" w:eastAsia="en-US"/>
        </w:rPr>
        <w:t>Članak 10</w:t>
      </w:r>
      <w:r w:rsidR="00012172">
        <w:rPr>
          <w:rFonts w:ascii="Times New Roman" w:hAnsi="Times New Roman"/>
          <w:snapToGrid w:val="0"/>
          <w:sz w:val="24"/>
          <w:szCs w:val="22"/>
          <w:lang w:val="hr-HR" w:eastAsia="en-US"/>
        </w:rPr>
        <w:t>.</w:t>
      </w:r>
    </w:p>
    <w:p w:rsidR="00012172" w:rsidRDefault="00012172">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(1)</w:t>
      </w:r>
      <w:r>
        <w:rPr>
          <w:rFonts w:ascii="Times New Roman" w:hAnsi="Times New Roman"/>
          <w:snapToGrid w:val="0"/>
          <w:sz w:val="24"/>
          <w:szCs w:val="22"/>
          <w:lang w:val="hr-HR" w:eastAsia="en-US"/>
        </w:rPr>
        <w:tab/>
        <w:t>Ostalo poljoprivredno tlo, šume i šumsko zeml</w:t>
      </w:r>
      <w:r w:rsidR="0064110D">
        <w:rPr>
          <w:rFonts w:ascii="Times New Roman" w:hAnsi="Times New Roman"/>
          <w:snapToGrid w:val="0"/>
          <w:sz w:val="24"/>
          <w:szCs w:val="22"/>
          <w:lang w:val="hr-HR" w:eastAsia="en-US"/>
        </w:rPr>
        <w:t>jište odnosi se šumske površine koje su prikazane na kartografskom prikazu br.1 “Korištenje i namjena površina”, MJ. 1:25.000.</w:t>
      </w:r>
    </w:p>
    <w:p w:rsidR="00012172" w:rsidRDefault="00012172">
      <w:pPr>
        <w:pStyle w:val="clanak"/>
        <w:rPr>
          <w:rFonts w:ascii="Times New Roman" w:hAnsi="Times New Roman"/>
          <w:b/>
          <w:snapToGrid w:val="0"/>
          <w:sz w:val="24"/>
          <w:szCs w:val="22"/>
          <w:lang w:val="hr-HR" w:eastAsia="en-US"/>
        </w:rPr>
      </w:pPr>
    </w:p>
    <w:p w:rsidR="00012172" w:rsidRDefault="00012172">
      <w:pPr>
        <w:pStyle w:val="clanak"/>
        <w:rPr>
          <w:rFonts w:ascii="Times New Roman" w:hAnsi="Times New Roman"/>
          <w:b/>
          <w:snapToGrid w:val="0"/>
          <w:sz w:val="24"/>
          <w:szCs w:val="22"/>
          <w:lang w:val="hr-HR" w:eastAsia="en-US"/>
        </w:rPr>
      </w:pPr>
      <w:r>
        <w:rPr>
          <w:rFonts w:ascii="Times New Roman" w:hAnsi="Times New Roman"/>
          <w:b/>
          <w:snapToGrid w:val="0"/>
          <w:sz w:val="24"/>
          <w:szCs w:val="22"/>
          <w:lang w:val="hr-HR" w:eastAsia="en-US"/>
        </w:rPr>
        <w:t>1.2.4.Vodene površine</w:t>
      </w:r>
    </w:p>
    <w:p w:rsidR="00012172" w:rsidRDefault="00BD04E2">
      <w:pPr>
        <w:pStyle w:val="clanak"/>
        <w:jc w:val="center"/>
        <w:rPr>
          <w:rFonts w:ascii="Times New Roman" w:hAnsi="Times New Roman"/>
          <w:snapToGrid w:val="0"/>
          <w:sz w:val="24"/>
          <w:szCs w:val="22"/>
          <w:lang w:val="hr-HR" w:eastAsia="en-US"/>
        </w:rPr>
      </w:pPr>
      <w:r>
        <w:rPr>
          <w:rFonts w:ascii="Times New Roman" w:hAnsi="Times New Roman"/>
          <w:snapToGrid w:val="0"/>
          <w:sz w:val="24"/>
          <w:szCs w:val="22"/>
          <w:lang w:val="hr-HR" w:eastAsia="en-US"/>
        </w:rPr>
        <w:t>Članak 11</w:t>
      </w:r>
      <w:r w:rsidR="00012172">
        <w:rPr>
          <w:rFonts w:ascii="Times New Roman" w:hAnsi="Times New Roman"/>
          <w:snapToGrid w:val="0"/>
          <w:sz w:val="24"/>
          <w:szCs w:val="22"/>
          <w:lang w:val="hr-HR" w:eastAsia="en-US"/>
        </w:rPr>
        <w:t>.</w:t>
      </w:r>
    </w:p>
    <w:p w:rsidR="00012172" w:rsidRDefault="00012172">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(1)</w:t>
      </w:r>
      <w:r>
        <w:rPr>
          <w:rFonts w:ascii="Times New Roman" w:hAnsi="Times New Roman"/>
          <w:snapToGrid w:val="0"/>
          <w:sz w:val="24"/>
          <w:szCs w:val="22"/>
          <w:lang w:val="hr-HR" w:eastAsia="en-US"/>
        </w:rPr>
        <w:tab/>
        <w:t>Vodene površine su vodotoci , kanali, jezera i ribnjaci</w:t>
      </w:r>
      <w:r w:rsidR="0064110D">
        <w:rPr>
          <w:rFonts w:ascii="Times New Roman" w:hAnsi="Times New Roman"/>
          <w:snapToGrid w:val="0"/>
          <w:sz w:val="24"/>
          <w:szCs w:val="22"/>
          <w:lang w:val="hr-HR" w:eastAsia="en-US"/>
        </w:rPr>
        <w:t xml:space="preserve"> su prikazani na kartografskom prikazu br.1 “Korištenje i namjena površina”, MJ. 1:25.000.</w:t>
      </w:r>
    </w:p>
    <w:p w:rsidR="00012172" w:rsidRDefault="00012172">
      <w:pPr>
        <w:pStyle w:val="clanak"/>
        <w:rPr>
          <w:rFonts w:ascii="Times New Roman" w:hAnsi="Times New Roman"/>
          <w:snapToGrid w:val="0"/>
          <w:sz w:val="24"/>
          <w:szCs w:val="22"/>
          <w:lang w:val="hr-HR" w:eastAsia="en-US"/>
        </w:rPr>
      </w:pPr>
    </w:p>
    <w:p w:rsidR="00012172" w:rsidRDefault="00012172">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(2)</w:t>
      </w:r>
      <w:r>
        <w:rPr>
          <w:rFonts w:ascii="Times New Roman" w:hAnsi="Times New Roman"/>
          <w:snapToGrid w:val="0"/>
          <w:sz w:val="24"/>
          <w:szCs w:val="22"/>
          <w:lang w:val="hr-HR" w:eastAsia="en-US"/>
        </w:rPr>
        <w:tab/>
        <w:t xml:space="preserve">Namjena i način korištenja vodne površine odnosi se na prostor ispod i iznad vodne plohe. </w:t>
      </w:r>
    </w:p>
    <w:p w:rsidR="00012172" w:rsidRDefault="00012172">
      <w:pPr>
        <w:pStyle w:val="clanak"/>
        <w:rPr>
          <w:rFonts w:ascii="Times New Roman" w:hAnsi="Times New Roman"/>
          <w:snapToGrid w:val="0"/>
          <w:sz w:val="24"/>
          <w:lang w:val="hr-HR" w:eastAsia="en-US"/>
        </w:rPr>
      </w:pPr>
    </w:p>
    <w:p w:rsidR="0064110D" w:rsidRDefault="0064110D" w:rsidP="0064110D">
      <w:pPr>
        <w:pStyle w:val="clanak"/>
        <w:rPr>
          <w:rFonts w:ascii="Times New Roman" w:hAnsi="Times New Roman"/>
          <w:b/>
          <w:snapToGrid w:val="0"/>
          <w:sz w:val="24"/>
          <w:szCs w:val="22"/>
          <w:lang w:val="hr-HR" w:eastAsia="en-US"/>
        </w:rPr>
      </w:pPr>
      <w:r>
        <w:rPr>
          <w:rFonts w:ascii="Times New Roman" w:hAnsi="Times New Roman"/>
          <w:b/>
          <w:snapToGrid w:val="0"/>
          <w:sz w:val="24"/>
          <w:szCs w:val="22"/>
          <w:lang w:val="hr-HR" w:eastAsia="en-US"/>
        </w:rPr>
        <w:t>1.2.5. Površine za šport, rekreaciju, ugostiteljstvo i turizam</w:t>
      </w:r>
    </w:p>
    <w:p w:rsidR="0064110D" w:rsidRDefault="0064110D">
      <w:pPr>
        <w:pStyle w:val="clanak"/>
        <w:rPr>
          <w:rFonts w:ascii="Times New Roman" w:hAnsi="Times New Roman"/>
          <w:snapToGrid w:val="0"/>
          <w:sz w:val="24"/>
          <w:lang w:val="hr-HR" w:eastAsia="en-US"/>
        </w:rPr>
      </w:pPr>
    </w:p>
    <w:p w:rsidR="0064110D" w:rsidRDefault="00BD04E2" w:rsidP="0064110D">
      <w:pPr>
        <w:pStyle w:val="xl30"/>
        <w:pBdr>
          <w:left w:val="none" w:sz="0" w:space="0" w:color="auto"/>
          <w:bottom w:val="none" w:sz="0" w:space="0" w:color="auto"/>
        </w:pBdr>
        <w:spacing w:before="0" w:beforeAutospacing="0" w:after="0" w:afterAutospacing="0"/>
        <w:rPr>
          <w:rFonts w:ascii="Times New Roman" w:hAnsi="Times New Roman"/>
          <w:snapToGrid w:val="0"/>
          <w:lang w:eastAsia="en-US"/>
        </w:rPr>
      </w:pPr>
      <w:r>
        <w:rPr>
          <w:rFonts w:ascii="Times New Roman" w:hAnsi="Times New Roman"/>
          <w:snapToGrid w:val="0"/>
          <w:lang w:eastAsia="en-US"/>
        </w:rPr>
        <w:t>Članak 12</w:t>
      </w:r>
      <w:r w:rsidR="0064110D">
        <w:rPr>
          <w:rFonts w:ascii="Times New Roman" w:hAnsi="Times New Roman"/>
          <w:snapToGrid w:val="0"/>
          <w:lang w:eastAsia="en-US"/>
        </w:rPr>
        <w:t>.</w:t>
      </w:r>
    </w:p>
    <w:p w:rsidR="0064110D" w:rsidRDefault="0064110D" w:rsidP="0064110D">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 xml:space="preserve">(1) </w:t>
      </w:r>
      <w:r w:rsidRPr="0064110D">
        <w:rPr>
          <w:rFonts w:ascii="Times New Roman" w:hAnsi="Times New Roman"/>
          <w:snapToGrid w:val="0"/>
          <w:sz w:val="24"/>
          <w:szCs w:val="22"/>
          <w:lang w:val="hr-HR" w:eastAsia="en-US"/>
        </w:rPr>
        <w:t>Površine za šport, rekreaciju, ugostiteljstvo i turizam</w:t>
      </w:r>
      <w:r>
        <w:rPr>
          <w:rFonts w:ascii="Times New Roman" w:hAnsi="Times New Roman"/>
          <w:snapToGrid w:val="0"/>
          <w:sz w:val="24"/>
          <w:szCs w:val="22"/>
          <w:lang w:val="hr-HR" w:eastAsia="en-US"/>
        </w:rPr>
        <w:t xml:space="preserve"> su prikazane na kartografskom prikazu br.1 “Korištenje i namjena površina”, MJ. 1:25.000. i kartografskim prikazima građevinskih područja br. 4.1, 4.2. i 4.3. MJ 1: 5.000.</w:t>
      </w:r>
    </w:p>
    <w:p w:rsidR="0064110D" w:rsidRDefault="0064110D">
      <w:pPr>
        <w:pStyle w:val="clanak"/>
        <w:rPr>
          <w:rFonts w:ascii="Times New Roman" w:hAnsi="Times New Roman"/>
          <w:snapToGrid w:val="0"/>
          <w:sz w:val="24"/>
          <w:lang w:val="hr-HR" w:eastAsia="en-US"/>
        </w:rPr>
      </w:pPr>
    </w:p>
    <w:p w:rsidR="0064110D" w:rsidRDefault="0064110D">
      <w:pPr>
        <w:pStyle w:val="clanak"/>
        <w:rPr>
          <w:rFonts w:ascii="Times New Roman" w:hAnsi="Times New Roman"/>
          <w:snapToGrid w:val="0"/>
          <w:sz w:val="24"/>
          <w:lang w:val="hr-HR" w:eastAsia="en-US"/>
        </w:rPr>
      </w:pPr>
      <w:r>
        <w:rPr>
          <w:rFonts w:ascii="Times New Roman" w:hAnsi="Times New Roman"/>
          <w:snapToGrid w:val="0"/>
          <w:sz w:val="24"/>
          <w:lang w:val="hr-HR" w:eastAsia="en-US"/>
        </w:rPr>
        <w:t>(2) Uvjeti za gradnju izvan građevinskog područja,</w:t>
      </w:r>
      <w:r w:rsidR="00AA4C26">
        <w:rPr>
          <w:rFonts w:ascii="Times New Roman" w:hAnsi="Times New Roman"/>
          <w:snapToGrid w:val="0"/>
          <w:sz w:val="24"/>
          <w:lang w:val="hr-HR" w:eastAsia="en-US"/>
        </w:rPr>
        <w:t xml:space="preserve"> </w:t>
      </w:r>
      <w:r>
        <w:rPr>
          <w:rFonts w:ascii="Times New Roman" w:hAnsi="Times New Roman"/>
          <w:snapToGrid w:val="0"/>
          <w:sz w:val="24"/>
          <w:lang w:val="hr-HR" w:eastAsia="en-US"/>
        </w:rPr>
        <w:t>a za ove namjene</w:t>
      </w:r>
      <w:r w:rsidR="00AA4C26">
        <w:rPr>
          <w:rFonts w:ascii="Times New Roman" w:hAnsi="Times New Roman"/>
          <w:snapToGrid w:val="0"/>
          <w:sz w:val="24"/>
          <w:lang w:val="hr-HR" w:eastAsia="en-US"/>
        </w:rPr>
        <w:t>, definiraju se kroz:</w:t>
      </w:r>
    </w:p>
    <w:p w:rsidR="00AA4C26" w:rsidRDefault="00AA4C26">
      <w:pPr>
        <w:pStyle w:val="clanak"/>
        <w:rPr>
          <w:rFonts w:ascii="Times New Roman" w:hAnsi="Times New Roman"/>
          <w:snapToGrid w:val="0"/>
          <w:sz w:val="24"/>
          <w:lang w:val="hr-HR" w:eastAsia="en-US"/>
        </w:rPr>
      </w:pPr>
      <w:r>
        <w:rPr>
          <w:rFonts w:ascii="Times New Roman" w:hAnsi="Times New Roman"/>
          <w:snapToGrid w:val="0"/>
          <w:sz w:val="24"/>
          <w:lang w:val="hr-HR" w:eastAsia="en-US"/>
        </w:rPr>
        <w:t>1. Urbanističko-arhitektonsko idejno rješenje za izdavanje lokacijske dozvole</w:t>
      </w:r>
    </w:p>
    <w:p w:rsidR="00AA4C26" w:rsidRDefault="00AA4C26">
      <w:pPr>
        <w:pStyle w:val="clanak"/>
        <w:rPr>
          <w:rFonts w:ascii="Times New Roman" w:hAnsi="Times New Roman"/>
          <w:snapToGrid w:val="0"/>
          <w:sz w:val="24"/>
          <w:lang w:val="hr-HR" w:eastAsia="en-US"/>
        </w:rPr>
      </w:pPr>
      <w:r>
        <w:rPr>
          <w:rFonts w:ascii="Times New Roman" w:hAnsi="Times New Roman"/>
          <w:snapToGrid w:val="0"/>
          <w:sz w:val="24"/>
          <w:lang w:val="hr-HR" w:eastAsia="en-US"/>
        </w:rPr>
        <w:t>2. DPU-om</w:t>
      </w:r>
    </w:p>
    <w:p w:rsidR="0064110D" w:rsidRDefault="0064110D">
      <w:pPr>
        <w:pStyle w:val="clanak"/>
        <w:rPr>
          <w:rFonts w:ascii="Times New Roman" w:hAnsi="Times New Roman"/>
          <w:snapToGrid w:val="0"/>
          <w:sz w:val="24"/>
          <w:lang w:val="hr-HR" w:eastAsia="en-US"/>
        </w:rPr>
      </w:pPr>
    </w:p>
    <w:p w:rsidR="00BD04E2" w:rsidRDefault="00BD04E2">
      <w:pPr>
        <w:pStyle w:val="clanak"/>
        <w:rPr>
          <w:rFonts w:ascii="Times New Roman" w:hAnsi="Times New Roman"/>
          <w:snapToGrid w:val="0"/>
          <w:sz w:val="24"/>
          <w:lang w:val="hr-HR" w:eastAsia="en-US"/>
        </w:rPr>
      </w:pPr>
    </w:p>
    <w:p w:rsidR="00BD04E2" w:rsidRDefault="00BD04E2">
      <w:pPr>
        <w:pStyle w:val="clanak"/>
        <w:rPr>
          <w:rFonts w:ascii="Times New Roman" w:hAnsi="Times New Roman"/>
          <w:snapToGrid w:val="0"/>
          <w:sz w:val="24"/>
          <w:lang w:val="hr-HR" w:eastAsia="en-US"/>
        </w:rPr>
      </w:pPr>
    </w:p>
    <w:p w:rsidR="00012172" w:rsidRDefault="00012172">
      <w:pPr>
        <w:pStyle w:val="clanak"/>
        <w:rPr>
          <w:rFonts w:ascii="Times New Roman" w:hAnsi="Times New Roman"/>
          <w:b/>
          <w:snapToGrid w:val="0"/>
          <w:sz w:val="24"/>
          <w:szCs w:val="22"/>
          <w:lang w:val="hr-HR" w:eastAsia="en-US"/>
        </w:rPr>
      </w:pPr>
      <w:r>
        <w:rPr>
          <w:rFonts w:ascii="Times New Roman" w:hAnsi="Times New Roman"/>
          <w:b/>
          <w:snapToGrid w:val="0"/>
          <w:sz w:val="24"/>
          <w:szCs w:val="22"/>
          <w:lang w:val="hr-HR" w:eastAsia="en-US"/>
        </w:rPr>
        <w:t>1.3.</w:t>
      </w:r>
      <w:r>
        <w:rPr>
          <w:rFonts w:ascii="Times New Roman" w:hAnsi="Times New Roman"/>
          <w:b/>
          <w:snapToGrid w:val="0"/>
          <w:sz w:val="24"/>
          <w:szCs w:val="22"/>
          <w:lang w:val="hr-HR" w:eastAsia="en-US"/>
        </w:rPr>
        <w:tab/>
        <w:t>Površine infrastrukturnih sustava</w:t>
      </w:r>
    </w:p>
    <w:p w:rsidR="00012172" w:rsidRDefault="00012172">
      <w:pPr>
        <w:rPr>
          <w:rFonts w:ascii="Arial" w:hAnsi="Arial" w:cs="Arial"/>
          <w:sz w:val="22"/>
          <w:szCs w:val="22"/>
          <w:lang w:eastAsia="en-US"/>
        </w:rPr>
      </w:pPr>
    </w:p>
    <w:p w:rsidR="00012172" w:rsidRDefault="00BD04E2">
      <w:pPr>
        <w:pStyle w:val="xl30"/>
        <w:pBdr>
          <w:left w:val="none" w:sz="0" w:space="0" w:color="auto"/>
          <w:bottom w:val="none" w:sz="0" w:space="0" w:color="auto"/>
        </w:pBdr>
        <w:spacing w:before="0" w:beforeAutospacing="0" w:after="0" w:afterAutospacing="0"/>
        <w:rPr>
          <w:rFonts w:ascii="Times New Roman" w:hAnsi="Times New Roman"/>
          <w:snapToGrid w:val="0"/>
          <w:lang w:eastAsia="en-US"/>
        </w:rPr>
      </w:pPr>
      <w:r>
        <w:rPr>
          <w:rFonts w:ascii="Times New Roman" w:hAnsi="Times New Roman"/>
          <w:snapToGrid w:val="0"/>
          <w:lang w:eastAsia="en-US"/>
        </w:rPr>
        <w:t>Članak 13</w:t>
      </w:r>
      <w:r w:rsidR="00012172">
        <w:rPr>
          <w:rFonts w:ascii="Times New Roman" w:hAnsi="Times New Roman"/>
          <w:snapToGrid w:val="0"/>
          <w:lang w:eastAsia="en-US"/>
        </w:rPr>
        <w:t>.</w:t>
      </w:r>
    </w:p>
    <w:p w:rsidR="00012172" w:rsidRDefault="00012172">
      <w:pPr>
        <w:jc w:val="both"/>
      </w:pPr>
      <w:r>
        <w:rPr>
          <w:snapToGrid w:val="0"/>
          <w:lang w:eastAsia="en-US"/>
        </w:rPr>
        <w:t xml:space="preserve">(1) Razgraničenje površina infrastrukturnih sustava (infrastrukturni koridori i građevine) određeno je na kartografskim prikazima br. 1 “Korištenje i namjena površina ” i br. 2  “Infrastrukturni sustavi” MJ. 1:25.000.  </w:t>
      </w:r>
    </w:p>
    <w:p w:rsidR="00012172" w:rsidRDefault="00012172">
      <w:pPr>
        <w:jc w:val="both"/>
      </w:pPr>
    </w:p>
    <w:p w:rsidR="00012172" w:rsidRDefault="00012172">
      <w:pPr>
        <w:jc w:val="both"/>
      </w:pPr>
      <w:r>
        <w:t xml:space="preserve">(2) </w:t>
      </w:r>
      <w:r>
        <w:rPr>
          <w:lang w:val="en-AU"/>
        </w:rPr>
        <w:t>Planirani</w:t>
      </w:r>
      <w:r>
        <w:t xml:space="preserve"> </w:t>
      </w:r>
      <w:r>
        <w:rPr>
          <w:lang w:val="en-AU"/>
        </w:rPr>
        <w:t>koridori</w:t>
      </w:r>
      <w:r>
        <w:t xml:space="preserve"> </w:t>
      </w:r>
      <w:r>
        <w:rPr>
          <w:lang w:val="en-AU"/>
        </w:rPr>
        <w:t>ili</w:t>
      </w:r>
      <w:r>
        <w:t xml:space="preserve"> </w:t>
      </w:r>
      <w:r>
        <w:rPr>
          <w:lang w:val="en-AU"/>
        </w:rPr>
        <w:t>trase</w:t>
      </w:r>
      <w:r>
        <w:t xml:space="preserve"> </w:t>
      </w:r>
      <w:r>
        <w:rPr>
          <w:lang w:val="en-AU"/>
        </w:rPr>
        <w:t>infrastrukturnih</w:t>
      </w:r>
      <w:r>
        <w:t xml:space="preserve"> </w:t>
      </w:r>
      <w:r>
        <w:rPr>
          <w:lang w:val="en-AU"/>
        </w:rPr>
        <w:t>sustava</w:t>
      </w:r>
      <w:r>
        <w:t xml:space="preserve"> </w:t>
      </w:r>
      <w:r>
        <w:rPr>
          <w:lang w:val="en-AU"/>
        </w:rPr>
        <w:t>odre</w:t>
      </w:r>
      <w:r>
        <w:t>đ</w:t>
      </w:r>
      <w:r>
        <w:rPr>
          <w:lang w:val="en-AU"/>
        </w:rPr>
        <w:t>eni</w:t>
      </w:r>
      <w:r>
        <w:t xml:space="preserve"> </w:t>
      </w:r>
      <w:r>
        <w:rPr>
          <w:lang w:val="en-AU"/>
        </w:rPr>
        <w:t>su</w:t>
      </w:r>
      <w:r>
        <w:t xml:space="preserve"> </w:t>
      </w:r>
      <w:r>
        <w:rPr>
          <w:lang w:val="en-AU"/>
        </w:rPr>
        <w:t>aproksimativno</w:t>
      </w:r>
      <w:r>
        <w:t xml:space="preserve"> </w:t>
      </w:r>
      <w:r>
        <w:rPr>
          <w:lang w:val="en-AU"/>
        </w:rPr>
        <w:t>u</w:t>
      </w:r>
      <w:r>
        <w:t xml:space="preserve"> </w:t>
      </w:r>
      <w:r>
        <w:rPr>
          <w:lang w:val="en-AU"/>
        </w:rPr>
        <w:t>prostoru</w:t>
      </w:r>
      <w:r>
        <w:t xml:space="preserve"> </w:t>
      </w:r>
      <w:r>
        <w:rPr>
          <w:lang w:val="en-AU"/>
        </w:rPr>
        <w:t>i</w:t>
      </w:r>
      <w:r>
        <w:t xml:space="preserve"> </w:t>
      </w:r>
      <w:r>
        <w:rPr>
          <w:lang w:val="en-AU"/>
        </w:rPr>
        <w:t>to</w:t>
      </w:r>
      <w:r>
        <w:t>č</w:t>
      </w:r>
      <w:r>
        <w:rPr>
          <w:lang w:val="en-AU"/>
        </w:rPr>
        <w:t>na</w:t>
      </w:r>
      <w:r>
        <w:t xml:space="preserve"> </w:t>
      </w:r>
      <w:r>
        <w:rPr>
          <w:lang w:val="en-AU"/>
        </w:rPr>
        <w:t>trasa</w:t>
      </w:r>
      <w:r>
        <w:t xml:space="preserve"> </w:t>
      </w:r>
      <w:r>
        <w:rPr>
          <w:lang w:val="en-AU"/>
        </w:rPr>
        <w:t>se</w:t>
      </w:r>
      <w:r>
        <w:t xml:space="preserve"> </w:t>
      </w:r>
      <w:r>
        <w:rPr>
          <w:lang w:val="en-AU"/>
        </w:rPr>
        <w:t>treba</w:t>
      </w:r>
      <w:r>
        <w:t xml:space="preserve"> </w:t>
      </w:r>
      <w:r>
        <w:rPr>
          <w:lang w:val="en-AU"/>
        </w:rPr>
        <w:t>odrediti</w:t>
      </w:r>
      <w:r>
        <w:t xml:space="preserve"> </w:t>
      </w:r>
      <w:r>
        <w:rPr>
          <w:lang w:val="en-AU"/>
        </w:rPr>
        <w:t>idejnim</w:t>
      </w:r>
      <w:r>
        <w:t xml:space="preserve"> </w:t>
      </w:r>
      <w:r>
        <w:rPr>
          <w:lang w:val="en-AU"/>
        </w:rPr>
        <w:t>rje</w:t>
      </w:r>
      <w:r>
        <w:t>š</w:t>
      </w:r>
      <w:r>
        <w:rPr>
          <w:lang w:val="en-AU"/>
        </w:rPr>
        <w:t>enjem</w:t>
      </w:r>
      <w:r>
        <w:t xml:space="preserve"> (</w:t>
      </w:r>
      <w:r>
        <w:rPr>
          <w:lang w:val="en-AU"/>
        </w:rPr>
        <w:t>projektom</w:t>
      </w:r>
      <w:r>
        <w:t xml:space="preserve">) </w:t>
      </w:r>
      <w:r>
        <w:rPr>
          <w:lang w:val="en-AU"/>
        </w:rPr>
        <w:t>za</w:t>
      </w:r>
      <w:r>
        <w:t xml:space="preserve"> </w:t>
      </w:r>
      <w:r>
        <w:rPr>
          <w:lang w:val="en-AU"/>
        </w:rPr>
        <w:t>svaki</w:t>
      </w:r>
      <w:r>
        <w:t xml:space="preserve"> </w:t>
      </w:r>
      <w:r>
        <w:rPr>
          <w:lang w:val="en-AU"/>
        </w:rPr>
        <w:t>pojedini</w:t>
      </w:r>
      <w:r>
        <w:t xml:space="preserve"> </w:t>
      </w:r>
      <w:r>
        <w:rPr>
          <w:lang w:val="en-AU"/>
        </w:rPr>
        <w:t>namjeravani</w:t>
      </w:r>
      <w:r>
        <w:t xml:space="preserve"> </w:t>
      </w:r>
      <w:r>
        <w:rPr>
          <w:lang w:val="en-AU"/>
        </w:rPr>
        <w:t>zahvat</w:t>
      </w:r>
      <w:r>
        <w:t xml:space="preserve"> </w:t>
      </w:r>
      <w:r>
        <w:rPr>
          <w:lang w:val="en-AU"/>
        </w:rPr>
        <w:t>u</w:t>
      </w:r>
      <w:r>
        <w:t xml:space="preserve"> </w:t>
      </w:r>
      <w:r>
        <w:rPr>
          <w:lang w:val="en-AU"/>
        </w:rPr>
        <w:t>prostoru</w:t>
      </w:r>
      <w:r>
        <w:t>.</w:t>
      </w:r>
    </w:p>
    <w:p w:rsidR="00012172" w:rsidRDefault="00012172">
      <w:pPr>
        <w:rPr>
          <w:rFonts w:ascii="Arial" w:hAnsi="Arial" w:cs="Arial"/>
          <w:sz w:val="22"/>
          <w:szCs w:val="22"/>
          <w:lang w:eastAsia="en-US"/>
        </w:rPr>
      </w:pPr>
    </w:p>
    <w:p w:rsidR="00012172" w:rsidRDefault="00012172">
      <w:pPr>
        <w:rPr>
          <w:rFonts w:ascii="Arial" w:hAnsi="Arial" w:cs="Arial"/>
          <w:sz w:val="22"/>
          <w:szCs w:val="22"/>
          <w:lang w:eastAsia="en-US"/>
        </w:rPr>
      </w:pPr>
    </w:p>
    <w:p w:rsidR="00012172" w:rsidRDefault="00012172">
      <w:pPr>
        <w:pStyle w:val="Naslov1"/>
      </w:pPr>
      <w:bookmarkStart w:id="68" w:name="_Toc49756023"/>
      <w:bookmarkStart w:id="69" w:name="_Toc95140613"/>
      <w:r>
        <w:t>2. Uvjeti za uređenje prostora</w:t>
      </w:r>
      <w:bookmarkEnd w:id="68"/>
      <w:bookmarkEnd w:id="69"/>
      <w:r>
        <w:t xml:space="preserve"> </w:t>
      </w:r>
    </w:p>
    <w:p w:rsidR="00012172" w:rsidRDefault="00012172">
      <w:pPr>
        <w:pStyle w:val="Naslov2"/>
      </w:pPr>
      <w:bookmarkStart w:id="70" w:name="_Toc49756024"/>
      <w:bookmarkStart w:id="71" w:name="_Toc95140614"/>
      <w:r>
        <w:t>2.1. Građevine od važnosti za Državu i županiju</w:t>
      </w:r>
      <w:bookmarkEnd w:id="70"/>
      <w:bookmarkEnd w:id="71"/>
      <w:r>
        <w:t xml:space="preserve"> </w:t>
      </w:r>
    </w:p>
    <w:p w:rsidR="00012172" w:rsidRDefault="00012172"/>
    <w:p w:rsidR="00012172" w:rsidRDefault="0064110D">
      <w:pPr>
        <w:jc w:val="center"/>
      </w:pPr>
      <w:r>
        <w:rPr>
          <w:snapToGrid w:val="0"/>
          <w:lang w:eastAsia="en-US"/>
        </w:rPr>
        <w:t xml:space="preserve">Članak </w:t>
      </w:r>
      <w:r w:rsidR="00BD04E2">
        <w:rPr>
          <w:snapToGrid w:val="0"/>
          <w:lang w:eastAsia="en-US"/>
        </w:rPr>
        <w:t>14</w:t>
      </w:r>
      <w:r w:rsidR="00012172">
        <w:rPr>
          <w:snapToGrid w:val="0"/>
          <w:lang w:eastAsia="en-US"/>
        </w:rPr>
        <w:t>.</w:t>
      </w:r>
    </w:p>
    <w:p w:rsidR="00012172" w:rsidRDefault="00012172">
      <w:pPr>
        <w:jc w:val="both"/>
        <w:rPr>
          <w:szCs w:val="22"/>
        </w:rPr>
      </w:pPr>
      <w:r>
        <w:rPr>
          <w:szCs w:val="22"/>
        </w:rPr>
        <w:t>(1) Uvjeti određivanja prostora za građevine od važnosti za Državu i Koprivničko-križevačku županiju Prostornim se planom utvrđuju kao plansko-usmjeravajući uvjeti.</w:t>
      </w:r>
    </w:p>
    <w:p w:rsidR="00012172" w:rsidRDefault="00012172"/>
    <w:p w:rsidR="00012172" w:rsidRDefault="00012172">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(2) Izvan građevinskih područja naselja za građevine od važnosti za Državu i Županiju određene su površine infrastrukturnih sustava.</w:t>
      </w:r>
    </w:p>
    <w:p w:rsidR="00012172" w:rsidRDefault="00012172">
      <w:pPr>
        <w:jc w:val="center"/>
      </w:pPr>
    </w:p>
    <w:p w:rsidR="00012172" w:rsidRDefault="00BD04E2">
      <w:pPr>
        <w:pStyle w:val="clanak"/>
        <w:jc w:val="center"/>
        <w:rPr>
          <w:rFonts w:ascii="Times New Roman" w:hAnsi="Times New Roman"/>
          <w:snapToGrid w:val="0"/>
          <w:sz w:val="24"/>
          <w:szCs w:val="22"/>
          <w:lang w:val="hr-HR" w:eastAsia="en-US"/>
        </w:rPr>
      </w:pPr>
      <w:r>
        <w:rPr>
          <w:rFonts w:ascii="Times New Roman" w:hAnsi="Times New Roman"/>
          <w:snapToGrid w:val="0"/>
          <w:sz w:val="24"/>
          <w:szCs w:val="22"/>
          <w:lang w:val="hr-HR" w:eastAsia="en-US"/>
        </w:rPr>
        <w:t>Članak 15</w:t>
      </w:r>
      <w:r w:rsidR="00012172">
        <w:rPr>
          <w:rFonts w:ascii="Times New Roman" w:hAnsi="Times New Roman"/>
          <w:snapToGrid w:val="0"/>
          <w:sz w:val="24"/>
          <w:szCs w:val="22"/>
          <w:lang w:val="hr-HR" w:eastAsia="en-US"/>
        </w:rPr>
        <w:t>.</w:t>
      </w:r>
    </w:p>
    <w:p w:rsidR="00012172" w:rsidRDefault="00012172">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(1) Ovim Odredbama za provođenje određuju se slijedeće građevine od važnosti za Državu i Koprivničko-križevačku županiju:</w:t>
      </w:r>
    </w:p>
    <w:p w:rsidR="00012172" w:rsidRDefault="00012172" w:rsidP="00012172">
      <w:pPr>
        <w:pStyle w:val="Tekst"/>
        <w:numPr>
          <w:ilvl w:val="0"/>
          <w:numId w:val="21"/>
        </w:numPr>
        <w:ind w:left="709" w:hanging="283"/>
        <w:rPr>
          <w:rFonts w:ascii="Times New Roman" w:hAnsi="Times New Roman"/>
          <w:sz w:val="24"/>
          <w:szCs w:val="22"/>
          <w:lang w:val="hr-HR"/>
        </w:rPr>
      </w:pPr>
      <w:r>
        <w:rPr>
          <w:rFonts w:ascii="Times New Roman" w:hAnsi="Times New Roman"/>
          <w:sz w:val="24"/>
          <w:szCs w:val="22"/>
          <w:lang w:val="hr-HR"/>
        </w:rPr>
        <w:t xml:space="preserve">državna cesta </w:t>
      </w:r>
      <w:r>
        <w:rPr>
          <w:rFonts w:ascii="Arial" w:hAnsi="Arial" w:cs="Arial"/>
          <w:sz w:val="22"/>
        </w:rPr>
        <w:t>D 22</w:t>
      </w:r>
      <w:r w:rsidR="00AA4C26">
        <w:rPr>
          <w:rFonts w:ascii="Arial" w:hAnsi="Arial" w:cs="Arial"/>
          <w:sz w:val="22"/>
        </w:rPr>
        <w:t>,</w:t>
      </w:r>
    </w:p>
    <w:p w:rsidR="00012172" w:rsidRDefault="00012172" w:rsidP="00012172">
      <w:pPr>
        <w:pStyle w:val="Tekst"/>
        <w:numPr>
          <w:ilvl w:val="0"/>
          <w:numId w:val="21"/>
        </w:numPr>
        <w:ind w:left="709" w:hanging="283"/>
        <w:rPr>
          <w:rFonts w:ascii="Times New Roman" w:hAnsi="Times New Roman"/>
          <w:sz w:val="24"/>
          <w:szCs w:val="22"/>
          <w:lang w:val="hr-HR"/>
        </w:rPr>
      </w:pPr>
      <w:r>
        <w:rPr>
          <w:rFonts w:ascii="Times New Roman" w:hAnsi="Times New Roman"/>
          <w:sz w:val="24"/>
          <w:lang w:val="hr-HR"/>
        </w:rPr>
        <w:t xml:space="preserve">županijska cesta </w:t>
      </w:r>
      <w:r>
        <w:rPr>
          <w:rFonts w:ascii="Arial" w:hAnsi="Arial" w:cs="Arial"/>
          <w:sz w:val="22"/>
          <w:lang w:val="hr-HR"/>
        </w:rPr>
        <w:t>Ž</w:t>
      </w:r>
      <w:r>
        <w:rPr>
          <w:rFonts w:ascii="Arial" w:hAnsi="Arial" w:cs="Arial"/>
          <w:sz w:val="22"/>
        </w:rPr>
        <w:t>C</w:t>
      </w:r>
      <w:r>
        <w:rPr>
          <w:rFonts w:ascii="Arial" w:hAnsi="Arial" w:cs="Arial"/>
          <w:sz w:val="22"/>
          <w:lang w:val="hr-HR"/>
        </w:rPr>
        <w:t xml:space="preserve"> 2244</w:t>
      </w:r>
      <w:r w:rsidR="00AA4C26">
        <w:rPr>
          <w:rFonts w:ascii="Arial" w:hAnsi="Arial" w:cs="Arial"/>
          <w:sz w:val="22"/>
          <w:lang w:val="hr-HR"/>
        </w:rPr>
        <w:t>,</w:t>
      </w:r>
    </w:p>
    <w:p w:rsidR="00012172" w:rsidRDefault="00012172" w:rsidP="00012172">
      <w:pPr>
        <w:pStyle w:val="Tekst"/>
        <w:numPr>
          <w:ilvl w:val="0"/>
          <w:numId w:val="21"/>
        </w:numPr>
        <w:ind w:left="709" w:hanging="283"/>
        <w:rPr>
          <w:rFonts w:ascii="Times New Roman" w:hAnsi="Times New Roman"/>
          <w:sz w:val="24"/>
          <w:szCs w:val="22"/>
          <w:lang w:val="hr-HR"/>
        </w:rPr>
      </w:pPr>
      <w:r>
        <w:rPr>
          <w:rFonts w:ascii="Times New Roman" w:hAnsi="Times New Roman"/>
          <w:sz w:val="24"/>
          <w:szCs w:val="22"/>
          <w:lang w:val="hr-HR"/>
        </w:rPr>
        <w:t>građevine za vodoopskrbu sa svim pripadajućim mrežama i uređajima</w:t>
      </w:r>
      <w:r w:rsidR="00AA4C26">
        <w:rPr>
          <w:rFonts w:ascii="Times New Roman" w:hAnsi="Times New Roman"/>
          <w:sz w:val="24"/>
          <w:szCs w:val="22"/>
          <w:lang w:val="hr-HR"/>
        </w:rPr>
        <w:t>,</w:t>
      </w:r>
    </w:p>
    <w:p w:rsidR="00012172" w:rsidRDefault="00012172" w:rsidP="00012172">
      <w:pPr>
        <w:pStyle w:val="Tekst"/>
        <w:numPr>
          <w:ilvl w:val="0"/>
          <w:numId w:val="21"/>
        </w:numPr>
        <w:ind w:left="709" w:hanging="283"/>
        <w:rPr>
          <w:rFonts w:ascii="Times New Roman" w:hAnsi="Times New Roman"/>
          <w:sz w:val="24"/>
          <w:szCs w:val="22"/>
          <w:lang w:val="hr-HR"/>
        </w:rPr>
      </w:pPr>
      <w:r>
        <w:rPr>
          <w:rFonts w:ascii="Times New Roman" w:hAnsi="Times New Roman"/>
          <w:sz w:val="24"/>
          <w:szCs w:val="22"/>
          <w:lang w:val="hr-HR"/>
        </w:rPr>
        <w:t>građevine za zbrinjavanje otpadnih voda sa svim pripadajućim mrežama i uređajima</w:t>
      </w:r>
      <w:r w:rsidR="00AA4C26">
        <w:rPr>
          <w:rFonts w:ascii="Times New Roman" w:hAnsi="Times New Roman"/>
          <w:sz w:val="24"/>
          <w:szCs w:val="22"/>
          <w:lang w:val="hr-HR"/>
        </w:rPr>
        <w:t>,</w:t>
      </w:r>
    </w:p>
    <w:p w:rsidR="00012172" w:rsidRDefault="00012172" w:rsidP="00012172">
      <w:pPr>
        <w:pStyle w:val="Tekst"/>
        <w:numPr>
          <w:ilvl w:val="0"/>
          <w:numId w:val="20"/>
        </w:numPr>
        <w:tabs>
          <w:tab w:val="left" w:pos="709"/>
        </w:tabs>
        <w:ind w:left="709"/>
        <w:rPr>
          <w:rFonts w:ascii="Times New Roman" w:hAnsi="Times New Roman"/>
          <w:sz w:val="24"/>
          <w:szCs w:val="22"/>
          <w:lang w:val="hr-HR"/>
        </w:rPr>
      </w:pPr>
      <w:r>
        <w:rPr>
          <w:rFonts w:ascii="Times New Roman" w:hAnsi="Times New Roman"/>
          <w:sz w:val="24"/>
          <w:szCs w:val="22"/>
        </w:rPr>
        <w:t>gra</w:t>
      </w:r>
      <w:r>
        <w:rPr>
          <w:rFonts w:ascii="Times New Roman" w:hAnsi="Times New Roman"/>
          <w:sz w:val="24"/>
          <w:szCs w:val="22"/>
          <w:lang w:val="hr-HR"/>
        </w:rPr>
        <w:t>đ</w:t>
      </w:r>
      <w:r>
        <w:rPr>
          <w:rFonts w:ascii="Times New Roman" w:hAnsi="Times New Roman"/>
          <w:sz w:val="24"/>
          <w:szCs w:val="22"/>
        </w:rPr>
        <w:t>evine</w:t>
      </w:r>
      <w:r>
        <w:rPr>
          <w:rFonts w:ascii="Times New Roman" w:hAnsi="Times New Roman"/>
          <w:sz w:val="24"/>
          <w:szCs w:val="22"/>
          <w:lang w:val="hr-HR"/>
        </w:rPr>
        <w:t xml:space="preserve"> </w:t>
      </w:r>
      <w:r>
        <w:rPr>
          <w:rFonts w:ascii="Times New Roman" w:hAnsi="Times New Roman"/>
          <w:sz w:val="24"/>
          <w:szCs w:val="22"/>
        </w:rPr>
        <w:t>i</w:t>
      </w:r>
      <w:r>
        <w:rPr>
          <w:rFonts w:ascii="Times New Roman" w:hAnsi="Times New Roman"/>
          <w:sz w:val="24"/>
          <w:szCs w:val="22"/>
          <w:lang w:val="hr-HR"/>
        </w:rPr>
        <w:t xml:space="preserve"> </w:t>
      </w:r>
      <w:r>
        <w:rPr>
          <w:rFonts w:ascii="Times New Roman" w:hAnsi="Times New Roman"/>
          <w:sz w:val="24"/>
          <w:szCs w:val="22"/>
        </w:rPr>
        <w:t>prostori</w:t>
      </w:r>
      <w:r>
        <w:rPr>
          <w:rFonts w:ascii="Times New Roman" w:hAnsi="Times New Roman"/>
          <w:sz w:val="24"/>
          <w:szCs w:val="22"/>
          <w:lang w:val="hr-HR"/>
        </w:rPr>
        <w:t xml:space="preserve">, </w:t>
      </w:r>
      <w:r>
        <w:rPr>
          <w:rFonts w:ascii="Times New Roman" w:hAnsi="Times New Roman"/>
          <w:sz w:val="24"/>
          <w:szCs w:val="22"/>
        </w:rPr>
        <w:t>koji</w:t>
      </w:r>
      <w:r>
        <w:rPr>
          <w:rFonts w:ascii="Times New Roman" w:hAnsi="Times New Roman"/>
          <w:sz w:val="24"/>
          <w:szCs w:val="22"/>
          <w:lang w:val="hr-HR"/>
        </w:rPr>
        <w:t xml:space="preserve"> </w:t>
      </w:r>
      <w:r>
        <w:rPr>
          <w:rFonts w:ascii="Times New Roman" w:hAnsi="Times New Roman"/>
          <w:sz w:val="24"/>
          <w:szCs w:val="22"/>
        </w:rPr>
        <w:t>su</w:t>
      </w:r>
      <w:r>
        <w:rPr>
          <w:rFonts w:ascii="Times New Roman" w:hAnsi="Times New Roman"/>
          <w:sz w:val="24"/>
          <w:szCs w:val="22"/>
          <w:lang w:val="hr-HR"/>
        </w:rPr>
        <w:t xml:space="preserve"> </w:t>
      </w:r>
      <w:r>
        <w:rPr>
          <w:rFonts w:ascii="Times New Roman" w:hAnsi="Times New Roman"/>
          <w:sz w:val="24"/>
          <w:szCs w:val="22"/>
        </w:rPr>
        <w:t>za</w:t>
      </w:r>
      <w:r>
        <w:rPr>
          <w:rFonts w:ascii="Times New Roman" w:hAnsi="Times New Roman"/>
          <w:sz w:val="24"/>
          <w:szCs w:val="22"/>
          <w:lang w:val="hr-HR"/>
        </w:rPr>
        <w:t>š</w:t>
      </w:r>
      <w:r>
        <w:rPr>
          <w:rFonts w:ascii="Times New Roman" w:hAnsi="Times New Roman"/>
          <w:sz w:val="24"/>
          <w:szCs w:val="22"/>
        </w:rPr>
        <w:t>ti</w:t>
      </w:r>
      <w:r>
        <w:rPr>
          <w:rFonts w:ascii="Times New Roman" w:hAnsi="Times New Roman"/>
          <w:sz w:val="24"/>
          <w:szCs w:val="22"/>
          <w:lang w:val="hr-HR"/>
        </w:rPr>
        <w:t>ć</w:t>
      </w:r>
      <w:r>
        <w:rPr>
          <w:rFonts w:ascii="Times New Roman" w:hAnsi="Times New Roman"/>
          <w:sz w:val="24"/>
          <w:szCs w:val="22"/>
        </w:rPr>
        <w:t>eni</w:t>
      </w:r>
      <w:r>
        <w:rPr>
          <w:rFonts w:ascii="Times New Roman" w:hAnsi="Times New Roman"/>
          <w:sz w:val="24"/>
          <w:szCs w:val="22"/>
          <w:lang w:val="hr-HR"/>
        </w:rPr>
        <w:t xml:space="preserve"> </w:t>
      </w:r>
      <w:r>
        <w:rPr>
          <w:rFonts w:ascii="Times New Roman" w:hAnsi="Times New Roman"/>
          <w:sz w:val="24"/>
          <w:szCs w:val="22"/>
        </w:rPr>
        <w:t>spomenici</w:t>
      </w:r>
      <w:r>
        <w:rPr>
          <w:rFonts w:ascii="Times New Roman" w:hAnsi="Times New Roman"/>
          <w:sz w:val="24"/>
          <w:szCs w:val="22"/>
          <w:lang w:val="hr-HR"/>
        </w:rPr>
        <w:t xml:space="preserve"> </w:t>
      </w:r>
      <w:r>
        <w:rPr>
          <w:rFonts w:ascii="Times New Roman" w:hAnsi="Times New Roman"/>
          <w:sz w:val="24"/>
          <w:szCs w:val="22"/>
        </w:rPr>
        <w:t>kulture</w:t>
      </w:r>
      <w:r>
        <w:rPr>
          <w:rFonts w:ascii="Times New Roman" w:hAnsi="Times New Roman"/>
          <w:sz w:val="24"/>
          <w:szCs w:val="22"/>
          <w:lang w:val="hr-HR"/>
        </w:rPr>
        <w:t xml:space="preserve"> </w:t>
      </w:r>
      <w:r>
        <w:rPr>
          <w:rFonts w:ascii="Times New Roman" w:hAnsi="Times New Roman"/>
          <w:sz w:val="24"/>
          <w:szCs w:val="22"/>
        </w:rPr>
        <w:t>ili</w:t>
      </w:r>
      <w:r>
        <w:rPr>
          <w:rFonts w:ascii="Times New Roman" w:hAnsi="Times New Roman"/>
          <w:sz w:val="24"/>
          <w:szCs w:val="22"/>
          <w:lang w:val="hr-HR"/>
        </w:rPr>
        <w:t xml:space="preserve"> </w:t>
      </w:r>
      <w:r>
        <w:rPr>
          <w:rFonts w:ascii="Times New Roman" w:hAnsi="Times New Roman"/>
          <w:sz w:val="24"/>
          <w:szCs w:val="22"/>
        </w:rPr>
        <w:t>spomenici</w:t>
      </w:r>
      <w:r>
        <w:rPr>
          <w:rFonts w:ascii="Times New Roman" w:hAnsi="Times New Roman"/>
          <w:sz w:val="24"/>
          <w:szCs w:val="22"/>
          <w:lang w:val="hr-HR"/>
        </w:rPr>
        <w:t xml:space="preserve"> </w:t>
      </w:r>
      <w:r>
        <w:rPr>
          <w:rFonts w:ascii="Times New Roman" w:hAnsi="Times New Roman"/>
          <w:sz w:val="24"/>
          <w:szCs w:val="22"/>
        </w:rPr>
        <w:t>prirode</w:t>
      </w:r>
      <w:r w:rsidR="00AA4C26" w:rsidRPr="00AA4C26">
        <w:rPr>
          <w:rFonts w:ascii="Times New Roman" w:hAnsi="Times New Roman"/>
          <w:sz w:val="24"/>
          <w:szCs w:val="22"/>
          <w:lang w:val="hr-HR"/>
        </w:rPr>
        <w:t>,</w:t>
      </w:r>
      <w:r>
        <w:rPr>
          <w:rFonts w:ascii="Times New Roman" w:hAnsi="Times New Roman"/>
          <w:sz w:val="24"/>
          <w:szCs w:val="22"/>
          <w:lang w:val="hr-HR"/>
        </w:rPr>
        <w:t xml:space="preserve"> </w:t>
      </w:r>
    </w:p>
    <w:p w:rsidR="00012172" w:rsidRDefault="00012172" w:rsidP="00012172">
      <w:pPr>
        <w:pStyle w:val="Tekst"/>
        <w:numPr>
          <w:ilvl w:val="0"/>
          <w:numId w:val="20"/>
        </w:numPr>
        <w:tabs>
          <w:tab w:val="left" w:pos="709"/>
        </w:tabs>
        <w:ind w:left="709"/>
        <w:rPr>
          <w:rFonts w:ascii="Times New Roman" w:hAnsi="Times New Roman"/>
          <w:sz w:val="24"/>
          <w:szCs w:val="22"/>
          <w:lang w:val="hr-HR"/>
        </w:rPr>
      </w:pPr>
      <w:r>
        <w:rPr>
          <w:rFonts w:ascii="Times New Roman" w:hAnsi="Times New Roman"/>
          <w:sz w:val="24"/>
          <w:szCs w:val="22"/>
        </w:rPr>
        <w:t>javni</w:t>
      </w:r>
      <w:r>
        <w:rPr>
          <w:rFonts w:ascii="Times New Roman" w:hAnsi="Times New Roman"/>
          <w:sz w:val="24"/>
          <w:szCs w:val="22"/>
          <w:lang w:val="hr-HR"/>
        </w:rPr>
        <w:t xml:space="preserve"> </w:t>
      </w:r>
      <w:r>
        <w:rPr>
          <w:rFonts w:ascii="Times New Roman" w:hAnsi="Times New Roman"/>
          <w:sz w:val="24"/>
          <w:szCs w:val="22"/>
        </w:rPr>
        <w:t>objekti</w:t>
      </w:r>
      <w:r>
        <w:rPr>
          <w:rFonts w:ascii="Times New Roman" w:hAnsi="Times New Roman"/>
          <w:sz w:val="24"/>
          <w:szCs w:val="22"/>
          <w:lang w:val="hr-HR"/>
        </w:rPr>
        <w:t xml:space="preserve"> (</w:t>
      </w:r>
      <w:r>
        <w:rPr>
          <w:rFonts w:ascii="Times New Roman" w:hAnsi="Times New Roman"/>
          <w:sz w:val="24"/>
          <w:szCs w:val="22"/>
        </w:rPr>
        <w:t>zgrada</w:t>
      </w:r>
      <w:r>
        <w:rPr>
          <w:rFonts w:ascii="Times New Roman" w:hAnsi="Times New Roman"/>
          <w:sz w:val="24"/>
          <w:szCs w:val="22"/>
          <w:lang w:val="hr-HR"/>
        </w:rPr>
        <w:t xml:space="preserve"> </w:t>
      </w:r>
      <w:r>
        <w:rPr>
          <w:rFonts w:ascii="Times New Roman" w:hAnsi="Times New Roman"/>
          <w:sz w:val="24"/>
          <w:szCs w:val="22"/>
        </w:rPr>
        <w:t>op</w:t>
      </w:r>
      <w:r>
        <w:rPr>
          <w:rFonts w:ascii="Times New Roman" w:hAnsi="Times New Roman"/>
          <w:sz w:val="24"/>
          <w:szCs w:val="22"/>
          <w:lang w:val="hr-HR"/>
        </w:rPr>
        <w:t>ć</w:t>
      </w:r>
      <w:r>
        <w:rPr>
          <w:rFonts w:ascii="Times New Roman" w:hAnsi="Times New Roman"/>
          <w:sz w:val="24"/>
          <w:szCs w:val="22"/>
        </w:rPr>
        <w:t>ine</w:t>
      </w:r>
      <w:r>
        <w:rPr>
          <w:rFonts w:ascii="Times New Roman" w:hAnsi="Times New Roman"/>
          <w:sz w:val="24"/>
          <w:szCs w:val="22"/>
          <w:lang w:val="hr-HR"/>
        </w:rPr>
        <w:t xml:space="preserve">, </w:t>
      </w:r>
      <w:r>
        <w:rPr>
          <w:rFonts w:ascii="Times New Roman" w:hAnsi="Times New Roman"/>
          <w:sz w:val="24"/>
          <w:szCs w:val="22"/>
        </w:rPr>
        <w:t>osnovne</w:t>
      </w:r>
      <w:r>
        <w:rPr>
          <w:rFonts w:ascii="Times New Roman" w:hAnsi="Times New Roman"/>
          <w:sz w:val="24"/>
          <w:szCs w:val="22"/>
          <w:lang w:val="hr-HR"/>
        </w:rPr>
        <w:t xml:space="preserve"> š</w:t>
      </w:r>
      <w:r>
        <w:rPr>
          <w:rFonts w:ascii="Times New Roman" w:hAnsi="Times New Roman"/>
          <w:sz w:val="24"/>
          <w:szCs w:val="22"/>
        </w:rPr>
        <w:t>kole</w:t>
      </w:r>
      <w:r>
        <w:rPr>
          <w:rFonts w:ascii="Times New Roman" w:hAnsi="Times New Roman"/>
          <w:sz w:val="24"/>
          <w:szCs w:val="22"/>
          <w:lang w:val="hr-HR"/>
        </w:rPr>
        <w:t>, vatrogasni domovi,</w:t>
      </w:r>
      <w:r w:rsidR="00DB57EA">
        <w:rPr>
          <w:rFonts w:ascii="Times New Roman" w:hAnsi="Times New Roman"/>
          <w:sz w:val="24"/>
          <w:szCs w:val="22"/>
          <w:lang w:val="hr-HR"/>
        </w:rPr>
        <w:t xml:space="preserve"> dječji vrtić, dom za starije i nemoćne, </w:t>
      </w:r>
      <w:r>
        <w:rPr>
          <w:rFonts w:ascii="Times New Roman" w:hAnsi="Times New Roman"/>
          <w:sz w:val="24"/>
          <w:szCs w:val="22"/>
          <w:lang w:val="hr-HR"/>
        </w:rPr>
        <w:t>pošte)</w:t>
      </w:r>
      <w:r w:rsidR="00AA4C26">
        <w:rPr>
          <w:rFonts w:ascii="Times New Roman" w:hAnsi="Times New Roman"/>
          <w:sz w:val="24"/>
          <w:szCs w:val="22"/>
          <w:lang w:val="hr-HR"/>
        </w:rPr>
        <w:t>,</w:t>
      </w:r>
    </w:p>
    <w:p w:rsidR="00B4503D" w:rsidRDefault="00B4503D" w:rsidP="00012172">
      <w:pPr>
        <w:pStyle w:val="Tekst"/>
        <w:numPr>
          <w:ilvl w:val="0"/>
          <w:numId w:val="20"/>
        </w:numPr>
        <w:tabs>
          <w:tab w:val="left" w:pos="709"/>
        </w:tabs>
        <w:ind w:left="709"/>
        <w:rPr>
          <w:rFonts w:ascii="Times New Roman" w:hAnsi="Times New Roman"/>
          <w:sz w:val="24"/>
          <w:szCs w:val="22"/>
          <w:lang w:val="hr-HR"/>
        </w:rPr>
      </w:pPr>
      <w:r>
        <w:rPr>
          <w:rFonts w:ascii="Times New Roman" w:hAnsi="Times New Roman"/>
          <w:sz w:val="24"/>
          <w:szCs w:val="22"/>
          <w:lang w:val="hr-HR"/>
        </w:rPr>
        <w:t>igralište za golf</w:t>
      </w:r>
    </w:p>
    <w:p w:rsidR="00B4503D" w:rsidRDefault="00B4503D" w:rsidP="00012172">
      <w:pPr>
        <w:pStyle w:val="Tekst"/>
        <w:numPr>
          <w:ilvl w:val="0"/>
          <w:numId w:val="20"/>
        </w:numPr>
        <w:tabs>
          <w:tab w:val="left" w:pos="709"/>
        </w:tabs>
        <w:ind w:left="709"/>
        <w:rPr>
          <w:rFonts w:ascii="Times New Roman" w:hAnsi="Times New Roman"/>
          <w:sz w:val="24"/>
          <w:szCs w:val="22"/>
          <w:lang w:val="hr-HR"/>
        </w:rPr>
      </w:pPr>
      <w:r>
        <w:rPr>
          <w:rFonts w:ascii="Times New Roman" w:hAnsi="Times New Roman"/>
          <w:sz w:val="24"/>
          <w:szCs w:val="22"/>
          <w:lang w:val="hr-HR"/>
        </w:rPr>
        <w:t>nova obilazna cesta u Gornjoj Rijeci</w:t>
      </w:r>
      <w:r w:rsidR="00AA4C26">
        <w:rPr>
          <w:rFonts w:ascii="Times New Roman" w:hAnsi="Times New Roman"/>
          <w:sz w:val="24"/>
          <w:szCs w:val="22"/>
          <w:lang w:val="hr-HR"/>
        </w:rPr>
        <w:t>.</w:t>
      </w:r>
    </w:p>
    <w:p w:rsidR="00012172" w:rsidRDefault="00012172">
      <w:pPr>
        <w:pStyle w:val="Tekst"/>
        <w:tabs>
          <w:tab w:val="left" w:pos="709"/>
        </w:tabs>
        <w:rPr>
          <w:rFonts w:ascii="Arial" w:hAnsi="Arial" w:cs="Arial"/>
          <w:sz w:val="22"/>
          <w:szCs w:val="22"/>
          <w:lang w:val="hr-HR"/>
        </w:rPr>
      </w:pPr>
    </w:p>
    <w:p w:rsidR="00012172" w:rsidRDefault="00012172">
      <w:pPr>
        <w:pStyle w:val="Naslov2"/>
        <w:rPr>
          <w:rFonts w:ascii="Times New Roman" w:hAnsi="Times New Roman" w:cs="Times New Roman"/>
        </w:rPr>
      </w:pPr>
      <w:bookmarkStart w:id="72" w:name="_Toc49756025"/>
      <w:bookmarkStart w:id="73" w:name="_Toc95140615"/>
      <w:r>
        <w:rPr>
          <w:rFonts w:ascii="Times New Roman" w:hAnsi="Times New Roman" w:cs="Times New Roman"/>
        </w:rPr>
        <w:t>2.2. Građevinska područja naselja</w:t>
      </w:r>
      <w:bookmarkEnd w:id="72"/>
      <w:bookmarkEnd w:id="73"/>
      <w:r>
        <w:rPr>
          <w:rFonts w:ascii="Times New Roman" w:hAnsi="Times New Roman" w:cs="Times New Roman"/>
        </w:rPr>
        <w:t xml:space="preserve"> </w:t>
      </w:r>
    </w:p>
    <w:p w:rsidR="00012172" w:rsidRDefault="00012172"/>
    <w:p w:rsidR="00012172" w:rsidRDefault="00BD04E2">
      <w:pPr>
        <w:pStyle w:val="clanak"/>
        <w:jc w:val="center"/>
        <w:rPr>
          <w:rFonts w:ascii="Times New Roman" w:hAnsi="Times New Roman"/>
          <w:snapToGrid w:val="0"/>
          <w:sz w:val="24"/>
          <w:szCs w:val="22"/>
          <w:lang w:val="hr-HR" w:eastAsia="en-US"/>
        </w:rPr>
      </w:pPr>
      <w:r>
        <w:rPr>
          <w:rFonts w:ascii="Times New Roman" w:hAnsi="Times New Roman"/>
          <w:snapToGrid w:val="0"/>
          <w:sz w:val="24"/>
          <w:szCs w:val="22"/>
          <w:lang w:val="hr-HR" w:eastAsia="en-US"/>
        </w:rPr>
        <w:t>Članak 16</w:t>
      </w:r>
      <w:r w:rsidR="00012172">
        <w:rPr>
          <w:rFonts w:ascii="Times New Roman" w:hAnsi="Times New Roman"/>
          <w:snapToGrid w:val="0"/>
          <w:sz w:val="24"/>
          <w:szCs w:val="22"/>
          <w:lang w:val="hr-HR" w:eastAsia="en-US"/>
        </w:rPr>
        <w:t>.</w:t>
      </w:r>
    </w:p>
    <w:p w:rsidR="00012172" w:rsidRDefault="00012172" w:rsidP="00012172">
      <w:pPr>
        <w:numPr>
          <w:ilvl w:val="0"/>
          <w:numId w:val="31"/>
        </w:numPr>
        <w:tabs>
          <w:tab w:val="clear" w:pos="840"/>
          <w:tab w:val="num" w:pos="480"/>
        </w:tabs>
        <w:ind w:left="480"/>
        <w:jc w:val="both"/>
        <w:rPr>
          <w:snapToGrid w:val="0"/>
          <w:lang w:eastAsia="en-US"/>
        </w:rPr>
      </w:pPr>
      <w:r>
        <w:rPr>
          <w:snapToGrid w:val="0"/>
          <w:lang w:eastAsia="en-US"/>
        </w:rPr>
        <w:t xml:space="preserve">Građevinsko područje naselja sastoji se od izgrađenog i neizgrađenog dijela. Razgraničenje izgrađenog dijela obavlja se rubom građevnih čestica. </w:t>
      </w:r>
    </w:p>
    <w:p w:rsidR="00012172" w:rsidRDefault="00012172">
      <w:pPr>
        <w:ind w:left="-360"/>
        <w:jc w:val="both"/>
        <w:rPr>
          <w:snapToGrid w:val="0"/>
          <w:lang w:eastAsia="en-US"/>
        </w:rPr>
      </w:pPr>
    </w:p>
    <w:p w:rsidR="00012172" w:rsidRDefault="00012172" w:rsidP="00012172">
      <w:pPr>
        <w:numPr>
          <w:ilvl w:val="0"/>
          <w:numId w:val="31"/>
        </w:numPr>
        <w:tabs>
          <w:tab w:val="clear" w:pos="840"/>
          <w:tab w:val="num" w:pos="480"/>
        </w:tabs>
        <w:ind w:left="480"/>
        <w:jc w:val="both"/>
      </w:pPr>
      <w:r>
        <w:t>Neizgrađeni dio građevinskog područja može se do privođenja namjeni koristiti kao poljoprivredno zemljište ili za sadržaje privremenog ili povremenog karaktera (temeljem posebnih odluka lokalne samouprave): montažni kiosci, sajmovi, razne prigodne manifestacije i sl.</w:t>
      </w:r>
    </w:p>
    <w:p w:rsidR="00012172" w:rsidRDefault="00012172">
      <w:pPr>
        <w:jc w:val="both"/>
        <w:rPr>
          <w:snapToGrid w:val="0"/>
          <w:szCs w:val="22"/>
          <w:lang w:eastAsia="en-US"/>
        </w:rPr>
      </w:pPr>
    </w:p>
    <w:p w:rsidR="00012172" w:rsidRDefault="00012172">
      <w:pPr>
        <w:pStyle w:val="clanak"/>
        <w:jc w:val="left"/>
        <w:rPr>
          <w:rFonts w:ascii="Arial" w:hAnsi="Arial" w:cs="Arial"/>
          <w:snapToGrid w:val="0"/>
          <w:sz w:val="22"/>
          <w:szCs w:val="22"/>
          <w:lang w:val="hr-HR" w:eastAsia="en-US"/>
        </w:rPr>
      </w:pPr>
    </w:p>
    <w:p w:rsidR="00012172" w:rsidRDefault="00012172">
      <w:pPr>
        <w:pStyle w:val="clanak"/>
        <w:jc w:val="left"/>
        <w:rPr>
          <w:rFonts w:ascii="Times New Roman" w:hAnsi="Times New Roman"/>
          <w:b/>
          <w:snapToGrid w:val="0"/>
          <w:sz w:val="24"/>
          <w:szCs w:val="22"/>
          <w:lang w:val="hr-HR" w:eastAsia="en-US"/>
        </w:rPr>
      </w:pPr>
      <w:r>
        <w:rPr>
          <w:rFonts w:ascii="Times New Roman" w:hAnsi="Times New Roman"/>
          <w:b/>
          <w:snapToGrid w:val="0"/>
          <w:sz w:val="24"/>
          <w:szCs w:val="22"/>
          <w:lang w:val="hr-HR" w:eastAsia="en-US"/>
        </w:rPr>
        <w:t>2.2.1. Građevne zone (pretežito stambene)</w:t>
      </w:r>
    </w:p>
    <w:p w:rsidR="00012172" w:rsidRDefault="00012172">
      <w:pPr>
        <w:pStyle w:val="clanak"/>
        <w:jc w:val="center"/>
        <w:rPr>
          <w:rFonts w:ascii="Arial" w:hAnsi="Arial" w:cs="Arial"/>
          <w:snapToGrid w:val="0"/>
          <w:sz w:val="22"/>
          <w:szCs w:val="22"/>
          <w:lang w:val="hr-HR" w:eastAsia="en-US"/>
        </w:rPr>
      </w:pPr>
    </w:p>
    <w:p w:rsidR="00012172" w:rsidRDefault="00BD04E2">
      <w:pPr>
        <w:pStyle w:val="clanak"/>
        <w:jc w:val="center"/>
        <w:rPr>
          <w:rFonts w:ascii="Times New Roman" w:hAnsi="Times New Roman"/>
          <w:snapToGrid w:val="0"/>
          <w:sz w:val="24"/>
          <w:szCs w:val="22"/>
          <w:lang w:val="hr-HR" w:eastAsia="en-US"/>
        </w:rPr>
      </w:pPr>
      <w:r>
        <w:rPr>
          <w:rFonts w:ascii="Times New Roman" w:hAnsi="Times New Roman"/>
          <w:snapToGrid w:val="0"/>
          <w:sz w:val="24"/>
          <w:szCs w:val="22"/>
          <w:lang w:val="hr-HR" w:eastAsia="en-US"/>
        </w:rPr>
        <w:t>Članak 17</w:t>
      </w:r>
      <w:r w:rsidR="00012172">
        <w:rPr>
          <w:rFonts w:ascii="Times New Roman" w:hAnsi="Times New Roman"/>
          <w:snapToGrid w:val="0"/>
          <w:sz w:val="24"/>
          <w:szCs w:val="22"/>
          <w:lang w:val="hr-HR" w:eastAsia="en-US"/>
        </w:rPr>
        <w:t>.</w:t>
      </w:r>
    </w:p>
    <w:p w:rsidR="00012172" w:rsidRDefault="00012172">
      <w:pPr>
        <w:numPr>
          <w:ilvl w:val="12"/>
          <w:numId w:val="0"/>
        </w:numPr>
        <w:jc w:val="both"/>
        <w:rPr>
          <w:szCs w:val="22"/>
        </w:rPr>
      </w:pPr>
      <w:r>
        <w:rPr>
          <w:szCs w:val="22"/>
        </w:rPr>
        <w:t>(1) U građevnim zonama (pretežito stambenim) predviđena je gradnja novih građevina, te obnova, rekonstrukcija i dogradnja postojećih građevina.</w:t>
      </w:r>
    </w:p>
    <w:p w:rsidR="00012172" w:rsidRDefault="00012172">
      <w:pPr>
        <w:numPr>
          <w:ilvl w:val="12"/>
          <w:numId w:val="0"/>
        </w:numPr>
        <w:ind w:firstLine="720"/>
        <w:rPr>
          <w:szCs w:val="22"/>
        </w:rPr>
      </w:pPr>
      <w:r>
        <w:rPr>
          <w:szCs w:val="22"/>
        </w:rPr>
        <w:t xml:space="preserve">U građevnim zonama (pretežito stambenim) sadržani su: </w:t>
      </w:r>
    </w:p>
    <w:p w:rsidR="00012172" w:rsidRDefault="00012172" w:rsidP="00012172">
      <w:pPr>
        <w:numPr>
          <w:ilvl w:val="0"/>
          <w:numId w:val="22"/>
        </w:numPr>
        <w:overflowPunct w:val="0"/>
        <w:autoSpaceDE w:val="0"/>
        <w:autoSpaceDN w:val="0"/>
        <w:adjustRightInd w:val="0"/>
        <w:ind w:left="1003"/>
        <w:textAlignment w:val="baseline"/>
        <w:rPr>
          <w:szCs w:val="22"/>
        </w:rPr>
      </w:pPr>
      <w:r>
        <w:rPr>
          <w:szCs w:val="22"/>
        </w:rPr>
        <w:t xml:space="preserve">prostori za stanovanje </w:t>
      </w:r>
    </w:p>
    <w:p w:rsidR="00012172" w:rsidRDefault="00012172" w:rsidP="00012172">
      <w:pPr>
        <w:numPr>
          <w:ilvl w:val="0"/>
          <w:numId w:val="22"/>
        </w:numPr>
        <w:overflowPunct w:val="0"/>
        <w:autoSpaceDE w:val="0"/>
        <w:autoSpaceDN w:val="0"/>
        <w:adjustRightInd w:val="0"/>
        <w:ind w:left="1003"/>
        <w:textAlignment w:val="baseline"/>
        <w:rPr>
          <w:szCs w:val="22"/>
        </w:rPr>
      </w:pPr>
      <w:r>
        <w:rPr>
          <w:szCs w:val="22"/>
        </w:rPr>
        <w:t xml:space="preserve">prostori za rad </w:t>
      </w:r>
    </w:p>
    <w:p w:rsidR="00012172" w:rsidRDefault="00012172" w:rsidP="00012172">
      <w:pPr>
        <w:numPr>
          <w:ilvl w:val="0"/>
          <w:numId w:val="22"/>
        </w:numPr>
        <w:overflowPunct w:val="0"/>
        <w:autoSpaceDE w:val="0"/>
        <w:autoSpaceDN w:val="0"/>
        <w:adjustRightInd w:val="0"/>
        <w:ind w:left="1003"/>
        <w:textAlignment w:val="baseline"/>
        <w:rPr>
          <w:szCs w:val="22"/>
        </w:rPr>
      </w:pPr>
      <w:r>
        <w:rPr>
          <w:szCs w:val="22"/>
        </w:rPr>
        <w:t xml:space="preserve">prostori  za javne i prateće sadržaje </w:t>
      </w:r>
    </w:p>
    <w:p w:rsidR="00012172" w:rsidRDefault="00012172" w:rsidP="00012172">
      <w:pPr>
        <w:numPr>
          <w:ilvl w:val="0"/>
          <w:numId w:val="22"/>
        </w:numPr>
        <w:overflowPunct w:val="0"/>
        <w:autoSpaceDE w:val="0"/>
        <w:autoSpaceDN w:val="0"/>
        <w:adjustRightInd w:val="0"/>
        <w:ind w:left="1003"/>
        <w:textAlignment w:val="baseline"/>
        <w:rPr>
          <w:szCs w:val="22"/>
        </w:rPr>
      </w:pPr>
      <w:r>
        <w:rPr>
          <w:szCs w:val="22"/>
        </w:rPr>
        <w:t xml:space="preserve">prostori za gradnju trgovačkih  i uslužnih sadržaja </w:t>
      </w:r>
    </w:p>
    <w:p w:rsidR="00012172" w:rsidRDefault="00012172" w:rsidP="00012172">
      <w:pPr>
        <w:numPr>
          <w:ilvl w:val="0"/>
          <w:numId w:val="22"/>
        </w:numPr>
        <w:overflowPunct w:val="0"/>
        <w:autoSpaceDE w:val="0"/>
        <w:autoSpaceDN w:val="0"/>
        <w:adjustRightInd w:val="0"/>
        <w:ind w:left="1003"/>
        <w:textAlignment w:val="baseline"/>
        <w:rPr>
          <w:szCs w:val="22"/>
        </w:rPr>
      </w:pPr>
      <w:r>
        <w:rPr>
          <w:szCs w:val="22"/>
        </w:rPr>
        <w:t xml:space="preserve">prostori za gradnju turističkih i ugostiteljskih sadržaja </w:t>
      </w:r>
    </w:p>
    <w:p w:rsidR="00012172" w:rsidRDefault="00012172" w:rsidP="00012172">
      <w:pPr>
        <w:numPr>
          <w:ilvl w:val="0"/>
          <w:numId w:val="22"/>
        </w:numPr>
        <w:overflowPunct w:val="0"/>
        <w:autoSpaceDE w:val="0"/>
        <w:autoSpaceDN w:val="0"/>
        <w:adjustRightInd w:val="0"/>
        <w:ind w:left="1003"/>
        <w:textAlignment w:val="baseline"/>
        <w:rPr>
          <w:szCs w:val="22"/>
        </w:rPr>
      </w:pPr>
      <w:r>
        <w:rPr>
          <w:szCs w:val="22"/>
        </w:rPr>
        <w:t xml:space="preserve">prostori za gradnju vjerskih građevina </w:t>
      </w:r>
    </w:p>
    <w:p w:rsidR="00012172" w:rsidRDefault="00012172" w:rsidP="00012172">
      <w:pPr>
        <w:numPr>
          <w:ilvl w:val="0"/>
          <w:numId w:val="22"/>
        </w:numPr>
        <w:overflowPunct w:val="0"/>
        <w:autoSpaceDE w:val="0"/>
        <w:autoSpaceDN w:val="0"/>
        <w:adjustRightInd w:val="0"/>
        <w:ind w:left="1003"/>
        <w:textAlignment w:val="baseline"/>
        <w:rPr>
          <w:szCs w:val="22"/>
          <w:lang w:val="de-DE"/>
        </w:rPr>
      </w:pPr>
      <w:r>
        <w:rPr>
          <w:szCs w:val="22"/>
          <w:lang w:val="de-DE"/>
        </w:rPr>
        <w:t xml:space="preserve">infrastrukturne i komunalne građevine i uređaji  </w:t>
      </w:r>
    </w:p>
    <w:p w:rsidR="00012172" w:rsidRDefault="00012172" w:rsidP="00012172">
      <w:pPr>
        <w:numPr>
          <w:ilvl w:val="0"/>
          <w:numId w:val="22"/>
        </w:numPr>
        <w:overflowPunct w:val="0"/>
        <w:autoSpaceDE w:val="0"/>
        <w:autoSpaceDN w:val="0"/>
        <w:adjustRightInd w:val="0"/>
        <w:ind w:left="1003"/>
        <w:textAlignment w:val="baseline"/>
        <w:rPr>
          <w:szCs w:val="22"/>
          <w:lang w:val="de-DE"/>
        </w:rPr>
      </w:pPr>
      <w:r>
        <w:rPr>
          <w:szCs w:val="22"/>
          <w:lang w:val="de-DE"/>
        </w:rPr>
        <w:t>manje zelene površine, športsko - rekreacijske površine i dječja igrališta.</w:t>
      </w:r>
    </w:p>
    <w:p w:rsidR="00012172" w:rsidRDefault="00012172">
      <w:pPr>
        <w:numPr>
          <w:ilvl w:val="12"/>
          <w:numId w:val="0"/>
        </w:numPr>
        <w:jc w:val="center"/>
        <w:rPr>
          <w:lang w:val="de-DE"/>
        </w:rPr>
      </w:pPr>
    </w:p>
    <w:p w:rsidR="00012172" w:rsidRDefault="00BD04E2">
      <w:pPr>
        <w:numPr>
          <w:ilvl w:val="12"/>
          <w:numId w:val="0"/>
        </w:numPr>
        <w:jc w:val="center"/>
        <w:rPr>
          <w:szCs w:val="22"/>
          <w:lang w:val="de-DE"/>
        </w:rPr>
      </w:pPr>
      <w:r>
        <w:rPr>
          <w:szCs w:val="22"/>
          <w:lang w:val="de-DE"/>
        </w:rPr>
        <w:t>Članak 18</w:t>
      </w:r>
      <w:r w:rsidR="00012172">
        <w:rPr>
          <w:szCs w:val="22"/>
          <w:lang w:val="de-DE"/>
        </w:rPr>
        <w:t>.</w:t>
      </w:r>
    </w:p>
    <w:p w:rsidR="00012172" w:rsidRDefault="00012172">
      <w:pPr>
        <w:numPr>
          <w:ilvl w:val="12"/>
          <w:numId w:val="0"/>
        </w:numPr>
        <w:jc w:val="both"/>
        <w:rPr>
          <w:szCs w:val="22"/>
          <w:lang w:val="de-DE"/>
        </w:rPr>
      </w:pPr>
      <w:r>
        <w:rPr>
          <w:szCs w:val="22"/>
          <w:lang w:val="de-DE"/>
        </w:rPr>
        <w:t xml:space="preserve">(1) Na jednoj građevinskoj parceli u građevnoj zoni (pretežito stambenoj)  može se graditi samo jedna stambena, poslovna ili stambeno - poslovna građevina individualne gradnje. </w:t>
      </w:r>
    </w:p>
    <w:p w:rsidR="00012172" w:rsidRDefault="00012172">
      <w:pPr>
        <w:numPr>
          <w:ilvl w:val="12"/>
          <w:numId w:val="0"/>
        </w:numPr>
        <w:jc w:val="both"/>
        <w:rPr>
          <w:szCs w:val="22"/>
          <w:lang w:val="de-DE"/>
        </w:rPr>
      </w:pPr>
    </w:p>
    <w:p w:rsidR="00012172" w:rsidRDefault="00012172">
      <w:pPr>
        <w:numPr>
          <w:ilvl w:val="12"/>
          <w:numId w:val="0"/>
        </w:numPr>
        <w:jc w:val="both"/>
        <w:rPr>
          <w:szCs w:val="22"/>
          <w:lang w:val="de-DE"/>
        </w:rPr>
      </w:pPr>
      <w:r>
        <w:rPr>
          <w:szCs w:val="22"/>
          <w:lang w:val="de-DE"/>
        </w:rPr>
        <w:t>(2) Uz osnovnu građevinu iz stavka 1. ovog članka, na istoj građevnoj parceli mogu se graditi i gospodarske, pomoćne i manje poslovne građevine, koje s osnovnom građevinom čine stambenu i gospodarsku cjelinu.</w:t>
      </w:r>
    </w:p>
    <w:p w:rsidR="00012172" w:rsidRDefault="00012172">
      <w:pPr>
        <w:numPr>
          <w:ilvl w:val="12"/>
          <w:numId w:val="0"/>
        </w:numPr>
        <w:jc w:val="both"/>
        <w:rPr>
          <w:szCs w:val="22"/>
          <w:lang w:val="de-DE"/>
        </w:rPr>
      </w:pPr>
    </w:p>
    <w:p w:rsidR="00012172" w:rsidRDefault="00012172">
      <w:pPr>
        <w:numPr>
          <w:ilvl w:val="12"/>
          <w:numId w:val="0"/>
        </w:numPr>
        <w:jc w:val="both"/>
        <w:rPr>
          <w:szCs w:val="22"/>
          <w:lang w:val="de-DE"/>
        </w:rPr>
      </w:pPr>
      <w:r>
        <w:rPr>
          <w:szCs w:val="22"/>
          <w:lang w:val="de-DE"/>
        </w:rPr>
        <w:t>(3) Za obavljanje poslovne djelatnosti mogu se koristiti i prostorije ili građevine koji ranije nisu bile namijenjene za tu djelatnost u cijelom ili dijelu stambenog, pomoćnog, gospodarskog ili stambenog prostora.</w:t>
      </w:r>
    </w:p>
    <w:p w:rsidR="00012172" w:rsidRDefault="00012172">
      <w:pPr>
        <w:numPr>
          <w:ilvl w:val="12"/>
          <w:numId w:val="0"/>
        </w:numPr>
        <w:jc w:val="both"/>
        <w:rPr>
          <w:rFonts w:ascii="Arial" w:hAnsi="Arial" w:cs="Arial"/>
          <w:sz w:val="22"/>
          <w:szCs w:val="22"/>
          <w:lang w:val="de-DE"/>
        </w:rPr>
      </w:pPr>
    </w:p>
    <w:p w:rsidR="00012172" w:rsidRDefault="00012172">
      <w:pPr>
        <w:numPr>
          <w:ilvl w:val="12"/>
          <w:numId w:val="0"/>
        </w:numPr>
        <w:jc w:val="both"/>
        <w:rPr>
          <w:szCs w:val="22"/>
          <w:lang w:val="de-DE"/>
        </w:rPr>
      </w:pPr>
      <w:r>
        <w:rPr>
          <w:szCs w:val="22"/>
          <w:lang w:val="de-DE"/>
        </w:rPr>
        <w:t>(4) Stambene, poslovne i stambeno-poslovne građevine se u pravilu postavljaju prema ulici, na način da se poštuje zadani građevinski pravac, a pomoćne, gospodarske i dvorišne poslovne građevine po dubini parcele iza tih građevina.</w:t>
      </w:r>
    </w:p>
    <w:p w:rsidR="00012172" w:rsidRDefault="00012172">
      <w:pPr>
        <w:numPr>
          <w:ilvl w:val="12"/>
          <w:numId w:val="0"/>
        </w:numPr>
        <w:jc w:val="both"/>
        <w:rPr>
          <w:szCs w:val="22"/>
          <w:lang w:val="de-DE"/>
        </w:rPr>
      </w:pPr>
    </w:p>
    <w:p w:rsidR="00012172" w:rsidRDefault="00012172">
      <w:pPr>
        <w:numPr>
          <w:ilvl w:val="12"/>
          <w:numId w:val="0"/>
        </w:numPr>
        <w:jc w:val="both"/>
        <w:rPr>
          <w:szCs w:val="22"/>
          <w:lang w:val="de-DE"/>
        </w:rPr>
      </w:pPr>
      <w:r>
        <w:rPr>
          <w:szCs w:val="22"/>
          <w:lang w:val="de-DE"/>
        </w:rPr>
        <w:t>(5) Iznimno se može dozvoliti i drugačiji smještaj građevina na parceli, ukoliko konfiguracija terena i oblik parcele, te tradicionalna organizacija parcele ne dozvoljavaju način gradnje određen u prethodnom stavku ovog članka.</w:t>
      </w:r>
    </w:p>
    <w:p w:rsidR="00012172" w:rsidRDefault="00012172">
      <w:pPr>
        <w:numPr>
          <w:ilvl w:val="12"/>
          <w:numId w:val="0"/>
        </w:numPr>
        <w:jc w:val="both"/>
        <w:rPr>
          <w:rFonts w:ascii="Arial" w:hAnsi="Arial" w:cs="Arial"/>
          <w:sz w:val="22"/>
          <w:szCs w:val="22"/>
          <w:lang w:val="de-DE"/>
        </w:rPr>
      </w:pPr>
    </w:p>
    <w:p w:rsidR="00012172" w:rsidRDefault="00BD04E2">
      <w:pPr>
        <w:numPr>
          <w:ilvl w:val="12"/>
          <w:numId w:val="0"/>
        </w:numPr>
        <w:jc w:val="center"/>
        <w:rPr>
          <w:szCs w:val="22"/>
          <w:lang w:val="de-DE"/>
        </w:rPr>
      </w:pPr>
      <w:r>
        <w:rPr>
          <w:szCs w:val="22"/>
          <w:lang w:val="de-DE"/>
        </w:rPr>
        <w:t>Članak 19</w:t>
      </w:r>
      <w:r w:rsidR="00012172">
        <w:rPr>
          <w:szCs w:val="22"/>
          <w:lang w:val="de-DE"/>
        </w:rPr>
        <w:t>.</w:t>
      </w:r>
    </w:p>
    <w:p w:rsidR="00012172" w:rsidRDefault="00012172">
      <w:pPr>
        <w:numPr>
          <w:ilvl w:val="12"/>
          <w:numId w:val="0"/>
        </w:numPr>
        <w:rPr>
          <w:szCs w:val="22"/>
          <w:lang w:val="de-DE"/>
        </w:rPr>
      </w:pPr>
      <w:r>
        <w:rPr>
          <w:szCs w:val="22"/>
          <w:lang w:val="de-DE"/>
        </w:rPr>
        <w:t xml:space="preserve">(1) Poslovnim građevinama smatraju se : </w:t>
      </w:r>
    </w:p>
    <w:p w:rsidR="00012172" w:rsidRDefault="00012172" w:rsidP="00012172">
      <w:pPr>
        <w:numPr>
          <w:ilvl w:val="0"/>
          <w:numId w:val="22"/>
        </w:numPr>
        <w:overflowPunct w:val="0"/>
        <w:autoSpaceDE w:val="0"/>
        <w:autoSpaceDN w:val="0"/>
        <w:adjustRightInd w:val="0"/>
        <w:ind w:left="1003"/>
        <w:jc w:val="both"/>
        <w:textAlignment w:val="baseline"/>
        <w:rPr>
          <w:szCs w:val="22"/>
          <w:lang w:val="de-DE"/>
        </w:rPr>
      </w:pPr>
      <w:r>
        <w:rPr>
          <w:szCs w:val="22"/>
          <w:lang w:val="de-DE"/>
        </w:rPr>
        <w:t>za tihe i čiste djelatnosti: različite kancelarije, uredi, biroi i druge slične djelatnosti, trgovački i ugostiteljski sadržaji bez glazbe na otvorenom, krojačke, frizerske, autoelektričarske, postolarske, fotografske i slične uslužne radnje i slično ;</w:t>
      </w:r>
    </w:p>
    <w:p w:rsidR="00012172" w:rsidRDefault="00012172" w:rsidP="00012172">
      <w:pPr>
        <w:numPr>
          <w:ilvl w:val="0"/>
          <w:numId w:val="22"/>
        </w:numPr>
        <w:overflowPunct w:val="0"/>
        <w:autoSpaceDE w:val="0"/>
        <w:autoSpaceDN w:val="0"/>
        <w:adjustRightInd w:val="0"/>
        <w:ind w:left="1003"/>
        <w:jc w:val="both"/>
        <w:textAlignment w:val="baseline"/>
        <w:rPr>
          <w:szCs w:val="22"/>
          <w:lang w:val="de-DE"/>
        </w:rPr>
      </w:pPr>
      <w:r>
        <w:rPr>
          <w:szCs w:val="22"/>
          <w:lang w:val="de-DE"/>
        </w:rPr>
        <w:t>za bučne i potencijalno opasne djelatnosti: autolimarske,  automehaničarske i proizvodne radionice, limarije, lakirnice, bravarije, kovačnice, stolarije, pilane, klesarske radionice, disco-klubovi i slično.</w:t>
      </w:r>
    </w:p>
    <w:p w:rsidR="00012172" w:rsidRDefault="00012172">
      <w:pPr>
        <w:numPr>
          <w:ilvl w:val="12"/>
          <w:numId w:val="0"/>
        </w:numPr>
        <w:ind w:firstLine="720"/>
        <w:jc w:val="both"/>
        <w:rPr>
          <w:szCs w:val="22"/>
          <w:lang w:val="de-DE"/>
        </w:rPr>
      </w:pPr>
    </w:p>
    <w:p w:rsidR="00012172" w:rsidRDefault="00012172">
      <w:pPr>
        <w:numPr>
          <w:ilvl w:val="12"/>
          <w:numId w:val="0"/>
        </w:numPr>
        <w:jc w:val="both"/>
        <w:rPr>
          <w:szCs w:val="22"/>
          <w:lang w:val="de-DE"/>
        </w:rPr>
      </w:pPr>
      <w:r>
        <w:rPr>
          <w:szCs w:val="22"/>
          <w:lang w:val="de-DE"/>
        </w:rPr>
        <w:t>(2) Tihe i čiste djelatnosti mogu se obavljati i u sklopu stambene građevine, ukoliko za to postoje tehnički uvjeti.</w:t>
      </w:r>
    </w:p>
    <w:p w:rsidR="00012172" w:rsidRDefault="00012172">
      <w:pPr>
        <w:numPr>
          <w:ilvl w:val="12"/>
          <w:numId w:val="0"/>
        </w:numPr>
        <w:jc w:val="both"/>
        <w:rPr>
          <w:szCs w:val="22"/>
          <w:lang w:val="de-DE"/>
        </w:rPr>
      </w:pPr>
      <w:r>
        <w:rPr>
          <w:szCs w:val="22"/>
          <w:lang w:val="de-DE"/>
        </w:rPr>
        <w:t xml:space="preserve">(3) Bučne i potencijalno opasne djelatnosti u pravilu se lociraju na propisanoj udaljenosti od stambenih zgrada, i to najmanje </w:t>
      </w:r>
      <w:smartTag w:uri="urn:schemas-microsoft-com:office:smarttags" w:element="metricconverter">
        <w:smartTagPr>
          <w:attr w:name="ProductID" w:val="20,0 m"/>
        </w:smartTagPr>
        <w:r>
          <w:rPr>
            <w:szCs w:val="22"/>
            <w:lang w:val="de-DE"/>
          </w:rPr>
          <w:t>20,0 m</w:t>
        </w:r>
      </w:smartTag>
      <w:r>
        <w:rPr>
          <w:szCs w:val="22"/>
          <w:lang w:val="de-DE"/>
        </w:rPr>
        <w:t xml:space="preserve"> od susjednih stambenih zgrada, odnosno najmanje </w:t>
      </w:r>
      <w:smartTag w:uri="urn:schemas-microsoft-com:office:smarttags" w:element="metricconverter">
        <w:smartTagPr>
          <w:attr w:name="ProductID" w:val="10,0 m"/>
        </w:smartTagPr>
        <w:r>
          <w:rPr>
            <w:szCs w:val="22"/>
            <w:lang w:val="de-DE"/>
          </w:rPr>
          <w:t>10,0 m</w:t>
        </w:r>
      </w:smartTag>
      <w:r>
        <w:rPr>
          <w:szCs w:val="22"/>
          <w:lang w:val="de-DE"/>
        </w:rPr>
        <w:t xml:space="preserve"> od stana vlasnika, a izuzetno i manjoj udaljenosti, ukoliko se to dokaže posebnim elaboratom. </w:t>
      </w:r>
    </w:p>
    <w:p w:rsidR="00BB0950" w:rsidRDefault="00BB0950">
      <w:pPr>
        <w:numPr>
          <w:ilvl w:val="12"/>
          <w:numId w:val="0"/>
        </w:numPr>
        <w:jc w:val="both"/>
        <w:rPr>
          <w:szCs w:val="22"/>
          <w:lang w:val="de-DE"/>
        </w:rPr>
      </w:pPr>
    </w:p>
    <w:p w:rsidR="00012172" w:rsidRDefault="00012172">
      <w:pPr>
        <w:numPr>
          <w:ilvl w:val="12"/>
          <w:numId w:val="0"/>
        </w:numPr>
        <w:jc w:val="center"/>
        <w:rPr>
          <w:szCs w:val="22"/>
          <w:lang w:val="de-DE"/>
        </w:rPr>
      </w:pPr>
      <w:r>
        <w:rPr>
          <w:szCs w:val="22"/>
          <w:lang w:val="de-DE"/>
        </w:rPr>
        <w:t>Članak 2</w:t>
      </w:r>
      <w:r w:rsidR="00BD04E2">
        <w:rPr>
          <w:szCs w:val="22"/>
          <w:lang w:val="de-DE"/>
        </w:rPr>
        <w:t>0</w:t>
      </w:r>
      <w:r>
        <w:rPr>
          <w:szCs w:val="22"/>
          <w:lang w:val="de-DE"/>
        </w:rPr>
        <w:t>.</w:t>
      </w:r>
    </w:p>
    <w:p w:rsidR="00012172" w:rsidRDefault="00012172">
      <w:pPr>
        <w:numPr>
          <w:ilvl w:val="12"/>
          <w:numId w:val="0"/>
        </w:numPr>
        <w:rPr>
          <w:szCs w:val="22"/>
          <w:lang w:val="de-DE"/>
        </w:rPr>
      </w:pPr>
      <w:r>
        <w:rPr>
          <w:szCs w:val="22"/>
          <w:lang w:val="de-DE"/>
        </w:rPr>
        <w:t>(1) Gospodarskim građevinama smatraju se :</w:t>
      </w:r>
    </w:p>
    <w:p w:rsidR="00012172" w:rsidRDefault="00012172" w:rsidP="00012172">
      <w:pPr>
        <w:numPr>
          <w:ilvl w:val="0"/>
          <w:numId w:val="22"/>
        </w:numPr>
        <w:overflowPunct w:val="0"/>
        <w:autoSpaceDE w:val="0"/>
        <w:autoSpaceDN w:val="0"/>
        <w:adjustRightInd w:val="0"/>
        <w:ind w:left="1003"/>
        <w:textAlignment w:val="baseline"/>
        <w:rPr>
          <w:szCs w:val="22"/>
          <w:lang w:val="de-DE"/>
        </w:rPr>
      </w:pPr>
      <w:r>
        <w:rPr>
          <w:szCs w:val="22"/>
          <w:lang w:val="de-DE"/>
        </w:rPr>
        <w:t>bez izvora zagađenja:  šupe, plastenici, kolnice, sjenici, ljetne kuhinje, spremišta poljoprivrednih strojeva i  proizvoda i sl.</w:t>
      </w:r>
    </w:p>
    <w:p w:rsidR="00012172" w:rsidRDefault="00012172" w:rsidP="00012172">
      <w:pPr>
        <w:numPr>
          <w:ilvl w:val="0"/>
          <w:numId w:val="22"/>
        </w:numPr>
        <w:overflowPunct w:val="0"/>
        <w:autoSpaceDE w:val="0"/>
        <w:autoSpaceDN w:val="0"/>
        <w:adjustRightInd w:val="0"/>
        <w:ind w:left="1003"/>
        <w:textAlignment w:val="baseline"/>
        <w:rPr>
          <w:szCs w:val="22"/>
          <w:lang w:val="de-DE"/>
        </w:rPr>
      </w:pPr>
      <w:r>
        <w:rPr>
          <w:szCs w:val="22"/>
          <w:lang w:val="de-DE"/>
        </w:rPr>
        <w:t>s potencijalnim izvorima zagađenja:  farme, tovilišta, staje, svinjci, peradarnici, kuničnjaci, sušare (za poljoprivredne proizvode) i slično.</w:t>
      </w:r>
    </w:p>
    <w:p w:rsidR="00012172" w:rsidRDefault="00012172">
      <w:pPr>
        <w:numPr>
          <w:ilvl w:val="12"/>
          <w:numId w:val="0"/>
        </w:numPr>
        <w:rPr>
          <w:lang w:val="de-DE"/>
        </w:rPr>
      </w:pPr>
    </w:p>
    <w:p w:rsidR="00012172" w:rsidRDefault="00BD04E2">
      <w:pPr>
        <w:numPr>
          <w:ilvl w:val="12"/>
          <w:numId w:val="0"/>
        </w:numPr>
        <w:jc w:val="center"/>
        <w:rPr>
          <w:szCs w:val="22"/>
          <w:lang w:val="de-DE"/>
        </w:rPr>
      </w:pPr>
      <w:r>
        <w:rPr>
          <w:szCs w:val="22"/>
          <w:lang w:val="de-DE"/>
        </w:rPr>
        <w:t>Članak 21</w:t>
      </w:r>
      <w:r w:rsidR="00012172">
        <w:rPr>
          <w:szCs w:val="22"/>
          <w:lang w:val="de-DE"/>
        </w:rPr>
        <w:t>.</w:t>
      </w:r>
    </w:p>
    <w:p w:rsidR="00012172" w:rsidRDefault="00012172">
      <w:pPr>
        <w:numPr>
          <w:ilvl w:val="0"/>
          <w:numId w:val="39"/>
        </w:numPr>
        <w:jc w:val="both"/>
        <w:rPr>
          <w:szCs w:val="22"/>
          <w:lang w:val="de-DE"/>
        </w:rPr>
      </w:pPr>
      <w:r>
        <w:rPr>
          <w:szCs w:val="22"/>
          <w:lang w:val="de-DE"/>
        </w:rPr>
        <w:t>U sklopu građevinskih područja naselja mogu se graditi gospodarske građevine s izvorima zagađenja, kapaciteta do 50 uvjetnih grla.</w:t>
      </w:r>
    </w:p>
    <w:p w:rsidR="00012172" w:rsidRDefault="00012172">
      <w:pPr>
        <w:numPr>
          <w:ilvl w:val="12"/>
          <w:numId w:val="0"/>
        </w:numPr>
        <w:jc w:val="both"/>
        <w:rPr>
          <w:rFonts w:ascii="Arial" w:hAnsi="Arial" w:cs="Arial"/>
          <w:sz w:val="22"/>
          <w:szCs w:val="22"/>
          <w:lang w:val="de-DE"/>
        </w:rPr>
      </w:pPr>
    </w:p>
    <w:p w:rsidR="00012172" w:rsidRDefault="00BD04E2">
      <w:pPr>
        <w:numPr>
          <w:ilvl w:val="12"/>
          <w:numId w:val="0"/>
        </w:numPr>
        <w:jc w:val="center"/>
        <w:rPr>
          <w:szCs w:val="22"/>
          <w:lang w:val="de-DE"/>
        </w:rPr>
      </w:pPr>
      <w:r>
        <w:rPr>
          <w:szCs w:val="22"/>
          <w:lang w:val="de-DE"/>
        </w:rPr>
        <w:t>Članak 22</w:t>
      </w:r>
      <w:r w:rsidR="00012172">
        <w:rPr>
          <w:szCs w:val="22"/>
          <w:lang w:val="de-DE"/>
        </w:rPr>
        <w:t>.</w:t>
      </w:r>
    </w:p>
    <w:p w:rsidR="00012172" w:rsidRDefault="00012172">
      <w:pPr>
        <w:numPr>
          <w:ilvl w:val="12"/>
          <w:numId w:val="0"/>
        </w:numPr>
        <w:rPr>
          <w:szCs w:val="22"/>
          <w:lang w:val="de-DE"/>
        </w:rPr>
      </w:pPr>
      <w:r>
        <w:rPr>
          <w:szCs w:val="22"/>
          <w:lang w:val="de-DE"/>
        </w:rPr>
        <w:t>(1) Pomoćnim građevinama smatraju se garaže, drvarnice, spremišta, nadstrešnice i sl.</w:t>
      </w:r>
    </w:p>
    <w:p w:rsidR="00012172" w:rsidRDefault="00012172">
      <w:pPr>
        <w:pStyle w:val="StandardWeb"/>
        <w:numPr>
          <w:ilvl w:val="12"/>
          <w:numId w:val="0"/>
        </w:numPr>
        <w:spacing w:before="0" w:beforeAutospacing="0" w:after="0" w:afterAutospacing="0"/>
        <w:rPr>
          <w:lang w:val="de-DE"/>
        </w:rPr>
      </w:pPr>
    </w:p>
    <w:p w:rsidR="00012172" w:rsidRDefault="00BD04E2">
      <w:pPr>
        <w:numPr>
          <w:ilvl w:val="12"/>
          <w:numId w:val="0"/>
        </w:numPr>
        <w:jc w:val="center"/>
        <w:rPr>
          <w:szCs w:val="22"/>
          <w:lang w:val="de-DE"/>
        </w:rPr>
      </w:pPr>
      <w:r>
        <w:rPr>
          <w:szCs w:val="22"/>
          <w:lang w:val="de-DE"/>
        </w:rPr>
        <w:t>Članak 23</w:t>
      </w:r>
      <w:r w:rsidR="00012172">
        <w:rPr>
          <w:szCs w:val="22"/>
          <w:lang w:val="de-DE"/>
        </w:rPr>
        <w:t>.</w:t>
      </w:r>
    </w:p>
    <w:p w:rsidR="00012172" w:rsidRDefault="00012172">
      <w:pPr>
        <w:numPr>
          <w:ilvl w:val="12"/>
          <w:numId w:val="0"/>
        </w:numPr>
        <w:jc w:val="both"/>
        <w:rPr>
          <w:szCs w:val="22"/>
          <w:lang w:val="de-DE"/>
        </w:rPr>
      </w:pPr>
      <w:r>
        <w:rPr>
          <w:szCs w:val="22"/>
          <w:lang w:val="de-DE"/>
        </w:rPr>
        <w:t>(1) U sklopu zone pretežito stambene gradnje predviđeno je uređenje parkovnih i zaštitnih zelenih površina u svrhu uređenja i zaštite okoliša.</w:t>
      </w:r>
    </w:p>
    <w:p w:rsidR="00012172" w:rsidRDefault="00012172">
      <w:pPr>
        <w:numPr>
          <w:ilvl w:val="12"/>
          <w:numId w:val="0"/>
        </w:numPr>
        <w:ind w:firstLine="720"/>
        <w:rPr>
          <w:szCs w:val="22"/>
          <w:lang w:val="de-DE"/>
        </w:rPr>
      </w:pPr>
      <w:r>
        <w:rPr>
          <w:szCs w:val="22"/>
          <w:lang w:val="de-DE"/>
        </w:rPr>
        <w:t>U sklopu površina iz stava 1. ovoga članka omogućeno je uređenje i gradnja :</w:t>
      </w:r>
    </w:p>
    <w:p w:rsidR="00012172" w:rsidRDefault="00012172" w:rsidP="00012172">
      <w:pPr>
        <w:numPr>
          <w:ilvl w:val="0"/>
          <w:numId w:val="22"/>
        </w:numPr>
        <w:overflowPunct w:val="0"/>
        <w:autoSpaceDE w:val="0"/>
        <w:autoSpaceDN w:val="0"/>
        <w:adjustRightInd w:val="0"/>
        <w:ind w:left="1003"/>
        <w:textAlignment w:val="baseline"/>
        <w:rPr>
          <w:szCs w:val="22"/>
        </w:rPr>
      </w:pPr>
      <w:r>
        <w:rPr>
          <w:szCs w:val="22"/>
        </w:rPr>
        <w:t>kolnih i pješačkih puteva ;</w:t>
      </w:r>
    </w:p>
    <w:p w:rsidR="00012172" w:rsidRDefault="00012172" w:rsidP="00012172">
      <w:pPr>
        <w:numPr>
          <w:ilvl w:val="0"/>
          <w:numId w:val="22"/>
        </w:numPr>
        <w:overflowPunct w:val="0"/>
        <w:autoSpaceDE w:val="0"/>
        <w:autoSpaceDN w:val="0"/>
        <w:adjustRightInd w:val="0"/>
        <w:ind w:left="1003"/>
        <w:textAlignment w:val="baseline"/>
        <w:rPr>
          <w:szCs w:val="22"/>
        </w:rPr>
      </w:pPr>
      <w:r>
        <w:rPr>
          <w:szCs w:val="22"/>
        </w:rPr>
        <w:t>biciklističkih staza ;</w:t>
      </w:r>
    </w:p>
    <w:p w:rsidR="00012172" w:rsidRDefault="00012172" w:rsidP="00012172">
      <w:pPr>
        <w:numPr>
          <w:ilvl w:val="0"/>
          <w:numId w:val="22"/>
        </w:numPr>
        <w:overflowPunct w:val="0"/>
        <w:autoSpaceDE w:val="0"/>
        <w:autoSpaceDN w:val="0"/>
        <w:adjustRightInd w:val="0"/>
        <w:ind w:left="1003"/>
        <w:textAlignment w:val="baseline"/>
        <w:rPr>
          <w:szCs w:val="22"/>
        </w:rPr>
      </w:pPr>
      <w:r>
        <w:rPr>
          <w:szCs w:val="22"/>
        </w:rPr>
        <w:t>športsko - rekreacijskih površina i igrališta ;</w:t>
      </w:r>
    </w:p>
    <w:p w:rsidR="00012172" w:rsidRDefault="00012172" w:rsidP="00012172">
      <w:pPr>
        <w:numPr>
          <w:ilvl w:val="0"/>
          <w:numId w:val="22"/>
        </w:numPr>
        <w:overflowPunct w:val="0"/>
        <w:autoSpaceDE w:val="0"/>
        <w:autoSpaceDN w:val="0"/>
        <w:adjustRightInd w:val="0"/>
        <w:ind w:left="1003"/>
        <w:textAlignment w:val="baseline"/>
        <w:rPr>
          <w:szCs w:val="22"/>
          <w:lang w:val="de-DE"/>
        </w:rPr>
      </w:pPr>
      <w:r>
        <w:rPr>
          <w:szCs w:val="22"/>
          <w:lang w:val="de-DE"/>
        </w:rPr>
        <w:t>manjih građevina prateće  namjene.</w:t>
      </w:r>
    </w:p>
    <w:p w:rsidR="00012172" w:rsidRDefault="00012172">
      <w:pPr>
        <w:numPr>
          <w:ilvl w:val="12"/>
          <w:numId w:val="0"/>
        </w:numPr>
        <w:ind w:firstLine="720"/>
        <w:rPr>
          <w:rFonts w:ascii="Arial" w:hAnsi="Arial" w:cs="Arial"/>
          <w:sz w:val="22"/>
          <w:szCs w:val="22"/>
          <w:lang w:val="de-DE"/>
        </w:rPr>
      </w:pPr>
    </w:p>
    <w:p w:rsidR="00012172" w:rsidRDefault="00012172">
      <w:pPr>
        <w:numPr>
          <w:ilvl w:val="12"/>
          <w:numId w:val="0"/>
        </w:numPr>
        <w:jc w:val="both"/>
        <w:rPr>
          <w:szCs w:val="22"/>
          <w:lang w:val="de-DE"/>
        </w:rPr>
      </w:pPr>
      <w:r>
        <w:rPr>
          <w:szCs w:val="22"/>
          <w:lang w:val="de-DE"/>
        </w:rPr>
        <w:t>(2) Površina građevina iz alineje 4. prethodnog stava ovog članka ne smije prelaziti 10 % zelene površine, te da su oblikovanjem, a naročito visinom, u skladu s uređenjem prostora u kome se grade.</w:t>
      </w:r>
    </w:p>
    <w:p w:rsidR="00012172" w:rsidRDefault="00012172">
      <w:pPr>
        <w:numPr>
          <w:ilvl w:val="12"/>
          <w:numId w:val="0"/>
        </w:numPr>
        <w:jc w:val="both"/>
        <w:rPr>
          <w:szCs w:val="22"/>
          <w:lang w:val="de-DE"/>
        </w:rPr>
      </w:pPr>
    </w:p>
    <w:p w:rsidR="00012172" w:rsidRDefault="00012172">
      <w:pPr>
        <w:numPr>
          <w:ilvl w:val="12"/>
          <w:numId w:val="0"/>
        </w:numPr>
        <w:jc w:val="both"/>
        <w:rPr>
          <w:szCs w:val="22"/>
          <w:lang w:val="de-DE"/>
        </w:rPr>
      </w:pPr>
      <w:r>
        <w:rPr>
          <w:szCs w:val="22"/>
          <w:lang w:val="de-DE"/>
        </w:rPr>
        <w:t>(3) Iznimno od prethodnog stava ovog članka u zoni pejsažnog i zaštitnog zelenila mogu se zadržati i rekonstruirati zaštićene stare stambene i gospodarske građevine u svojoj izvornoj funkciji.</w:t>
      </w:r>
    </w:p>
    <w:p w:rsidR="00012172" w:rsidRDefault="00012172">
      <w:pPr>
        <w:jc w:val="center"/>
      </w:pPr>
    </w:p>
    <w:p w:rsidR="00012172" w:rsidRDefault="00012172">
      <w:pPr>
        <w:jc w:val="center"/>
      </w:pPr>
    </w:p>
    <w:p w:rsidR="00012172" w:rsidRDefault="00012172">
      <w:pPr>
        <w:pStyle w:val="clanak"/>
        <w:jc w:val="left"/>
        <w:rPr>
          <w:rFonts w:ascii="Times New Roman" w:hAnsi="Times New Roman"/>
          <w:b/>
          <w:snapToGrid w:val="0"/>
          <w:sz w:val="24"/>
          <w:szCs w:val="22"/>
          <w:lang w:val="hr-HR" w:eastAsia="en-US"/>
        </w:rPr>
      </w:pPr>
      <w:r>
        <w:rPr>
          <w:rFonts w:ascii="Times New Roman" w:hAnsi="Times New Roman"/>
          <w:b/>
          <w:snapToGrid w:val="0"/>
          <w:sz w:val="24"/>
          <w:szCs w:val="22"/>
          <w:lang w:val="hr-HR" w:eastAsia="en-US"/>
        </w:rPr>
        <w:t>2.2.1.1.  Uvjeti za gradnju i uređenje prostora u građevnim zonama (pretežito stambenim)</w:t>
      </w:r>
    </w:p>
    <w:p w:rsidR="00012172" w:rsidRDefault="00012172">
      <w:pPr>
        <w:pStyle w:val="clanak"/>
        <w:jc w:val="left"/>
        <w:rPr>
          <w:rFonts w:ascii="Arial" w:hAnsi="Arial" w:cs="Arial"/>
          <w:snapToGrid w:val="0"/>
          <w:sz w:val="22"/>
          <w:szCs w:val="22"/>
          <w:lang w:val="hr-HR" w:eastAsia="en-US"/>
        </w:rPr>
      </w:pPr>
    </w:p>
    <w:p w:rsidR="00012172" w:rsidRDefault="00012172">
      <w:pPr>
        <w:pStyle w:val="clanak"/>
        <w:jc w:val="left"/>
        <w:rPr>
          <w:rFonts w:ascii="Times New Roman" w:hAnsi="Times New Roman"/>
          <w:b/>
          <w:snapToGrid w:val="0"/>
          <w:sz w:val="24"/>
          <w:szCs w:val="22"/>
          <w:lang w:val="hr-HR" w:eastAsia="en-US"/>
        </w:rPr>
      </w:pPr>
      <w:r>
        <w:rPr>
          <w:rFonts w:ascii="Times New Roman" w:hAnsi="Times New Roman"/>
          <w:b/>
          <w:snapToGrid w:val="0"/>
          <w:sz w:val="24"/>
          <w:szCs w:val="22"/>
          <w:lang w:val="hr-HR" w:eastAsia="en-US"/>
        </w:rPr>
        <w:t>Građevinske parcele</w:t>
      </w:r>
    </w:p>
    <w:p w:rsidR="00012172" w:rsidRDefault="00BD04E2">
      <w:pPr>
        <w:pStyle w:val="clanak"/>
        <w:jc w:val="center"/>
        <w:rPr>
          <w:rFonts w:ascii="Times New Roman" w:hAnsi="Times New Roman"/>
          <w:snapToGrid w:val="0"/>
          <w:sz w:val="24"/>
          <w:szCs w:val="22"/>
          <w:lang w:val="hr-HR" w:eastAsia="en-US"/>
        </w:rPr>
      </w:pPr>
      <w:r>
        <w:rPr>
          <w:rFonts w:ascii="Times New Roman" w:hAnsi="Times New Roman"/>
          <w:snapToGrid w:val="0"/>
          <w:sz w:val="24"/>
          <w:szCs w:val="22"/>
          <w:lang w:val="hr-HR" w:eastAsia="en-US"/>
        </w:rPr>
        <w:t>Članak 24</w:t>
      </w:r>
      <w:r w:rsidR="00012172">
        <w:rPr>
          <w:rFonts w:ascii="Times New Roman" w:hAnsi="Times New Roman"/>
          <w:snapToGrid w:val="0"/>
          <w:sz w:val="24"/>
          <w:szCs w:val="22"/>
          <w:lang w:val="hr-HR" w:eastAsia="en-US"/>
        </w:rPr>
        <w:t>.</w:t>
      </w:r>
    </w:p>
    <w:p w:rsidR="00012172" w:rsidRDefault="00012172">
      <w:pPr>
        <w:numPr>
          <w:ilvl w:val="12"/>
          <w:numId w:val="0"/>
        </w:numPr>
        <w:jc w:val="both"/>
        <w:rPr>
          <w:szCs w:val="22"/>
        </w:rPr>
      </w:pPr>
      <w:r>
        <w:rPr>
          <w:szCs w:val="22"/>
        </w:rPr>
        <w:t>(1) Građevinska parcela mora imati neposredan pristup na javnu prometnu površinu minimalne širine određene člankom 26. ovih odredbi, mjereno u punoj širini na regulacionoj liniji, te slobodan kolni pristup do stražnjeg dijela parcele.</w:t>
      </w:r>
    </w:p>
    <w:p w:rsidR="00012172" w:rsidRDefault="00012172">
      <w:pPr>
        <w:numPr>
          <w:ilvl w:val="12"/>
          <w:numId w:val="0"/>
        </w:numPr>
        <w:jc w:val="both"/>
        <w:rPr>
          <w:szCs w:val="22"/>
        </w:rPr>
      </w:pPr>
    </w:p>
    <w:p w:rsidR="00012172" w:rsidRDefault="00012172">
      <w:pPr>
        <w:numPr>
          <w:ilvl w:val="12"/>
          <w:numId w:val="0"/>
        </w:numPr>
        <w:jc w:val="both"/>
        <w:rPr>
          <w:szCs w:val="22"/>
        </w:rPr>
      </w:pPr>
      <w:r>
        <w:rPr>
          <w:szCs w:val="22"/>
        </w:rPr>
        <w:t>(2) U slučaju prilaza na državnu, županijsku ili nerazvrstanu cestu u postupku izdavanja lokacijske dozvole potrebno je ishoditi posebne uvjete priključenja od strane organizacije koja tim cestama upravlja u slučaju osnivanja novog prilaza., odnosno za nove priključke na cestu.</w:t>
      </w:r>
    </w:p>
    <w:p w:rsidR="00012172" w:rsidRDefault="00012172">
      <w:pPr>
        <w:numPr>
          <w:ilvl w:val="12"/>
          <w:numId w:val="0"/>
        </w:numPr>
        <w:jc w:val="both"/>
        <w:rPr>
          <w:szCs w:val="22"/>
        </w:rPr>
      </w:pPr>
    </w:p>
    <w:p w:rsidR="00012172" w:rsidRDefault="00012172">
      <w:pPr>
        <w:numPr>
          <w:ilvl w:val="12"/>
          <w:numId w:val="0"/>
        </w:numPr>
        <w:jc w:val="both"/>
        <w:rPr>
          <w:szCs w:val="22"/>
        </w:rPr>
      </w:pPr>
      <w:r>
        <w:rPr>
          <w:szCs w:val="22"/>
        </w:rPr>
        <w:t>(3) U slučaju kada se građevinska parcela nalazi uz spoj ulica različitog značaja, prilaz s te parcele na javnu prometnu površinu obavezno se ostvaruje preko ulice nižeg značaja.</w:t>
      </w:r>
    </w:p>
    <w:p w:rsidR="00012172" w:rsidRDefault="00012172">
      <w:pPr>
        <w:numPr>
          <w:ilvl w:val="12"/>
          <w:numId w:val="0"/>
        </w:numPr>
        <w:jc w:val="center"/>
      </w:pPr>
    </w:p>
    <w:p w:rsidR="00012172" w:rsidRDefault="00BD04E2">
      <w:pPr>
        <w:numPr>
          <w:ilvl w:val="12"/>
          <w:numId w:val="0"/>
        </w:numPr>
        <w:jc w:val="center"/>
        <w:rPr>
          <w:szCs w:val="22"/>
        </w:rPr>
      </w:pPr>
      <w:r>
        <w:rPr>
          <w:szCs w:val="22"/>
        </w:rPr>
        <w:t>Članak 25</w:t>
      </w:r>
      <w:r w:rsidR="00012172">
        <w:rPr>
          <w:szCs w:val="22"/>
        </w:rPr>
        <w:t>.</w:t>
      </w:r>
    </w:p>
    <w:p w:rsidR="00012172" w:rsidRDefault="00012172">
      <w:pPr>
        <w:numPr>
          <w:ilvl w:val="12"/>
          <w:numId w:val="0"/>
        </w:numPr>
        <w:rPr>
          <w:szCs w:val="22"/>
        </w:rPr>
      </w:pPr>
      <w:r>
        <w:rPr>
          <w:szCs w:val="22"/>
        </w:rPr>
        <w:t xml:space="preserve">(1) Minimalne veličine građevinskih parcela obiteljskih stambenih zgrada: </w:t>
      </w:r>
    </w:p>
    <w:p w:rsidR="00012172" w:rsidRDefault="00012172">
      <w:pPr>
        <w:numPr>
          <w:ilvl w:val="12"/>
          <w:numId w:val="0"/>
        </w:numPr>
        <w:ind w:right="-108" w:firstLine="720"/>
      </w:pPr>
    </w:p>
    <w:p w:rsidR="00012172" w:rsidRDefault="00012172">
      <w:pPr>
        <w:numPr>
          <w:ilvl w:val="12"/>
          <w:numId w:val="0"/>
        </w:numPr>
        <w:pBdr>
          <w:top w:val="single" w:sz="6" w:space="1" w:color="auto"/>
        </w:pBdr>
        <w:ind w:right="-108"/>
        <w:rPr>
          <w:sz w:val="20"/>
          <w:szCs w:val="20"/>
        </w:rPr>
      </w:pPr>
      <w:r>
        <w:rPr>
          <w:sz w:val="20"/>
          <w:szCs w:val="20"/>
          <w:lang w:val="en-AU"/>
        </w:rPr>
        <w:t>na</w:t>
      </w:r>
      <w:r>
        <w:rPr>
          <w:sz w:val="20"/>
          <w:szCs w:val="20"/>
        </w:rPr>
        <w:t>č</w:t>
      </w:r>
      <w:r>
        <w:rPr>
          <w:sz w:val="20"/>
          <w:szCs w:val="20"/>
          <w:lang w:val="en-AU"/>
        </w:rPr>
        <w:t>in</w:t>
      </w:r>
      <w:r>
        <w:rPr>
          <w:sz w:val="20"/>
          <w:szCs w:val="20"/>
        </w:rPr>
        <w:t xml:space="preserve"> </w:t>
      </w:r>
      <w:r>
        <w:rPr>
          <w:sz w:val="20"/>
          <w:szCs w:val="20"/>
        </w:rPr>
        <w:tab/>
      </w:r>
      <w:r>
        <w:rPr>
          <w:sz w:val="20"/>
          <w:szCs w:val="20"/>
        </w:rPr>
        <w:tab/>
      </w:r>
      <w:r>
        <w:rPr>
          <w:sz w:val="20"/>
          <w:szCs w:val="20"/>
        </w:rPr>
        <w:tab/>
      </w:r>
      <w:r>
        <w:rPr>
          <w:sz w:val="20"/>
          <w:szCs w:val="20"/>
        </w:rPr>
        <w:tab/>
        <w:t xml:space="preserve">     </w:t>
      </w:r>
      <w:r>
        <w:rPr>
          <w:sz w:val="20"/>
          <w:szCs w:val="20"/>
          <w:lang w:val="en-AU"/>
        </w:rPr>
        <w:t>minimalna</w:t>
      </w:r>
      <w:r>
        <w:rPr>
          <w:sz w:val="20"/>
          <w:szCs w:val="20"/>
        </w:rPr>
        <w:tab/>
        <w:t xml:space="preserve">      </w:t>
      </w:r>
      <w:r>
        <w:rPr>
          <w:sz w:val="20"/>
          <w:szCs w:val="20"/>
          <w:lang w:val="en-AU"/>
        </w:rPr>
        <w:t>minimalna</w:t>
      </w:r>
      <w:r>
        <w:rPr>
          <w:sz w:val="20"/>
          <w:szCs w:val="20"/>
        </w:rPr>
        <w:t xml:space="preserve">             </w:t>
      </w:r>
      <w:r>
        <w:rPr>
          <w:sz w:val="20"/>
          <w:szCs w:val="20"/>
          <w:lang w:val="en-AU"/>
        </w:rPr>
        <w:t>najmanja</w:t>
      </w:r>
      <w:r>
        <w:rPr>
          <w:sz w:val="20"/>
          <w:szCs w:val="20"/>
        </w:rPr>
        <w:t xml:space="preserve"> </w:t>
      </w:r>
      <w:r>
        <w:rPr>
          <w:sz w:val="20"/>
          <w:szCs w:val="20"/>
          <w:lang w:val="en-AU"/>
        </w:rPr>
        <w:t>povr</w:t>
      </w:r>
      <w:r>
        <w:rPr>
          <w:sz w:val="20"/>
          <w:szCs w:val="20"/>
        </w:rPr>
        <w:t>š</w:t>
      </w:r>
      <w:r>
        <w:rPr>
          <w:sz w:val="20"/>
          <w:szCs w:val="20"/>
          <w:lang w:val="en-AU"/>
        </w:rPr>
        <w:t>ina</w:t>
      </w:r>
      <w:r>
        <w:rPr>
          <w:sz w:val="20"/>
          <w:szCs w:val="20"/>
        </w:rPr>
        <w:t xml:space="preserve">       koef. izgrađ.</w:t>
      </w:r>
    </w:p>
    <w:p w:rsidR="00012172" w:rsidRDefault="00012172">
      <w:pPr>
        <w:numPr>
          <w:ilvl w:val="12"/>
          <w:numId w:val="0"/>
        </w:numPr>
        <w:ind w:right="-108"/>
        <w:rPr>
          <w:sz w:val="20"/>
          <w:szCs w:val="20"/>
        </w:rPr>
      </w:pPr>
      <w:r>
        <w:rPr>
          <w:sz w:val="20"/>
          <w:szCs w:val="20"/>
        </w:rPr>
        <w:t>gradnje</w:t>
      </w:r>
      <w:r>
        <w:rPr>
          <w:sz w:val="20"/>
          <w:szCs w:val="20"/>
        </w:rPr>
        <w:tab/>
      </w:r>
      <w:r>
        <w:rPr>
          <w:sz w:val="20"/>
          <w:szCs w:val="20"/>
        </w:rPr>
        <w:tab/>
      </w:r>
      <w:r>
        <w:rPr>
          <w:sz w:val="20"/>
          <w:szCs w:val="20"/>
        </w:rPr>
        <w:tab/>
      </w:r>
      <w:r>
        <w:rPr>
          <w:sz w:val="20"/>
          <w:szCs w:val="20"/>
        </w:rPr>
        <w:tab/>
        <w:t xml:space="preserve">    širina parcele</w:t>
      </w:r>
      <w:r>
        <w:rPr>
          <w:sz w:val="20"/>
          <w:szCs w:val="20"/>
        </w:rPr>
        <w:tab/>
        <w:t xml:space="preserve">    dubina parcele         građevne čestice              </w:t>
      </w:r>
      <w:r>
        <w:rPr>
          <w:sz w:val="20"/>
          <w:szCs w:val="20"/>
          <w:lang w:val="en-AU"/>
        </w:rPr>
        <w:t>(kig)</w:t>
      </w:r>
    </w:p>
    <w:p w:rsidR="00012172" w:rsidRDefault="00012172">
      <w:pPr>
        <w:numPr>
          <w:ilvl w:val="12"/>
          <w:numId w:val="0"/>
        </w:numPr>
        <w:pBdr>
          <w:top w:val="single" w:sz="6" w:space="1" w:color="auto"/>
        </w:pBdr>
        <w:ind w:right="-108"/>
        <w:rPr>
          <w:sz w:val="20"/>
        </w:rPr>
      </w:pPr>
      <w:r>
        <w:rPr>
          <w:sz w:val="20"/>
        </w:rPr>
        <w:t xml:space="preserve">a) za izgradnju građevine na </w:t>
      </w:r>
    </w:p>
    <w:p w:rsidR="00012172" w:rsidRDefault="00012172">
      <w:pPr>
        <w:numPr>
          <w:ilvl w:val="12"/>
          <w:numId w:val="0"/>
        </w:numPr>
        <w:pBdr>
          <w:top w:val="single" w:sz="6" w:space="0" w:color="auto"/>
        </w:pBdr>
        <w:ind w:right="-108"/>
        <w:rPr>
          <w:sz w:val="20"/>
        </w:rPr>
      </w:pPr>
      <w:r>
        <w:rPr>
          <w:sz w:val="20"/>
        </w:rPr>
        <w:t xml:space="preserve">    slobodnostojeći način :</w:t>
      </w:r>
    </w:p>
    <w:p w:rsidR="00012172" w:rsidRDefault="00012172">
      <w:pPr>
        <w:numPr>
          <w:ilvl w:val="12"/>
          <w:numId w:val="0"/>
        </w:numPr>
        <w:ind w:right="-108"/>
        <w:rPr>
          <w:sz w:val="20"/>
          <w:lang w:val="de-DE"/>
        </w:rPr>
      </w:pPr>
      <w:r>
        <w:rPr>
          <w:sz w:val="20"/>
        </w:rPr>
        <w:tab/>
      </w:r>
      <w:r>
        <w:rPr>
          <w:sz w:val="20"/>
          <w:lang w:val="de-DE"/>
        </w:rPr>
        <w:t xml:space="preserve">- prizemni </w:t>
      </w:r>
      <w:r>
        <w:rPr>
          <w:sz w:val="20"/>
          <w:lang w:val="de-DE"/>
        </w:rPr>
        <w:tab/>
      </w:r>
      <w:r>
        <w:rPr>
          <w:sz w:val="20"/>
          <w:lang w:val="de-DE"/>
        </w:rPr>
        <w:tab/>
      </w:r>
      <w:r>
        <w:rPr>
          <w:sz w:val="20"/>
          <w:lang w:val="de-DE"/>
        </w:rPr>
        <w:tab/>
      </w:r>
      <w:smartTag w:uri="urn:schemas-microsoft-com:office:smarttags" w:element="metricconverter">
        <w:smartTagPr>
          <w:attr w:name="ProductID" w:val="12 m"/>
        </w:smartTagPr>
        <w:r>
          <w:rPr>
            <w:sz w:val="20"/>
            <w:lang w:val="de-DE"/>
          </w:rPr>
          <w:t>12 m</w:t>
        </w:r>
      </w:smartTag>
      <w:r>
        <w:rPr>
          <w:sz w:val="20"/>
          <w:lang w:val="de-DE"/>
        </w:rPr>
        <w:tab/>
      </w:r>
      <w:r>
        <w:rPr>
          <w:sz w:val="20"/>
          <w:lang w:val="de-DE"/>
        </w:rPr>
        <w:tab/>
      </w:r>
      <w:smartTag w:uri="urn:schemas-microsoft-com:office:smarttags" w:element="metricconverter">
        <w:smartTagPr>
          <w:attr w:name="ProductID" w:val="25 m"/>
        </w:smartTagPr>
        <w:r>
          <w:rPr>
            <w:sz w:val="20"/>
            <w:lang w:val="de-DE"/>
          </w:rPr>
          <w:t>25 m</w:t>
        </w:r>
      </w:smartTag>
      <w:r>
        <w:rPr>
          <w:sz w:val="20"/>
          <w:lang w:val="de-DE"/>
        </w:rPr>
        <w:tab/>
        <w:t xml:space="preserve"> </w:t>
      </w:r>
      <w:r>
        <w:rPr>
          <w:sz w:val="20"/>
          <w:lang w:val="de-DE"/>
        </w:rPr>
        <w:tab/>
      </w:r>
      <w:smartTag w:uri="urn:schemas-microsoft-com:office:smarttags" w:element="metricconverter">
        <w:smartTagPr>
          <w:attr w:name="ProductID" w:val="300 m2"/>
        </w:smartTagPr>
        <w:r>
          <w:rPr>
            <w:sz w:val="20"/>
            <w:lang w:val="de-DE"/>
          </w:rPr>
          <w:t>300 m</w:t>
        </w:r>
        <w:r>
          <w:rPr>
            <w:sz w:val="20"/>
            <w:vertAlign w:val="superscript"/>
            <w:lang w:val="de-DE"/>
          </w:rPr>
          <w:t>2</w:t>
        </w:r>
      </w:smartTag>
      <w:r>
        <w:rPr>
          <w:sz w:val="20"/>
          <w:lang w:val="de-DE"/>
        </w:rPr>
        <w:tab/>
      </w:r>
      <w:r>
        <w:rPr>
          <w:sz w:val="20"/>
          <w:lang w:val="de-DE"/>
        </w:rPr>
        <w:tab/>
        <w:t xml:space="preserve">      0,4</w:t>
      </w:r>
    </w:p>
    <w:p w:rsidR="00012172" w:rsidRDefault="00012172">
      <w:pPr>
        <w:numPr>
          <w:ilvl w:val="12"/>
          <w:numId w:val="0"/>
        </w:numPr>
        <w:ind w:right="-108"/>
        <w:rPr>
          <w:sz w:val="20"/>
          <w:lang w:val="de-DE"/>
        </w:rPr>
      </w:pPr>
      <w:r>
        <w:rPr>
          <w:sz w:val="20"/>
          <w:lang w:val="de-DE"/>
        </w:rPr>
        <w:tab/>
        <w:t>- jednokatni</w:t>
      </w:r>
      <w:r>
        <w:rPr>
          <w:sz w:val="20"/>
          <w:lang w:val="de-DE"/>
        </w:rPr>
        <w:tab/>
      </w:r>
      <w:r>
        <w:rPr>
          <w:sz w:val="20"/>
          <w:lang w:val="de-DE"/>
        </w:rPr>
        <w:tab/>
      </w:r>
      <w:r>
        <w:rPr>
          <w:sz w:val="20"/>
          <w:lang w:val="de-DE"/>
        </w:rPr>
        <w:tab/>
      </w:r>
      <w:smartTag w:uri="urn:schemas-microsoft-com:office:smarttags" w:element="metricconverter">
        <w:smartTagPr>
          <w:attr w:name="ProductID" w:val="16 m"/>
        </w:smartTagPr>
        <w:r>
          <w:rPr>
            <w:sz w:val="20"/>
            <w:lang w:val="de-DE"/>
          </w:rPr>
          <w:t>16 m</w:t>
        </w:r>
      </w:smartTag>
      <w:r>
        <w:rPr>
          <w:sz w:val="20"/>
          <w:lang w:val="de-DE"/>
        </w:rPr>
        <w:tab/>
      </w:r>
      <w:r>
        <w:rPr>
          <w:sz w:val="20"/>
          <w:lang w:val="de-DE"/>
        </w:rPr>
        <w:tab/>
      </w:r>
      <w:smartTag w:uri="urn:schemas-microsoft-com:office:smarttags" w:element="metricconverter">
        <w:smartTagPr>
          <w:attr w:name="ProductID" w:val="30 m"/>
        </w:smartTagPr>
        <w:r>
          <w:rPr>
            <w:sz w:val="20"/>
            <w:lang w:val="de-DE"/>
          </w:rPr>
          <w:t>30 m</w:t>
        </w:r>
      </w:smartTag>
      <w:r>
        <w:rPr>
          <w:sz w:val="20"/>
          <w:lang w:val="de-DE"/>
        </w:rPr>
        <w:tab/>
      </w:r>
      <w:r>
        <w:rPr>
          <w:sz w:val="20"/>
          <w:lang w:val="de-DE"/>
        </w:rPr>
        <w:tab/>
      </w:r>
      <w:smartTag w:uri="urn:schemas-microsoft-com:office:smarttags" w:element="metricconverter">
        <w:smartTagPr>
          <w:attr w:name="ProductID" w:val="480 m2"/>
        </w:smartTagPr>
        <w:r>
          <w:rPr>
            <w:sz w:val="20"/>
            <w:lang w:val="de-DE"/>
          </w:rPr>
          <w:t>480 m</w:t>
        </w:r>
        <w:r>
          <w:rPr>
            <w:sz w:val="20"/>
            <w:vertAlign w:val="superscript"/>
            <w:lang w:val="de-DE"/>
          </w:rPr>
          <w:t>2</w:t>
        </w:r>
      </w:smartTag>
      <w:r>
        <w:rPr>
          <w:sz w:val="20"/>
          <w:lang w:val="de-DE"/>
        </w:rPr>
        <w:t xml:space="preserve">    </w:t>
      </w:r>
      <w:r>
        <w:rPr>
          <w:sz w:val="20"/>
          <w:lang w:val="de-DE"/>
        </w:rPr>
        <w:tab/>
        <w:t xml:space="preserve">      0,4 </w:t>
      </w:r>
    </w:p>
    <w:p w:rsidR="00012172" w:rsidRDefault="00012172">
      <w:pPr>
        <w:numPr>
          <w:ilvl w:val="12"/>
          <w:numId w:val="0"/>
        </w:numPr>
        <w:pBdr>
          <w:top w:val="single" w:sz="6" w:space="1" w:color="auto"/>
        </w:pBdr>
        <w:ind w:right="-108"/>
        <w:rPr>
          <w:sz w:val="20"/>
          <w:lang w:val="de-DE"/>
        </w:rPr>
      </w:pPr>
      <w:r>
        <w:rPr>
          <w:sz w:val="20"/>
          <w:lang w:val="de-DE"/>
        </w:rPr>
        <w:t xml:space="preserve">b) za gradnju građevine na </w:t>
      </w:r>
    </w:p>
    <w:p w:rsidR="00012172" w:rsidRDefault="00012172">
      <w:pPr>
        <w:numPr>
          <w:ilvl w:val="12"/>
          <w:numId w:val="0"/>
        </w:numPr>
        <w:pBdr>
          <w:top w:val="single" w:sz="6" w:space="3" w:color="auto"/>
        </w:pBdr>
        <w:ind w:right="-108"/>
        <w:rPr>
          <w:sz w:val="20"/>
          <w:lang w:val="de-DE"/>
        </w:rPr>
      </w:pPr>
      <w:r>
        <w:rPr>
          <w:sz w:val="20"/>
          <w:lang w:val="de-DE"/>
        </w:rPr>
        <w:t xml:space="preserve">   poluotvoreni način :</w:t>
      </w:r>
    </w:p>
    <w:p w:rsidR="00012172" w:rsidRDefault="00012172">
      <w:pPr>
        <w:numPr>
          <w:ilvl w:val="12"/>
          <w:numId w:val="0"/>
        </w:numPr>
        <w:ind w:right="-108"/>
        <w:rPr>
          <w:sz w:val="20"/>
          <w:lang w:val="de-DE"/>
        </w:rPr>
      </w:pPr>
      <w:r>
        <w:rPr>
          <w:sz w:val="20"/>
          <w:lang w:val="de-DE"/>
        </w:rPr>
        <w:tab/>
        <w:t xml:space="preserve">- prizemni </w:t>
      </w:r>
      <w:r>
        <w:rPr>
          <w:sz w:val="20"/>
          <w:lang w:val="de-DE"/>
        </w:rPr>
        <w:tab/>
      </w:r>
      <w:r>
        <w:rPr>
          <w:sz w:val="20"/>
          <w:lang w:val="de-DE"/>
        </w:rPr>
        <w:tab/>
      </w:r>
      <w:r>
        <w:rPr>
          <w:sz w:val="20"/>
          <w:lang w:val="de-DE"/>
        </w:rPr>
        <w:tab/>
      </w:r>
      <w:smartTag w:uri="urn:schemas-microsoft-com:office:smarttags" w:element="metricconverter">
        <w:smartTagPr>
          <w:attr w:name="ProductID" w:val="10 m"/>
        </w:smartTagPr>
        <w:r>
          <w:rPr>
            <w:sz w:val="20"/>
            <w:lang w:val="de-DE"/>
          </w:rPr>
          <w:t>10 m</w:t>
        </w:r>
      </w:smartTag>
      <w:r>
        <w:rPr>
          <w:sz w:val="20"/>
          <w:lang w:val="de-DE"/>
        </w:rPr>
        <w:tab/>
      </w:r>
      <w:r>
        <w:rPr>
          <w:sz w:val="20"/>
          <w:lang w:val="de-DE"/>
        </w:rPr>
        <w:tab/>
      </w:r>
      <w:smartTag w:uri="urn:schemas-microsoft-com:office:smarttags" w:element="metricconverter">
        <w:smartTagPr>
          <w:attr w:name="ProductID" w:val="25 m"/>
        </w:smartTagPr>
        <w:r>
          <w:rPr>
            <w:sz w:val="20"/>
            <w:lang w:val="de-DE"/>
          </w:rPr>
          <w:t>25 m</w:t>
        </w:r>
      </w:smartTag>
      <w:r>
        <w:rPr>
          <w:sz w:val="20"/>
          <w:lang w:val="de-DE"/>
        </w:rPr>
        <w:tab/>
      </w:r>
      <w:r>
        <w:rPr>
          <w:sz w:val="20"/>
          <w:lang w:val="de-DE"/>
        </w:rPr>
        <w:tab/>
      </w:r>
      <w:smartTag w:uri="urn:schemas-microsoft-com:office:smarttags" w:element="metricconverter">
        <w:smartTagPr>
          <w:attr w:name="ProductID" w:val="250 m2"/>
        </w:smartTagPr>
        <w:r>
          <w:rPr>
            <w:sz w:val="20"/>
            <w:lang w:val="de-DE"/>
          </w:rPr>
          <w:t>250 m</w:t>
        </w:r>
        <w:r>
          <w:rPr>
            <w:sz w:val="20"/>
            <w:vertAlign w:val="superscript"/>
            <w:lang w:val="de-DE"/>
          </w:rPr>
          <w:t>2</w:t>
        </w:r>
      </w:smartTag>
      <w:r>
        <w:rPr>
          <w:sz w:val="20"/>
          <w:lang w:val="de-DE"/>
        </w:rPr>
        <w:t xml:space="preserve">         </w:t>
      </w:r>
      <w:r>
        <w:rPr>
          <w:sz w:val="20"/>
          <w:lang w:val="de-DE"/>
        </w:rPr>
        <w:tab/>
        <w:t xml:space="preserve">     0,4</w:t>
      </w:r>
      <w:r>
        <w:rPr>
          <w:sz w:val="20"/>
          <w:lang w:val="de-DE"/>
        </w:rPr>
        <w:tab/>
      </w:r>
    </w:p>
    <w:p w:rsidR="00012172" w:rsidRDefault="00012172">
      <w:pPr>
        <w:numPr>
          <w:ilvl w:val="12"/>
          <w:numId w:val="0"/>
        </w:numPr>
        <w:ind w:right="-108"/>
        <w:rPr>
          <w:sz w:val="20"/>
          <w:lang w:val="de-DE"/>
        </w:rPr>
      </w:pPr>
      <w:r>
        <w:rPr>
          <w:sz w:val="20"/>
          <w:lang w:val="de-DE"/>
        </w:rPr>
        <w:tab/>
        <w:t>- jednokatni</w:t>
      </w:r>
      <w:r>
        <w:rPr>
          <w:sz w:val="20"/>
          <w:lang w:val="de-DE"/>
        </w:rPr>
        <w:tab/>
      </w:r>
      <w:r>
        <w:rPr>
          <w:sz w:val="20"/>
          <w:lang w:val="de-DE"/>
        </w:rPr>
        <w:tab/>
      </w:r>
      <w:r>
        <w:rPr>
          <w:sz w:val="20"/>
          <w:lang w:val="de-DE"/>
        </w:rPr>
        <w:tab/>
      </w:r>
      <w:smartTag w:uri="urn:schemas-microsoft-com:office:smarttags" w:element="metricconverter">
        <w:smartTagPr>
          <w:attr w:name="ProductID" w:val="12 m"/>
        </w:smartTagPr>
        <w:r>
          <w:rPr>
            <w:sz w:val="20"/>
            <w:lang w:val="de-DE"/>
          </w:rPr>
          <w:t>12 m</w:t>
        </w:r>
      </w:smartTag>
      <w:r>
        <w:rPr>
          <w:sz w:val="20"/>
          <w:lang w:val="de-DE"/>
        </w:rPr>
        <w:tab/>
      </w:r>
      <w:r>
        <w:rPr>
          <w:sz w:val="20"/>
          <w:lang w:val="de-DE"/>
        </w:rPr>
        <w:tab/>
      </w:r>
      <w:smartTag w:uri="urn:schemas-microsoft-com:office:smarttags" w:element="metricconverter">
        <w:smartTagPr>
          <w:attr w:name="ProductID" w:val="30 m"/>
        </w:smartTagPr>
        <w:r>
          <w:rPr>
            <w:sz w:val="20"/>
            <w:lang w:val="de-DE"/>
          </w:rPr>
          <w:t>30 m</w:t>
        </w:r>
      </w:smartTag>
      <w:r>
        <w:rPr>
          <w:sz w:val="20"/>
          <w:lang w:val="de-DE"/>
        </w:rPr>
        <w:tab/>
      </w:r>
      <w:r>
        <w:rPr>
          <w:sz w:val="20"/>
          <w:lang w:val="de-DE"/>
        </w:rPr>
        <w:tab/>
      </w:r>
      <w:smartTag w:uri="urn:schemas-microsoft-com:office:smarttags" w:element="metricconverter">
        <w:smartTagPr>
          <w:attr w:name="ProductID" w:val="360 m2"/>
        </w:smartTagPr>
        <w:r>
          <w:rPr>
            <w:sz w:val="20"/>
            <w:lang w:val="de-DE"/>
          </w:rPr>
          <w:t>360 m</w:t>
        </w:r>
        <w:r>
          <w:rPr>
            <w:sz w:val="20"/>
            <w:vertAlign w:val="superscript"/>
            <w:lang w:val="de-DE"/>
          </w:rPr>
          <w:t>2</w:t>
        </w:r>
      </w:smartTag>
      <w:r>
        <w:rPr>
          <w:sz w:val="20"/>
          <w:lang w:val="de-DE"/>
        </w:rPr>
        <w:t xml:space="preserve">        </w:t>
      </w:r>
      <w:r>
        <w:rPr>
          <w:sz w:val="20"/>
          <w:lang w:val="de-DE"/>
        </w:rPr>
        <w:tab/>
        <w:t xml:space="preserve">     0,4</w:t>
      </w:r>
      <w:r>
        <w:rPr>
          <w:sz w:val="20"/>
          <w:lang w:val="de-DE"/>
        </w:rPr>
        <w:tab/>
        <w:t xml:space="preserve"> </w:t>
      </w:r>
    </w:p>
    <w:p w:rsidR="00012172" w:rsidRDefault="00012172">
      <w:pPr>
        <w:numPr>
          <w:ilvl w:val="12"/>
          <w:numId w:val="0"/>
        </w:numPr>
        <w:pBdr>
          <w:top w:val="single" w:sz="6" w:space="1" w:color="auto"/>
        </w:pBdr>
        <w:ind w:right="-108"/>
        <w:rPr>
          <w:sz w:val="20"/>
          <w:lang w:val="de-DE"/>
        </w:rPr>
      </w:pPr>
      <w:r>
        <w:rPr>
          <w:sz w:val="20"/>
          <w:lang w:val="de-DE"/>
        </w:rPr>
        <w:t>c) za gradnju građevina u nizu :</w:t>
      </w:r>
    </w:p>
    <w:p w:rsidR="00012172" w:rsidRDefault="00012172">
      <w:pPr>
        <w:numPr>
          <w:ilvl w:val="12"/>
          <w:numId w:val="0"/>
        </w:numPr>
        <w:ind w:right="-108"/>
        <w:rPr>
          <w:sz w:val="20"/>
          <w:lang w:val="de-DE"/>
        </w:rPr>
      </w:pPr>
      <w:r>
        <w:rPr>
          <w:sz w:val="20"/>
          <w:lang w:val="de-DE"/>
        </w:rPr>
        <w:tab/>
        <w:t xml:space="preserve">- prizemni </w:t>
      </w:r>
      <w:r>
        <w:rPr>
          <w:sz w:val="20"/>
          <w:lang w:val="de-DE"/>
        </w:rPr>
        <w:tab/>
      </w:r>
      <w:r>
        <w:rPr>
          <w:sz w:val="20"/>
          <w:lang w:val="de-DE"/>
        </w:rPr>
        <w:tab/>
      </w:r>
      <w:r>
        <w:rPr>
          <w:sz w:val="20"/>
          <w:lang w:val="de-DE"/>
        </w:rPr>
        <w:tab/>
      </w:r>
      <w:smartTag w:uri="urn:schemas-microsoft-com:office:smarttags" w:element="metricconverter">
        <w:smartTagPr>
          <w:attr w:name="ProductID" w:val="5 m"/>
        </w:smartTagPr>
        <w:r>
          <w:rPr>
            <w:sz w:val="20"/>
            <w:lang w:val="de-DE"/>
          </w:rPr>
          <w:t>5 m</w:t>
        </w:r>
      </w:smartTag>
      <w:r>
        <w:rPr>
          <w:sz w:val="20"/>
          <w:lang w:val="de-DE"/>
        </w:rPr>
        <w:tab/>
      </w:r>
      <w:r>
        <w:rPr>
          <w:sz w:val="20"/>
          <w:lang w:val="de-DE"/>
        </w:rPr>
        <w:tab/>
      </w:r>
      <w:smartTag w:uri="urn:schemas-microsoft-com:office:smarttags" w:element="metricconverter">
        <w:smartTagPr>
          <w:attr w:name="ProductID" w:val="25 m"/>
        </w:smartTagPr>
        <w:r>
          <w:rPr>
            <w:sz w:val="20"/>
            <w:lang w:val="de-DE"/>
          </w:rPr>
          <w:t>25 m</w:t>
        </w:r>
      </w:smartTag>
      <w:r>
        <w:rPr>
          <w:sz w:val="20"/>
          <w:lang w:val="de-DE"/>
        </w:rPr>
        <w:tab/>
        <w:t xml:space="preserve">          </w:t>
      </w:r>
      <w:r>
        <w:rPr>
          <w:sz w:val="20"/>
          <w:lang w:val="de-DE"/>
        </w:rPr>
        <w:tab/>
      </w:r>
      <w:smartTag w:uri="urn:schemas-microsoft-com:office:smarttags" w:element="metricconverter">
        <w:smartTagPr>
          <w:attr w:name="ProductID" w:val="125 m2"/>
        </w:smartTagPr>
        <w:r>
          <w:rPr>
            <w:sz w:val="20"/>
            <w:lang w:val="de-DE"/>
          </w:rPr>
          <w:t>125 m</w:t>
        </w:r>
        <w:r>
          <w:rPr>
            <w:sz w:val="20"/>
            <w:vertAlign w:val="superscript"/>
            <w:lang w:val="de-DE"/>
          </w:rPr>
          <w:t>2</w:t>
        </w:r>
      </w:smartTag>
      <w:r>
        <w:rPr>
          <w:sz w:val="20"/>
          <w:lang w:val="de-DE"/>
        </w:rPr>
        <w:tab/>
      </w:r>
      <w:r>
        <w:rPr>
          <w:sz w:val="20"/>
          <w:lang w:val="de-DE"/>
        </w:rPr>
        <w:tab/>
        <w:t xml:space="preserve">     0,5</w:t>
      </w:r>
      <w:r>
        <w:rPr>
          <w:sz w:val="20"/>
          <w:lang w:val="de-DE"/>
        </w:rPr>
        <w:tab/>
      </w:r>
    </w:p>
    <w:p w:rsidR="00012172" w:rsidRDefault="00012172">
      <w:pPr>
        <w:numPr>
          <w:ilvl w:val="12"/>
          <w:numId w:val="0"/>
        </w:numPr>
        <w:pBdr>
          <w:bottom w:val="single" w:sz="6" w:space="1" w:color="auto"/>
        </w:pBdr>
        <w:ind w:right="-108"/>
        <w:rPr>
          <w:sz w:val="20"/>
          <w:lang w:val="de-DE"/>
        </w:rPr>
      </w:pPr>
      <w:r>
        <w:rPr>
          <w:sz w:val="20"/>
          <w:lang w:val="de-DE"/>
        </w:rPr>
        <w:tab/>
        <w:t>- jednokatni</w:t>
      </w:r>
      <w:r>
        <w:rPr>
          <w:sz w:val="20"/>
          <w:lang w:val="de-DE"/>
        </w:rPr>
        <w:tab/>
      </w:r>
      <w:r>
        <w:rPr>
          <w:sz w:val="20"/>
          <w:lang w:val="de-DE"/>
        </w:rPr>
        <w:tab/>
      </w:r>
      <w:r>
        <w:rPr>
          <w:sz w:val="20"/>
          <w:lang w:val="de-DE"/>
        </w:rPr>
        <w:tab/>
      </w:r>
      <w:smartTag w:uri="urn:schemas-microsoft-com:office:smarttags" w:element="metricconverter">
        <w:smartTagPr>
          <w:attr w:name="ProductID" w:val="6 m"/>
        </w:smartTagPr>
        <w:r>
          <w:rPr>
            <w:sz w:val="20"/>
            <w:lang w:val="de-DE"/>
          </w:rPr>
          <w:t>6 m</w:t>
        </w:r>
      </w:smartTag>
      <w:r>
        <w:rPr>
          <w:sz w:val="20"/>
          <w:lang w:val="de-DE"/>
        </w:rPr>
        <w:tab/>
      </w:r>
      <w:r>
        <w:rPr>
          <w:sz w:val="20"/>
          <w:lang w:val="de-DE"/>
        </w:rPr>
        <w:tab/>
      </w:r>
      <w:smartTag w:uri="urn:schemas-microsoft-com:office:smarttags" w:element="metricconverter">
        <w:smartTagPr>
          <w:attr w:name="ProductID" w:val="25 m"/>
        </w:smartTagPr>
        <w:r>
          <w:rPr>
            <w:sz w:val="20"/>
            <w:lang w:val="de-DE"/>
          </w:rPr>
          <w:t>25 m</w:t>
        </w:r>
      </w:smartTag>
      <w:r>
        <w:rPr>
          <w:sz w:val="20"/>
          <w:lang w:val="de-DE"/>
        </w:rPr>
        <w:tab/>
      </w:r>
      <w:r>
        <w:rPr>
          <w:sz w:val="20"/>
          <w:lang w:val="de-DE"/>
        </w:rPr>
        <w:tab/>
      </w:r>
      <w:smartTag w:uri="urn:schemas-microsoft-com:office:smarttags" w:element="metricconverter">
        <w:smartTagPr>
          <w:attr w:name="ProductID" w:val="150 m2"/>
        </w:smartTagPr>
        <w:r>
          <w:rPr>
            <w:sz w:val="20"/>
            <w:lang w:val="de-DE"/>
          </w:rPr>
          <w:t>150 m</w:t>
        </w:r>
        <w:r>
          <w:rPr>
            <w:sz w:val="20"/>
            <w:vertAlign w:val="superscript"/>
            <w:lang w:val="de-DE"/>
          </w:rPr>
          <w:t>2</w:t>
        </w:r>
      </w:smartTag>
      <w:r>
        <w:rPr>
          <w:sz w:val="20"/>
          <w:lang w:val="de-DE"/>
        </w:rPr>
        <w:t xml:space="preserve">       </w:t>
      </w:r>
      <w:r>
        <w:rPr>
          <w:sz w:val="20"/>
          <w:lang w:val="de-DE"/>
        </w:rPr>
        <w:tab/>
        <w:t xml:space="preserve">     0,5</w:t>
      </w:r>
      <w:r>
        <w:rPr>
          <w:sz w:val="20"/>
          <w:lang w:val="de-DE"/>
        </w:rPr>
        <w:tab/>
        <w:t xml:space="preserve"> </w:t>
      </w:r>
    </w:p>
    <w:p w:rsidR="00012172" w:rsidRDefault="00012172">
      <w:pPr>
        <w:numPr>
          <w:ilvl w:val="12"/>
          <w:numId w:val="0"/>
        </w:numPr>
        <w:ind w:right="-108" w:firstLine="720"/>
        <w:jc w:val="both"/>
        <w:rPr>
          <w:lang w:val="de-DE"/>
        </w:rPr>
      </w:pPr>
    </w:p>
    <w:p w:rsidR="00012172" w:rsidRDefault="00012172">
      <w:pPr>
        <w:numPr>
          <w:ilvl w:val="12"/>
          <w:numId w:val="0"/>
        </w:numPr>
        <w:jc w:val="both"/>
        <w:rPr>
          <w:szCs w:val="22"/>
          <w:lang w:val="de-DE"/>
        </w:rPr>
      </w:pPr>
      <w:r>
        <w:rPr>
          <w:szCs w:val="22"/>
          <w:lang w:val="de-DE"/>
        </w:rPr>
        <w:t>(2) Građevinama koje se izgrađuju na slobodnostojeći način u smislu ovog članka smatraju se građevine koje se niti jednom svojom stranom ne prislanjaju na granice susjednih građevinskih parcela.</w:t>
      </w:r>
    </w:p>
    <w:p w:rsidR="00012172" w:rsidRDefault="00012172">
      <w:pPr>
        <w:numPr>
          <w:ilvl w:val="12"/>
          <w:numId w:val="0"/>
        </w:numPr>
        <w:jc w:val="both"/>
        <w:rPr>
          <w:szCs w:val="22"/>
          <w:lang w:val="de-DE"/>
        </w:rPr>
      </w:pPr>
    </w:p>
    <w:p w:rsidR="00012172" w:rsidRDefault="00012172">
      <w:pPr>
        <w:numPr>
          <w:ilvl w:val="12"/>
          <w:numId w:val="0"/>
        </w:numPr>
        <w:jc w:val="both"/>
        <w:rPr>
          <w:szCs w:val="22"/>
          <w:lang w:val="de-DE"/>
        </w:rPr>
      </w:pPr>
      <w:r>
        <w:rPr>
          <w:szCs w:val="22"/>
          <w:lang w:val="de-DE"/>
        </w:rPr>
        <w:t>(3) Građevinama koje se izgrađuju na poluotvoreni način (dvojne građevine) u smislu ovog članka smatraju se građevine koje se jednom svojom stranom prislanjaju na granicu susjedne građevinske parcele, odnosno uz susjednu građevinu.</w:t>
      </w:r>
    </w:p>
    <w:p w:rsidR="00012172" w:rsidRDefault="00012172">
      <w:pPr>
        <w:numPr>
          <w:ilvl w:val="12"/>
          <w:numId w:val="0"/>
        </w:numPr>
        <w:jc w:val="both"/>
        <w:rPr>
          <w:rFonts w:ascii="Arial" w:hAnsi="Arial" w:cs="Arial"/>
          <w:sz w:val="22"/>
          <w:szCs w:val="22"/>
          <w:lang w:val="de-DE"/>
        </w:rPr>
      </w:pPr>
    </w:p>
    <w:p w:rsidR="00012172" w:rsidRDefault="00012172">
      <w:pPr>
        <w:numPr>
          <w:ilvl w:val="12"/>
          <w:numId w:val="0"/>
        </w:numPr>
        <w:jc w:val="both"/>
        <w:rPr>
          <w:szCs w:val="22"/>
          <w:lang w:val="de-DE"/>
        </w:rPr>
      </w:pPr>
      <w:r>
        <w:rPr>
          <w:szCs w:val="22"/>
          <w:lang w:val="de-DE"/>
        </w:rPr>
        <w:t xml:space="preserve">(4) Građevinama koje se izgrađuju u nizu u smislu ovog članka smatraju se građevine koje se dvijema svojim stranama prislanjaju na granice susjednih građevinskih parcela i uz susjedne građevine. </w:t>
      </w:r>
    </w:p>
    <w:p w:rsidR="00012172" w:rsidRDefault="00012172">
      <w:pPr>
        <w:numPr>
          <w:ilvl w:val="12"/>
          <w:numId w:val="0"/>
        </w:numPr>
        <w:ind w:firstLine="720"/>
        <w:jc w:val="both"/>
        <w:rPr>
          <w:szCs w:val="22"/>
          <w:lang w:val="de-DE"/>
        </w:rPr>
      </w:pPr>
    </w:p>
    <w:p w:rsidR="00012172" w:rsidRDefault="00012172">
      <w:pPr>
        <w:numPr>
          <w:ilvl w:val="12"/>
          <w:numId w:val="0"/>
        </w:numPr>
        <w:jc w:val="both"/>
        <w:rPr>
          <w:szCs w:val="22"/>
          <w:lang w:val="de-DE"/>
        </w:rPr>
      </w:pPr>
      <w:r>
        <w:rPr>
          <w:szCs w:val="22"/>
          <w:lang w:val="de-DE"/>
        </w:rPr>
        <w:t>(5) Iznimno od stava 1. ovog članka kod zamjene postojeće građevine novom, odnosno u slučaju interpolacije u izgrađenim dijelovima naselja, nova se građevina može graditi i na postojećoj građevinskoj parceli manje veličine od propisane, ali pod uvjetom da je veličina te građevine i njena lokacija u skladu sa svim odrednicama koje se odnose na koeficijent izgrađenosti (kig), te minimalne udaljenosti od javne prometne površine, susjedne međe i drugih građevina.</w:t>
      </w:r>
    </w:p>
    <w:p w:rsidR="00BB0950" w:rsidRDefault="00BB0950">
      <w:pPr>
        <w:numPr>
          <w:ilvl w:val="12"/>
          <w:numId w:val="0"/>
        </w:numPr>
        <w:jc w:val="both"/>
        <w:rPr>
          <w:szCs w:val="22"/>
          <w:lang w:val="de-DE"/>
        </w:rPr>
      </w:pPr>
    </w:p>
    <w:p w:rsidR="00BB0950" w:rsidRDefault="00BD04E2" w:rsidP="00BB0950">
      <w:pPr>
        <w:numPr>
          <w:ilvl w:val="12"/>
          <w:numId w:val="0"/>
        </w:numPr>
        <w:jc w:val="center"/>
        <w:rPr>
          <w:szCs w:val="22"/>
          <w:lang w:val="de-DE"/>
        </w:rPr>
      </w:pPr>
      <w:r>
        <w:rPr>
          <w:szCs w:val="22"/>
          <w:lang w:val="de-DE"/>
        </w:rPr>
        <w:t>Članak 26</w:t>
      </w:r>
      <w:r w:rsidR="00BB0950">
        <w:rPr>
          <w:szCs w:val="22"/>
          <w:lang w:val="de-DE"/>
        </w:rPr>
        <w:t>.</w:t>
      </w:r>
    </w:p>
    <w:p w:rsidR="00BB0950" w:rsidRDefault="00BB0950" w:rsidP="00BB0950">
      <w:pPr>
        <w:numPr>
          <w:ilvl w:val="12"/>
          <w:numId w:val="0"/>
        </w:numPr>
        <w:jc w:val="both"/>
      </w:pPr>
      <w:r>
        <w:t xml:space="preserve">(1) Za parcelu 1804  u k.o. Gornja Rijeka max. površina nove izgradnje nadzemno iznosi </w:t>
      </w:r>
      <w:smartTag w:uri="urn:schemas-microsoft-com:office:smarttags" w:element="metricconverter">
        <w:smartTagPr>
          <w:attr w:name="ProductID" w:val="3200 m2"/>
        </w:smartTagPr>
        <w:r>
          <w:t>3200 m</w:t>
        </w:r>
        <w:r>
          <w:rPr>
            <w:vertAlign w:val="superscript"/>
          </w:rPr>
          <w:t>2</w:t>
        </w:r>
      </w:smartTag>
      <w:r>
        <w:t>.</w:t>
      </w:r>
    </w:p>
    <w:p w:rsidR="00012172" w:rsidRDefault="00012172" w:rsidP="00BB0950">
      <w:pPr>
        <w:numPr>
          <w:ilvl w:val="12"/>
          <w:numId w:val="0"/>
        </w:numPr>
        <w:jc w:val="both"/>
      </w:pPr>
    </w:p>
    <w:p w:rsidR="00BB0950" w:rsidRPr="00BB0950" w:rsidRDefault="00BB0950" w:rsidP="00BB0950">
      <w:pPr>
        <w:numPr>
          <w:ilvl w:val="12"/>
          <w:numId w:val="0"/>
        </w:numPr>
        <w:jc w:val="both"/>
      </w:pPr>
      <w:r>
        <w:t>(2) Maksimalna površina nove izgradnje podzemno ne ograničava</w:t>
      </w:r>
      <w:r w:rsidRPr="00BB0950">
        <w:t xml:space="preserve"> </w:t>
      </w:r>
      <w:r>
        <w:t>se, već se regulira sa Kig=0,1</w:t>
      </w:r>
      <w:r w:rsidR="002103B2">
        <w:t>.</w:t>
      </w:r>
      <w:r>
        <w:t xml:space="preserve"> (Kig ograničava BRP kojeg zajedno čine površine: nove nadzemne izgradnje, nove podzemne izgradnje i dvorca).</w:t>
      </w:r>
    </w:p>
    <w:p w:rsidR="00BB0950" w:rsidRDefault="00BB0950" w:rsidP="00BB0950">
      <w:pPr>
        <w:numPr>
          <w:ilvl w:val="12"/>
          <w:numId w:val="0"/>
        </w:numPr>
        <w:jc w:val="both"/>
      </w:pPr>
    </w:p>
    <w:p w:rsidR="00BD04E2" w:rsidRDefault="00BD04E2" w:rsidP="00BB0950">
      <w:pPr>
        <w:numPr>
          <w:ilvl w:val="12"/>
          <w:numId w:val="0"/>
        </w:numPr>
        <w:jc w:val="both"/>
      </w:pPr>
    </w:p>
    <w:p w:rsidR="00BD04E2" w:rsidRDefault="00BD04E2" w:rsidP="00BB0950">
      <w:pPr>
        <w:numPr>
          <w:ilvl w:val="12"/>
          <w:numId w:val="0"/>
        </w:numPr>
        <w:jc w:val="both"/>
      </w:pPr>
    </w:p>
    <w:p w:rsidR="00BD04E2" w:rsidRPr="00BB0950" w:rsidRDefault="00BD04E2" w:rsidP="00BB0950">
      <w:pPr>
        <w:numPr>
          <w:ilvl w:val="12"/>
          <w:numId w:val="0"/>
        </w:numPr>
        <w:jc w:val="both"/>
      </w:pPr>
    </w:p>
    <w:p w:rsidR="00012172" w:rsidRPr="00BC2A4D" w:rsidRDefault="00012172">
      <w:pPr>
        <w:numPr>
          <w:ilvl w:val="12"/>
          <w:numId w:val="0"/>
        </w:numPr>
        <w:jc w:val="center"/>
        <w:rPr>
          <w:szCs w:val="22"/>
        </w:rPr>
      </w:pPr>
      <w:r w:rsidRPr="00BC2A4D">
        <w:rPr>
          <w:szCs w:val="22"/>
        </w:rPr>
        <w:t>Č</w:t>
      </w:r>
      <w:r>
        <w:rPr>
          <w:szCs w:val="22"/>
          <w:lang w:val="de-DE"/>
        </w:rPr>
        <w:t>lanak</w:t>
      </w:r>
      <w:r w:rsidR="00733344">
        <w:rPr>
          <w:szCs w:val="22"/>
        </w:rPr>
        <w:t xml:space="preserve"> 2</w:t>
      </w:r>
      <w:r w:rsidR="00BD04E2">
        <w:rPr>
          <w:szCs w:val="22"/>
        </w:rPr>
        <w:t>7</w:t>
      </w:r>
      <w:r w:rsidRPr="00BC2A4D">
        <w:rPr>
          <w:szCs w:val="22"/>
        </w:rPr>
        <w:t>.</w:t>
      </w:r>
    </w:p>
    <w:p w:rsidR="00012172" w:rsidRPr="00BC2A4D" w:rsidRDefault="00012172">
      <w:pPr>
        <w:numPr>
          <w:ilvl w:val="12"/>
          <w:numId w:val="0"/>
        </w:numPr>
        <w:jc w:val="both"/>
        <w:rPr>
          <w:szCs w:val="22"/>
        </w:rPr>
      </w:pPr>
      <w:r w:rsidRPr="00BC2A4D">
        <w:rPr>
          <w:szCs w:val="22"/>
        </w:rPr>
        <w:t xml:space="preserve">(1) </w:t>
      </w:r>
      <w:r>
        <w:rPr>
          <w:szCs w:val="22"/>
          <w:lang w:val="de-DE"/>
        </w:rPr>
        <w:t>Povr</w:t>
      </w:r>
      <w:r w:rsidRPr="00BC2A4D">
        <w:rPr>
          <w:szCs w:val="22"/>
        </w:rPr>
        <w:t>š</w:t>
      </w:r>
      <w:r>
        <w:rPr>
          <w:szCs w:val="22"/>
          <w:lang w:val="de-DE"/>
        </w:rPr>
        <w:t>ina</w:t>
      </w:r>
      <w:r w:rsidRPr="00BC2A4D">
        <w:rPr>
          <w:szCs w:val="22"/>
        </w:rPr>
        <w:t xml:space="preserve"> </w:t>
      </w:r>
      <w:r>
        <w:rPr>
          <w:szCs w:val="22"/>
          <w:lang w:val="de-DE"/>
        </w:rPr>
        <w:t>gra</w:t>
      </w:r>
      <w:r w:rsidRPr="00BC2A4D">
        <w:rPr>
          <w:szCs w:val="22"/>
        </w:rPr>
        <w:t>đ</w:t>
      </w:r>
      <w:r>
        <w:rPr>
          <w:szCs w:val="22"/>
          <w:lang w:val="de-DE"/>
        </w:rPr>
        <w:t>evinske</w:t>
      </w:r>
      <w:r w:rsidRPr="00BC2A4D">
        <w:rPr>
          <w:szCs w:val="22"/>
        </w:rPr>
        <w:t xml:space="preserve"> </w:t>
      </w:r>
      <w:r>
        <w:rPr>
          <w:szCs w:val="22"/>
          <w:lang w:val="de-DE"/>
        </w:rPr>
        <w:t>parcele</w:t>
      </w:r>
      <w:r w:rsidRPr="00BC2A4D">
        <w:rPr>
          <w:szCs w:val="22"/>
        </w:rPr>
        <w:t xml:space="preserve"> </w:t>
      </w:r>
      <w:r>
        <w:rPr>
          <w:szCs w:val="22"/>
          <w:lang w:val="de-DE"/>
        </w:rPr>
        <w:t>vi</w:t>
      </w:r>
      <w:r w:rsidRPr="00BC2A4D">
        <w:rPr>
          <w:szCs w:val="22"/>
        </w:rPr>
        <w:t>š</w:t>
      </w:r>
      <w:r>
        <w:rPr>
          <w:szCs w:val="22"/>
          <w:lang w:val="de-DE"/>
        </w:rPr>
        <w:t>estambenih</w:t>
      </w:r>
      <w:r w:rsidRPr="00BC2A4D">
        <w:rPr>
          <w:szCs w:val="22"/>
        </w:rPr>
        <w:t xml:space="preserve"> </w:t>
      </w:r>
      <w:r>
        <w:rPr>
          <w:szCs w:val="22"/>
          <w:lang w:val="de-DE"/>
        </w:rPr>
        <w:t>gra</w:t>
      </w:r>
      <w:r w:rsidRPr="00BC2A4D">
        <w:rPr>
          <w:szCs w:val="22"/>
        </w:rPr>
        <w:t>đ</w:t>
      </w:r>
      <w:r>
        <w:rPr>
          <w:szCs w:val="22"/>
          <w:lang w:val="de-DE"/>
        </w:rPr>
        <w:t>evina</w:t>
      </w:r>
      <w:r w:rsidRPr="00BC2A4D">
        <w:rPr>
          <w:szCs w:val="22"/>
        </w:rPr>
        <w:t xml:space="preserve"> (</w:t>
      </w:r>
      <w:r>
        <w:rPr>
          <w:szCs w:val="22"/>
          <w:lang w:val="de-DE"/>
        </w:rPr>
        <w:t>gradnja</w:t>
      </w:r>
      <w:r w:rsidRPr="00BC2A4D">
        <w:rPr>
          <w:szCs w:val="22"/>
        </w:rPr>
        <w:t xml:space="preserve"> </w:t>
      </w:r>
      <w:r>
        <w:rPr>
          <w:szCs w:val="22"/>
          <w:lang w:val="de-DE"/>
        </w:rPr>
        <w:t>stanova</w:t>
      </w:r>
      <w:r w:rsidRPr="00BC2A4D">
        <w:rPr>
          <w:szCs w:val="22"/>
        </w:rPr>
        <w:t xml:space="preserve"> </w:t>
      </w:r>
      <w:r>
        <w:rPr>
          <w:szCs w:val="22"/>
          <w:lang w:val="de-DE"/>
        </w:rPr>
        <w:t>za</w:t>
      </w:r>
      <w:r w:rsidRPr="00BC2A4D">
        <w:rPr>
          <w:szCs w:val="22"/>
        </w:rPr>
        <w:t xml:space="preserve"> </w:t>
      </w:r>
      <w:r>
        <w:rPr>
          <w:szCs w:val="22"/>
          <w:lang w:val="de-DE"/>
        </w:rPr>
        <w:t>tr</w:t>
      </w:r>
      <w:r w:rsidRPr="00BC2A4D">
        <w:rPr>
          <w:szCs w:val="22"/>
        </w:rPr>
        <w:t>ž</w:t>
      </w:r>
      <w:r>
        <w:rPr>
          <w:szCs w:val="22"/>
          <w:lang w:val="de-DE"/>
        </w:rPr>
        <w:t>i</w:t>
      </w:r>
      <w:r w:rsidRPr="00BC2A4D">
        <w:rPr>
          <w:szCs w:val="22"/>
        </w:rPr>
        <w:t>š</w:t>
      </w:r>
      <w:r>
        <w:rPr>
          <w:szCs w:val="22"/>
          <w:lang w:val="de-DE"/>
        </w:rPr>
        <w:t>te</w:t>
      </w:r>
      <w:r w:rsidRPr="00BC2A4D">
        <w:rPr>
          <w:szCs w:val="22"/>
        </w:rPr>
        <w:t xml:space="preserve">) </w:t>
      </w:r>
      <w:r>
        <w:rPr>
          <w:szCs w:val="22"/>
          <w:lang w:val="de-DE"/>
        </w:rPr>
        <w:t>utvr</w:t>
      </w:r>
      <w:r w:rsidRPr="00BC2A4D">
        <w:rPr>
          <w:szCs w:val="22"/>
        </w:rPr>
        <w:t>đ</w:t>
      </w:r>
      <w:r>
        <w:rPr>
          <w:szCs w:val="22"/>
          <w:lang w:val="de-DE"/>
        </w:rPr>
        <w:t>uje</w:t>
      </w:r>
      <w:r w:rsidRPr="00BC2A4D">
        <w:rPr>
          <w:szCs w:val="22"/>
        </w:rPr>
        <w:t xml:space="preserve"> </w:t>
      </w:r>
      <w:r>
        <w:rPr>
          <w:szCs w:val="22"/>
          <w:lang w:val="de-DE"/>
        </w:rPr>
        <w:t>se</w:t>
      </w:r>
      <w:r w:rsidRPr="00BC2A4D">
        <w:rPr>
          <w:szCs w:val="22"/>
        </w:rPr>
        <w:t xml:space="preserve"> </w:t>
      </w:r>
      <w:r>
        <w:rPr>
          <w:szCs w:val="22"/>
          <w:lang w:val="de-DE"/>
        </w:rPr>
        <w:t>shodno</w:t>
      </w:r>
      <w:r w:rsidRPr="00BC2A4D">
        <w:rPr>
          <w:szCs w:val="22"/>
        </w:rPr>
        <w:t xml:space="preserve"> </w:t>
      </w:r>
      <w:r>
        <w:rPr>
          <w:szCs w:val="22"/>
          <w:lang w:val="de-DE"/>
        </w:rPr>
        <w:t>potrebama</w:t>
      </w:r>
      <w:r w:rsidRPr="00BC2A4D">
        <w:rPr>
          <w:szCs w:val="22"/>
        </w:rPr>
        <w:t xml:space="preserve"> </w:t>
      </w:r>
      <w:r>
        <w:rPr>
          <w:szCs w:val="22"/>
          <w:lang w:val="de-DE"/>
        </w:rPr>
        <w:t>te</w:t>
      </w:r>
      <w:r w:rsidRPr="00BC2A4D">
        <w:rPr>
          <w:szCs w:val="22"/>
        </w:rPr>
        <w:t xml:space="preserve"> </w:t>
      </w:r>
      <w:r>
        <w:rPr>
          <w:szCs w:val="22"/>
          <w:lang w:val="de-DE"/>
        </w:rPr>
        <w:t>gra</w:t>
      </w:r>
      <w:r w:rsidRPr="00BC2A4D">
        <w:rPr>
          <w:szCs w:val="22"/>
        </w:rPr>
        <w:t>đ</w:t>
      </w:r>
      <w:r>
        <w:rPr>
          <w:szCs w:val="22"/>
          <w:lang w:val="de-DE"/>
        </w:rPr>
        <w:t>evine</w:t>
      </w:r>
      <w:r w:rsidRPr="00BC2A4D">
        <w:rPr>
          <w:szCs w:val="22"/>
        </w:rPr>
        <w:t xml:space="preserve"> </w:t>
      </w:r>
      <w:r>
        <w:rPr>
          <w:szCs w:val="22"/>
          <w:lang w:val="de-DE"/>
        </w:rPr>
        <w:t>i</w:t>
      </w:r>
      <w:r w:rsidRPr="00BC2A4D">
        <w:rPr>
          <w:szCs w:val="22"/>
        </w:rPr>
        <w:t xml:space="preserve"> </w:t>
      </w:r>
      <w:r>
        <w:rPr>
          <w:szCs w:val="22"/>
          <w:lang w:val="de-DE"/>
        </w:rPr>
        <w:t>u</w:t>
      </w:r>
      <w:r w:rsidRPr="00BC2A4D">
        <w:rPr>
          <w:szCs w:val="22"/>
        </w:rPr>
        <w:t xml:space="preserve"> </w:t>
      </w:r>
      <w:r>
        <w:rPr>
          <w:szCs w:val="22"/>
          <w:lang w:val="de-DE"/>
        </w:rPr>
        <w:t>pravilu</w:t>
      </w:r>
      <w:r w:rsidRPr="00BC2A4D">
        <w:rPr>
          <w:szCs w:val="22"/>
        </w:rPr>
        <w:t xml:space="preserve"> </w:t>
      </w:r>
      <w:r>
        <w:rPr>
          <w:szCs w:val="22"/>
          <w:lang w:val="de-DE"/>
        </w:rPr>
        <w:t>obuhva</w:t>
      </w:r>
      <w:r w:rsidRPr="00BC2A4D">
        <w:rPr>
          <w:szCs w:val="22"/>
        </w:rPr>
        <w:t>ć</w:t>
      </w:r>
      <w:r>
        <w:rPr>
          <w:szCs w:val="22"/>
          <w:lang w:val="de-DE"/>
        </w:rPr>
        <w:t>a</w:t>
      </w:r>
      <w:r w:rsidRPr="00BC2A4D">
        <w:rPr>
          <w:szCs w:val="22"/>
        </w:rPr>
        <w:t xml:space="preserve"> </w:t>
      </w:r>
      <w:r>
        <w:rPr>
          <w:szCs w:val="22"/>
          <w:lang w:val="de-DE"/>
        </w:rPr>
        <w:t>zemlji</w:t>
      </w:r>
      <w:r w:rsidRPr="00BC2A4D">
        <w:rPr>
          <w:szCs w:val="22"/>
        </w:rPr>
        <w:t>š</w:t>
      </w:r>
      <w:r>
        <w:rPr>
          <w:szCs w:val="22"/>
          <w:lang w:val="de-DE"/>
        </w:rPr>
        <w:t>te</w:t>
      </w:r>
      <w:r w:rsidRPr="00BC2A4D">
        <w:rPr>
          <w:szCs w:val="22"/>
        </w:rPr>
        <w:t xml:space="preserve"> </w:t>
      </w:r>
      <w:r>
        <w:rPr>
          <w:szCs w:val="22"/>
          <w:lang w:val="de-DE"/>
        </w:rPr>
        <w:t>ispod</w:t>
      </w:r>
      <w:r w:rsidRPr="00BC2A4D">
        <w:rPr>
          <w:szCs w:val="22"/>
        </w:rPr>
        <w:t xml:space="preserve"> </w:t>
      </w:r>
      <w:r>
        <w:rPr>
          <w:szCs w:val="22"/>
          <w:lang w:val="de-DE"/>
        </w:rPr>
        <w:t>gra</w:t>
      </w:r>
      <w:r w:rsidRPr="00BC2A4D">
        <w:rPr>
          <w:szCs w:val="22"/>
        </w:rPr>
        <w:t>đ</w:t>
      </w:r>
      <w:r>
        <w:rPr>
          <w:szCs w:val="22"/>
          <w:lang w:val="de-DE"/>
        </w:rPr>
        <w:t>evine</w:t>
      </w:r>
      <w:r w:rsidRPr="00BC2A4D">
        <w:rPr>
          <w:szCs w:val="22"/>
        </w:rPr>
        <w:t xml:space="preserve"> </w:t>
      </w:r>
      <w:r>
        <w:rPr>
          <w:szCs w:val="22"/>
          <w:lang w:val="de-DE"/>
        </w:rPr>
        <w:t>i</w:t>
      </w:r>
      <w:r w:rsidRPr="00BC2A4D">
        <w:rPr>
          <w:szCs w:val="22"/>
        </w:rPr>
        <w:t xml:space="preserve"> </w:t>
      </w:r>
      <w:r>
        <w:rPr>
          <w:szCs w:val="22"/>
          <w:lang w:val="de-DE"/>
        </w:rPr>
        <w:t>zemlji</w:t>
      </w:r>
      <w:r w:rsidRPr="00BC2A4D">
        <w:rPr>
          <w:szCs w:val="22"/>
        </w:rPr>
        <w:t>š</w:t>
      </w:r>
      <w:r>
        <w:rPr>
          <w:szCs w:val="22"/>
          <w:lang w:val="de-DE"/>
        </w:rPr>
        <w:t>te</w:t>
      </w:r>
      <w:r w:rsidRPr="00BC2A4D">
        <w:rPr>
          <w:szCs w:val="22"/>
        </w:rPr>
        <w:t xml:space="preserve"> </w:t>
      </w:r>
      <w:r>
        <w:rPr>
          <w:szCs w:val="22"/>
          <w:lang w:val="de-DE"/>
        </w:rPr>
        <w:t>potrebno</w:t>
      </w:r>
      <w:r w:rsidRPr="00BC2A4D">
        <w:rPr>
          <w:szCs w:val="22"/>
        </w:rPr>
        <w:t xml:space="preserve"> </w:t>
      </w:r>
      <w:r>
        <w:rPr>
          <w:szCs w:val="22"/>
          <w:lang w:val="de-DE"/>
        </w:rPr>
        <w:t>za</w:t>
      </w:r>
      <w:r w:rsidRPr="00BC2A4D">
        <w:rPr>
          <w:szCs w:val="22"/>
        </w:rPr>
        <w:t xml:space="preserve"> </w:t>
      </w:r>
      <w:r>
        <w:rPr>
          <w:szCs w:val="22"/>
          <w:lang w:val="de-DE"/>
        </w:rPr>
        <w:t>redovitu</w:t>
      </w:r>
      <w:r w:rsidRPr="00BC2A4D">
        <w:rPr>
          <w:szCs w:val="22"/>
        </w:rPr>
        <w:t xml:space="preserve"> </w:t>
      </w:r>
      <w:r>
        <w:rPr>
          <w:szCs w:val="22"/>
          <w:lang w:val="de-DE"/>
        </w:rPr>
        <w:t>upotrebu</w:t>
      </w:r>
      <w:r w:rsidRPr="00BC2A4D">
        <w:rPr>
          <w:szCs w:val="22"/>
        </w:rPr>
        <w:t xml:space="preserve"> </w:t>
      </w:r>
      <w:r>
        <w:rPr>
          <w:szCs w:val="22"/>
          <w:lang w:val="de-DE"/>
        </w:rPr>
        <w:t>gra</w:t>
      </w:r>
      <w:r w:rsidRPr="00BC2A4D">
        <w:rPr>
          <w:szCs w:val="22"/>
        </w:rPr>
        <w:t>đ</w:t>
      </w:r>
      <w:r>
        <w:rPr>
          <w:szCs w:val="22"/>
          <w:lang w:val="de-DE"/>
        </w:rPr>
        <w:t>evine</w:t>
      </w:r>
      <w:r w:rsidRPr="00BC2A4D">
        <w:rPr>
          <w:szCs w:val="22"/>
        </w:rPr>
        <w:t>.</w:t>
      </w:r>
    </w:p>
    <w:p w:rsidR="00012172" w:rsidRPr="00BC2A4D" w:rsidRDefault="00012172">
      <w:pPr>
        <w:numPr>
          <w:ilvl w:val="12"/>
          <w:numId w:val="0"/>
        </w:numPr>
        <w:jc w:val="both"/>
        <w:rPr>
          <w:szCs w:val="22"/>
        </w:rPr>
      </w:pPr>
    </w:p>
    <w:p w:rsidR="00012172" w:rsidRPr="00BC2A4D" w:rsidRDefault="00012172">
      <w:pPr>
        <w:numPr>
          <w:ilvl w:val="12"/>
          <w:numId w:val="0"/>
        </w:numPr>
        <w:jc w:val="both"/>
        <w:rPr>
          <w:szCs w:val="22"/>
        </w:rPr>
      </w:pPr>
      <w:r w:rsidRPr="00BC2A4D">
        <w:rPr>
          <w:szCs w:val="22"/>
        </w:rPr>
        <w:t xml:space="preserve">(2) </w:t>
      </w:r>
      <w:r>
        <w:rPr>
          <w:szCs w:val="22"/>
          <w:lang w:val="de-DE"/>
        </w:rPr>
        <w:t>Povr</w:t>
      </w:r>
      <w:r w:rsidRPr="00BC2A4D">
        <w:rPr>
          <w:szCs w:val="22"/>
        </w:rPr>
        <w:t>š</w:t>
      </w:r>
      <w:r>
        <w:rPr>
          <w:szCs w:val="22"/>
          <w:lang w:val="de-DE"/>
        </w:rPr>
        <w:t>ina</w:t>
      </w:r>
      <w:r w:rsidRPr="00BC2A4D">
        <w:rPr>
          <w:szCs w:val="22"/>
        </w:rPr>
        <w:t xml:space="preserve"> </w:t>
      </w:r>
      <w:r>
        <w:rPr>
          <w:szCs w:val="22"/>
          <w:lang w:val="de-DE"/>
        </w:rPr>
        <w:t>gra</w:t>
      </w:r>
      <w:r w:rsidRPr="00BC2A4D">
        <w:rPr>
          <w:szCs w:val="22"/>
        </w:rPr>
        <w:t>đ</w:t>
      </w:r>
      <w:r>
        <w:rPr>
          <w:szCs w:val="22"/>
          <w:lang w:val="de-DE"/>
        </w:rPr>
        <w:t>evinske</w:t>
      </w:r>
      <w:r w:rsidRPr="00BC2A4D">
        <w:rPr>
          <w:szCs w:val="22"/>
        </w:rPr>
        <w:t xml:space="preserve"> </w:t>
      </w:r>
      <w:r>
        <w:rPr>
          <w:szCs w:val="22"/>
          <w:lang w:val="de-DE"/>
        </w:rPr>
        <w:t>parcele</w:t>
      </w:r>
      <w:r w:rsidRPr="00BC2A4D">
        <w:rPr>
          <w:szCs w:val="22"/>
        </w:rPr>
        <w:t xml:space="preserve"> </w:t>
      </w:r>
      <w:r>
        <w:rPr>
          <w:szCs w:val="22"/>
          <w:lang w:val="de-DE"/>
        </w:rPr>
        <w:t>iz</w:t>
      </w:r>
      <w:r w:rsidRPr="00BC2A4D">
        <w:rPr>
          <w:szCs w:val="22"/>
        </w:rPr>
        <w:t xml:space="preserve"> </w:t>
      </w:r>
      <w:r>
        <w:rPr>
          <w:szCs w:val="22"/>
          <w:lang w:val="de-DE"/>
        </w:rPr>
        <w:t>prethodnog</w:t>
      </w:r>
      <w:r w:rsidRPr="00BC2A4D">
        <w:rPr>
          <w:szCs w:val="22"/>
        </w:rPr>
        <w:t xml:space="preserve"> </w:t>
      </w:r>
      <w:r>
        <w:rPr>
          <w:szCs w:val="22"/>
          <w:lang w:val="de-DE"/>
        </w:rPr>
        <w:t>stavka</w:t>
      </w:r>
      <w:r w:rsidRPr="00BC2A4D">
        <w:rPr>
          <w:szCs w:val="22"/>
        </w:rPr>
        <w:t xml:space="preserve"> </w:t>
      </w:r>
      <w:r>
        <w:rPr>
          <w:szCs w:val="22"/>
          <w:lang w:val="de-DE"/>
        </w:rPr>
        <w:t>odre</w:t>
      </w:r>
      <w:r w:rsidRPr="00BC2A4D">
        <w:rPr>
          <w:szCs w:val="22"/>
        </w:rPr>
        <w:t>đ</w:t>
      </w:r>
      <w:r>
        <w:rPr>
          <w:szCs w:val="22"/>
          <w:lang w:val="de-DE"/>
        </w:rPr>
        <w:t>uje</w:t>
      </w:r>
      <w:r w:rsidRPr="00BC2A4D">
        <w:rPr>
          <w:szCs w:val="22"/>
        </w:rPr>
        <w:t xml:space="preserve"> </w:t>
      </w:r>
      <w:r>
        <w:rPr>
          <w:szCs w:val="22"/>
          <w:lang w:val="de-DE"/>
        </w:rPr>
        <w:t>se</w:t>
      </w:r>
      <w:r w:rsidRPr="00BC2A4D">
        <w:rPr>
          <w:szCs w:val="22"/>
        </w:rPr>
        <w:t xml:space="preserve"> </w:t>
      </w:r>
      <w:r>
        <w:rPr>
          <w:szCs w:val="22"/>
          <w:lang w:val="de-DE"/>
        </w:rPr>
        <w:t>za</w:t>
      </w:r>
      <w:r w:rsidRPr="00BC2A4D">
        <w:rPr>
          <w:szCs w:val="22"/>
        </w:rPr>
        <w:t xml:space="preserve"> </w:t>
      </w:r>
      <w:r>
        <w:rPr>
          <w:szCs w:val="22"/>
          <w:lang w:val="de-DE"/>
        </w:rPr>
        <w:t>svaku</w:t>
      </w:r>
      <w:r w:rsidRPr="00BC2A4D">
        <w:rPr>
          <w:szCs w:val="22"/>
        </w:rPr>
        <w:t xml:space="preserve"> </w:t>
      </w:r>
      <w:r>
        <w:rPr>
          <w:szCs w:val="22"/>
          <w:lang w:val="de-DE"/>
        </w:rPr>
        <w:t>pojedina</w:t>
      </w:r>
      <w:r w:rsidRPr="00BC2A4D">
        <w:rPr>
          <w:szCs w:val="22"/>
        </w:rPr>
        <w:t>č</w:t>
      </w:r>
      <w:r>
        <w:rPr>
          <w:szCs w:val="22"/>
          <w:lang w:val="de-DE"/>
        </w:rPr>
        <w:t>nu</w:t>
      </w:r>
      <w:r w:rsidRPr="00BC2A4D">
        <w:rPr>
          <w:szCs w:val="22"/>
        </w:rPr>
        <w:t xml:space="preserve"> </w:t>
      </w:r>
      <w:r>
        <w:rPr>
          <w:szCs w:val="22"/>
          <w:lang w:val="de-DE"/>
        </w:rPr>
        <w:t>gra</w:t>
      </w:r>
      <w:r w:rsidRPr="00BC2A4D">
        <w:rPr>
          <w:szCs w:val="22"/>
        </w:rPr>
        <w:t>đ</w:t>
      </w:r>
      <w:r>
        <w:rPr>
          <w:szCs w:val="22"/>
          <w:lang w:val="de-DE"/>
        </w:rPr>
        <w:t>evinu</w:t>
      </w:r>
      <w:r w:rsidRPr="00BC2A4D">
        <w:rPr>
          <w:szCs w:val="22"/>
        </w:rPr>
        <w:t xml:space="preserve">, </w:t>
      </w:r>
      <w:r>
        <w:rPr>
          <w:szCs w:val="22"/>
          <w:lang w:val="de-DE"/>
        </w:rPr>
        <w:t>a</w:t>
      </w:r>
      <w:r w:rsidRPr="00BC2A4D">
        <w:rPr>
          <w:szCs w:val="22"/>
        </w:rPr>
        <w:t xml:space="preserve"> </w:t>
      </w:r>
      <w:r>
        <w:rPr>
          <w:szCs w:val="22"/>
          <w:lang w:val="de-DE"/>
        </w:rPr>
        <w:t>temeljem</w:t>
      </w:r>
      <w:r w:rsidRPr="00BC2A4D">
        <w:rPr>
          <w:szCs w:val="22"/>
        </w:rPr>
        <w:t xml:space="preserve"> </w:t>
      </w:r>
      <w:r>
        <w:rPr>
          <w:szCs w:val="22"/>
          <w:lang w:val="de-DE"/>
        </w:rPr>
        <w:t>prijedloga</w:t>
      </w:r>
      <w:r w:rsidRPr="00BC2A4D">
        <w:rPr>
          <w:szCs w:val="22"/>
        </w:rPr>
        <w:t xml:space="preserve"> </w:t>
      </w:r>
      <w:r>
        <w:rPr>
          <w:szCs w:val="22"/>
          <w:lang w:val="de-DE"/>
        </w:rPr>
        <w:t>idejnog</w:t>
      </w:r>
      <w:r w:rsidRPr="00BC2A4D">
        <w:rPr>
          <w:szCs w:val="22"/>
        </w:rPr>
        <w:t xml:space="preserve"> </w:t>
      </w:r>
      <w:r>
        <w:rPr>
          <w:szCs w:val="22"/>
          <w:lang w:val="de-DE"/>
        </w:rPr>
        <w:t>rje</w:t>
      </w:r>
      <w:r w:rsidRPr="00BC2A4D">
        <w:rPr>
          <w:szCs w:val="22"/>
        </w:rPr>
        <w:t>š</w:t>
      </w:r>
      <w:r>
        <w:rPr>
          <w:szCs w:val="22"/>
          <w:lang w:val="de-DE"/>
        </w:rPr>
        <w:t>enja</w:t>
      </w:r>
      <w:r w:rsidRPr="00BC2A4D">
        <w:rPr>
          <w:szCs w:val="22"/>
        </w:rPr>
        <w:t xml:space="preserve"> </w:t>
      </w:r>
      <w:r>
        <w:rPr>
          <w:szCs w:val="22"/>
          <w:lang w:val="de-DE"/>
        </w:rPr>
        <w:t>za</w:t>
      </w:r>
      <w:r w:rsidRPr="00BC2A4D">
        <w:rPr>
          <w:szCs w:val="22"/>
        </w:rPr>
        <w:t xml:space="preserve"> </w:t>
      </w:r>
      <w:r>
        <w:rPr>
          <w:szCs w:val="22"/>
          <w:lang w:val="de-DE"/>
        </w:rPr>
        <w:t>izdavanje</w:t>
      </w:r>
      <w:r w:rsidRPr="00BC2A4D">
        <w:rPr>
          <w:szCs w:val="22"/>
        </w:rPr>
        <w:t xml:space="preserve"> </w:t>
      </w:r>
      <w:r>
        <w:rPr>
          <w:szCs w:val="22"/>
          <w:lang w:val="de-DE"/>
        </w:rPr>
        <w:t>lokacijske</w:t>
      </w:r>
      <w:r w:rsidRPr="00BC2A4D">
        <w:rPr>
          <w:szCs w:val="22"/>
        </w:rPr>
        <w:t xml:space="preserve"> </w:t>
      </w:r>
      <w:r>
        <w:rPr>
          <w:szCs w:val="22"/>
          <w:lang w:val="de-DE"/>
        </w:rPr>
        <w:t>dozvole</w:t>
      </w:r>
      <w:r w:rsidRPr="00BC2A4D">
        <w:rPr>
          <w:szCs w:val="22"/>
        </w:rPr>
        <w:t>.</w:t>
      </w:r>
    </w:p>
    <w:p w:rsidR="00012172" w:rsidRPr="00BC2A4D" w:rsidRDefault="00012172">
      <w:pPr>
        <w:numPr>
          <w:ilvl w:val="12"/>
          <w:numId w:val="0"/>
        </w:numPr>
        <w:jc w:val="both"/>
        <w:rPr>
          <w:szCs w:val="22"/>
        </w:rPr>
      </w:pPr>
    </w:p>
    <w:p w:rsidR="00012172" w:rsidRPr="00BC2A4D" w:rsidRDefault="00012172">
      <w:pPr>
        <w:numPr>
          <w:ilvl w:val="12"/>
          <w:numId w:val="0"/>
        </w:numPr>
        <w:jc w:val="both"/>
        <w:rPr>
          <w:szCs w:val="22"/>
        </w:rPr>
      </w:pPr>
      <w:r w:rsidRPr="00BC2A4D">
        <w:rPr>
          <w:szCs w:val="22"/>
        </w:rPr>
        <w:t xml:space="preserve">(3) </w:t>
      </w:r>
      <w:r>
        <w:rPr>
          <w:szCs w:val="22"/>
          <w:lang w:val="de-DE"/>
        </w:rPr>
        <w:t>Za</w:t>
      </w:r>
      <w:r w:rsidRPr="00BC2A4D">
        <w:rPr>
          <w:szCs w:val="22"/>
        </w:rPr>
        <w:t xml:space="preserve"> </w:t>
      </w:r>
      <w:r>
        <w:rPr>
          <w:szCs w:val="22"/>
          <w:lang w:val="de-DE"/>
        </w:rPr>
        <w:t>ovu</w:t>
      </w:r>
      <w:r w:rsidRPr="00BC2A4D">
        <w:rPr>
          <w:szCs w:val="22"/>
        </w:rPr>
        <w:t xml:space="preserve"> </w:t>
      </w:r>
      <w:r>
        <w:rPr>
          <w:szCs w:val="22"/>
          <w:lang w:val="de-DE"/>
        </w:rPr>
        <w:t>vrstu</w:t>
      </w:r>
      <w:r w:rsidRPr="00BC2A4D">
        <w:rPr>
          <w:szCs w:val="22"/>
        </w:rPr>
        <w:t xml:space="preserve"> </w:t>
      </w:r>
      <w:r>
        <w:rPr>
          <w:szCs w:val="22"/>
          <w:lang w:val="de-DE"/>
        </w:rPr>
        <w:t>gra</w:t>
      </w:r>
      <w:r w:rsidRPr="00BC2A4D">
        <w:rPr>
          <w:szCs w:val="22"/>
        </w:rPr>
        <w:t>đ</w:t>
      </w:r>
      <w:r>
        <w:rPr>
          <w:szCs w:val="22"/>
          <w:lang w:val="de-DE"/>
        </w:rPr>
        <w:t>evina</w:t>
      </w:r>
      <w:r w:rsidRPr="00BC2A4D">
        <w:rPr>
          <w:szCs w:val="22"/>
        </w:rPr>
        <w:t xml:space="preserve"> </w:t>
      </w:r>
      <w:r>
        <w:rPr>
          <w:szCs w:val="22"/>
          <w:lang w:val="de-DE"/>
        </w:rPr>
        <w:t>vrijede</w:t>
      </w:r>
      <w:r w:rsidRPr="00BC2A4D">
        <w:rPr>
          <w:szCs w:val="22"/>
        </w:rPr>
        <w:t xml:space="preserve"> </w:t>
      </w:r>
      <w:r>
        <w:rPr>
          <w:szCs w:val="22"/>
          <w:lang w:val="de-DE"/>
        </w:rPr>
        <w:t>sve</w:t>
      </w:r>
      <w:r w:rsidRPr="00BC2A4D">
        <w:rPr>
          <w:szCs w:val="22"/>
        </w:rPr>
        <w:t xml:space="preserve"> </w:t>
      </w:r>
      <w:r>
        <w:rPr>
          <w:szCs w:val="22"/>
          <w:lang w:val="de-DE"/>
        </w:rPr>
        <w:t>odredbe</w:t>
      </w:r>
      <w:r w:rsidRPr="00BC2A4D">
        <w:rPr>
          <w:szCs w:val="22"/>
        </w:rPr>
        <w:t xml:space="preserve"> </w:t>
      </w:r>
      <w:r>
        <w:rPr>
          <w:szCs w:val="22"/>
          <w:lang w:val="de-DE"/>
        </w:rPr>
        <w:t>propisane</w:t>
      </w:r>
      <w:r w:rsidRPr="00BC2A4D">
        <w:rPr>
          <w:szCs w:val="22"/>
        </w:rPr>
        <w:t xml:space="preserve"> </w:t>
      </w:r>
      <w:r>
        <w:rPr>
          <w:szCs w:val="22"/>
          <w:lang w:val="de-DE"/>
        </w:rPr>
        <w:t>za</w:t>
      </w:r>
      <w:r w:rsidRPr="00BC2A4D">
        <w:rPr>
          <w:szCs w:val="22"/>
        </w:rPr>
        <w:t xml:space="preserve"> </w:t>
      </w:r>
      <w:r>
        <w:rPr>
          <w:szCs w:val="22"/>
          <w:lang w:val="de-DE"/>
        </w:rPr>
        <w:t>gradnju</w:t>
      </w:r>
      <w:r w:rsidRPr="00BC2A4D">
        <w:rPr>
          <w:szCs w:val="22"/>
        </w:rPr>
        <w:t xml:space="preserve"> </w:t>
      </w:r>
      <w:r>
        <w:rPr>
          <w:szCs w:val="22"/>
          <w:lang w:val="de-DE"/>
        </w:rPr>
        <w:t>stambenih</w:t>
      </w:r>
      <w:r w:rsidRPr="00BC2A4D">
        <w:rPr>
          <w:szCs w:val="22"/>
        </w:rPr>
        <w:t xml:space="preserve"> </w:t>
      </w:r>
      <w:r>
        <w:rPr>
          <w:szCs w:val="22"/>
          <w:lang w:val="de-DE"/>
        </w:rPr>
        <w:t>gra</w:t>
      </w:r>
      <w:r w:rsidRPr="00BC2A4D">
        <w:rPr>
          <w:szCs w:val="22"/>
        </w:rPr>
        <w:t>đ</w:t>
      </w:r>
      <w:r>
        <w:rPr>
          <w:szCs w:val="22"/>
          <w:lang w:val="de-DE"/>
        </w:rPr>
        <w:t>evina</w:t>
      </w:r>
      <w:r w:rsidRPr="00BC2A4D">
        <w:rPr>
          <w:szCs w:val="22"/>
        </w:rPr>
        <w:t xml:space="preserve">, </w:t>
      </w:r>
      <w:r>
        <w:rPr>
          <w:szCs w:val="22"/>
          <w:lang w:val="de-DE"/>
        </w:rPr>
        <w:t>iz</w:t>
      </w:r>
      <w:r w:rsidRPr="00BC2A4D">
        <w:rPr>
          <w:szCs w:val="22"/>
        </w:rPr>
        <w:t xml:space="preserve"> </w:t>
      </w:r>
      <w:r>
        <w:rPr>
          <w:szCs w:val="22"/>
          <w:lang w:val="de-DE"/>
        </w:rPr>
        <w:t>ovog</w:t>
      </w:r>
      <w:r w:rsidRPr="00BC2A4D">
        <w:rPr>
          <w:szCs w:val="22"/>
        </w:rPr>
        <w:t xml:space="preserve"> </w:t>
      </w:r>
      <w:r>
        <w:rPr>
          <w:szCs w:val="22"/>
          <w:lang w:val="de-DE"/>
        </w:rPr>
        <w:t>plana</w:t>
      </w:r>
      <w:r w:rsidRPr="00BC2A4D">
        <w:rPr>
          <w:szCs w:val="22"/>
        </w:rPr>
        <w:t xml:space="preserve">, </w:t>
      </w:r>
      <w:r>
        <w:rPr>
          <w:szCs w:val="22"/>
          <w:lang w:val="de-DE"/>
        </w:rPr>
        <w:t>koje</w:t>
      </w:r>
      <w:r w:rsidRPr="00BC2A4D">
        <w:rPr>
          <w:szCs w:val="22"/>
        </w:rPr>
        <w:t xml:space="preserve"> </w:t>
      </w:r>
      <w:r>
        <w:rPr>
          <w:szCs w:val="22"/>
          <w:lang w:val="de-DE"/>
        </w:rPr>
        <w:t>se</w:t>
      </w:r>
      <w:r w:rsidRPr="00BC2A4D">
        <w:rPr>
          <w:szCs w:val="22"/>
        </w:rPr>
        <w:t xml:space="preserve"> </w:t>
      </w:r>
      <w:r>
        <w:rPr>
          <w:szCs w:val="22"/>
          <w:lang w:val="de-DE"/>
        </w:rPr>
        <w:t>odnose</w:t>
      </w:r>
      <w:r w:rsidRPr="00BC2A4D">
        <w:rPr>
          <w:szCs w:val="22"/>
        </w:rPr>
        <w:t xml:space="preserve"> </w:t>
      </w:r>
      <w:r>
        <w:rPr>
          <w:szCs w:val="22"/>
          <w:lang w:val="de-DE"/>
        </w:rPr>
        <w:t>na</w:t>
      </w:r>
      <w:r w:rsidRPr="00BC2A4D">
        <w:rPr>
          <w:szCs w:val="22"/>
        </w:rPr>
        <w:t xml:space="preserve"> </w:t>
      </w:r>
      <w:r>
        <w:rPr>
          <w:szCs w:val="22"/>
          <w:lang w:val="de-DE"/>
        </w:rPr>
        <w:t>udaljenosti</w:t>
      </w:r>
      <w:r w:rsidRPr="00BC2A4D">
        <w:rPr>
          <w:szCs w:val="22"/>
        </w:rPr>
        <w:t xml:space="preserve"> </w:t>
      </w:r>
      <w:r>
        <w:rPr>
          <w:szCs w:val="22"/>
          <w:lang w:val="de-DE"/>
        </w:rPr>
        <w:t>od</w:t>
      </w:r>
      <w:r w:rsidRPr="00BC2A4D">
        <w:rPr>
          <w:szCs w:val="22"/>
        </w:rPr>
        <w:t xml:space="preserve"> </w:t>
      </w:r>
      <w:r>
        <w:rPr>
          <w:szCs w:val="22"/>
          <w:lang w:val="de-DE"/>
        </w:rPr>
        <w:t>regulacione</w:t>
      </w:r>
      <w:r w:rsidRPr="00BC2A4D">
        <w:rPr>
          <w:szCs w:val="22"/>
        </w:rPr>
        <w:t xml:space="preserve"> </w:t>
      </w:r>
      <w:r>
        <w:rPr>
          <w:szCs w:val="22"/>
          <w:lang w:val="de-DE"/>
        </w:rPr>
        <w:t>linije</w:t>
      </w:r>
      <w:r w:rsidRPr="00BC2A4D">
        <w:rPr>
          <w:szCs w:val="22"/>
        </w:rPr>
        <w:t xml:space="preserve">, </w:t>
      </w:r>
      <w:r>
        <w:rPr>
          <w:szCs w:val="22"/>
          <w:lang w:val="de-DE"/>
        </w:rPr>
        <w:t>udaljenost</w:t>
      </w:r>
      <w:r w:rsidRPr="00BC2A4D">
        <w:rPr>
          <w:szCs w:val="22"/>
        </w:rPr>
        <w:t xml:space="preserve"> </w:t>
      </w:r>
      <w:r>
        <w:rPr>
          <w:szCs w:val="22"/>
          <w:lang w:val="de-DE"/>
        </w:rPr>
        <w:t>od</w:t>
      </w:r>
      <w:r w:rsidRPr="00BC2A4D">
        <w:rPr>
          <w:szCs w:val="22"/>
        </w:rPr>
        <w:t xml:space="preserve"> </w:t>
      </w:r>
      <w:r>
        <w:rPr>
          <w:szCs w:val="22"/>
          <w:lang w:val="de-DE"/>
        </w:rPr>
        <w:t>me</w:t>
      </w:r>
      <w:r w:rsidRPr="00BC2A4D">
        <w:rPr>
          <w:szCs w:val="22"/>
        </w:rPr>
        <w:t>đ</w:t>
      </w:r>
      <w:r>
        <w:rPr>
          <w:szCs w:val="22"/>
          <w:lang w:val="de-DE"/>
        </w:rPr>
        <w:t>e</w:t>
      </w:r>
      <w:r w:rsidRPr="00BC2A4D">
        <w:rPr>
          <w:szCs w:val="22"/>
        </w:rPr>
        <w:t xml:space="preserve">, </w:t>
      </w:r>
      <w:r>
        <w:rPr>
          <w:szCs w:val="22"/>
          <w:lang w:val="de-DE"/>
        </w:rPr>
        <w:t>koeficijent</w:t>
      </w:r>
      <w:r w:rsidRPr="00BC2A4D">
        <w:rPr>
          <w:szCs w:val="22"/>
        </w:rPr>
        <w:t xml:space="preserve"> </w:t>
      </w:r>
      <w:r>
        <w:rPr>
          <w:szCs w:val="22"/>
          <w:lang w:val="de-DE"/>
        </w:rPr>
        <w:t>izgra</w:t>
      </w:r>
      <w:r w:rsidRPr="00BC2A4D">
        <w:rPr>
          <w:szCs w:val="22"/>
        </w:rPr>
        <w:t>đ</w:t>
      </w:r>
      <w:r>
        <w:rPr>
          <w:szCs w:val="22"/>
          <w:lang w:val="de-DE"/>
        </w:rPr>
        <w:t>enosti</w:t>
      </w:r>
      <w:r w:rsidRPr="00BC2A4D">
        <w:rPr>
          <w:szCs w:val="22"/>
        </w:rPr>
        <w:t xml:space="preserve"> (</w:t>
      </w:r>
      <w:r>
        <w:rPr>
          <w:szCs w:val="22"/>
          <w:lang w:val="de-DE"/>
        </w:rPr>
        <w:t>kig</w:t>
      </w:r>
      <w:r w:rsidRPr="00BC2A4D">
        <w:rPr>
          <w:szCs w:val="22"/>
        </w:rPr>
        <w:t xml:space="preserve">), </w:t>
      </w:r>
      <w:r>
        <w:rPr>
          <w:szCs w:val="22"/>
          <w:lang w:val="de-DE"/>
        </w:rPr>
        <w:t>visinu</w:t>
      </w:r>
      <w:r w:rsidRPr="00BC2A4D">
        <w:rPr>
          <w:szCs w:val="22"/>
        </w:rPr>
        <w:t xml:space="preserve">, </w:t>
      </w:r>
      <w:r>
        <w:rPr>
          <w:szCs w:val="22"/>
          <w:lang w:val="de-DE"/>
        </w:rPr>
        <w:t>katnost</w:t>
      </w:r>
      <w:r w:rsidRPr="00BC2A4D">
        <w:rPr>
          <w:szCs w:val="22"/>
        </w:rPr>
        <w:t xml:space="preserve">, </w:t>
      </w:r>
      <w:r>
        <w:rPr>
          <w:szCs w:val="22"/>
          <w:lang w:val="de-DE"/>
        </w:rPr>
        <w:t>broj</w:t>
      </w:r>
      <w:r w:rsidRPr="00BC2A4D">
        <w:rPr>
          <w:szCs w:val="22"/>
        </w:rPr>
        <w:t xml:space="preserve"> </w:t>
      </w:r>
      <w:r>
        <w:rPr>
          <w:szCs w:val="22"/>
          <w:lang w:val="de-DE"/>
        </w:rPr>
        <w:t>gara</w:t>
      </w:r>
      <w:r w:rsidRPr="00BC2A4D">
        <w:rPr>
          <w:szCs w:val="22"/>
        </w:rPr>
        <w:t>ž</w:t>
      </w:r>
      <w:r>
        <w:rPr>
          <w:szCs w:val="22"/>
          <w:lang w:val="de-DE"/>
        </w:rPr>
        <w:t>no</w:t>
      </w:r>
      <w:r w:rsidRPr="00BC2A4D">
        <w:rPr>
          <w:szCs w:val="22"/>
        </w:rPr>
        <w:t>-</w:t>
      </w:r>
      <w:r>
        <w:rPr>
          <w:szCs w:val="22"/>
          <w:lang w:val="de-DE"/>
        </w:rPr>
        <w:t>parkirali</w:t>
      </w:r>
      <w:r w:rsidRPr="00BC2A4D">
        <w:rPr>
          <w:szCs w:val="22"/>
        </w:rPr>
        <w:t>š</w:t>
      </w:r>
      <w:r>
        <w:rPr>
          <w:szCs w:val="22"/>
          <w:lang w:val="de-DE"/>
        </w:rPr>
        <w:t>nih</w:t>
      </w:r>
      <w:r w:rsidRPr="00BC2A4D">
        <w:rPr>
          <w:szCs w:val="22"/>
        </w:rPr>
        <w:t xml:space="preserve"> </w:t>
      </w:r>
      <w:r>
        <w:rPr>
          <w:szCs w:val="22"/>
          <w:lang w:val="de-DE"/>
        </w:rPr>
        <w:t>mjesta</w:t>
      </w:r>
      <w:r w:rsidRPr="00BC2A4D">
        <w:rPr>
          <w:szCs w:val="22"/>
        </w:rPr>
        <w:t xml:space="preserve"> </w:t>
      </w:r>
      <w:r>
        <w:rPr>
          <w:szCs w:val="22"/>
          <w:lang w:val="de-DE"/>
        </w:rPr>
        <w:t>i</w:t>
      </w:r>
      <w:r w:rsidRPr="00BC2A4D">
        <w:rPr>
          <w:szCs w:val="22"/>
        </w:rPr>
        <w:t xml:space="preserve"> </w:t>
      </w:r>
      <w:r>
        <w:rPr>
          <w:szCs w:val="22"/>
          <w:lang w:val="de-DE"/>
        </w:rPr>
        <w:t>drugo</w:t>
      </w:r>
      <w:r w:rsidRPr="00BC2A4D">
        <w:rPr>
          <w:szCs w:val="22"/>
        </w:rPr>
        <w:t>.</w:t>
      </w:r>
    </w:p>
    <w:p w:rsidR="00012172" w:rsidRPr="00BC2A4D" w:rsidRDefault="00012172">
      <w:pPr>
        <w:numPr>
          <w:ilvl w:val="12"/>
          <w:numId w:val="0"/>
        </w:numPr>
      </w:pPr>
    </w:p>
    <w:p w:rsidR="00012172" w:rsidRPr="00BC2A4D" w:rsidRDefault="00012172">
      <w:pPr>
        <w:numPr>
          <w:ilvl w:val="12"/>
          <w:numId w:val="0"/>
        </w:numPr>
      </w:pPr>
    </w:p>
    <w:p w:rsidR="00012172" w:rsidRPr="00BC2A4D" w:rsidRDefault="00012172">
      <w:pPr>
        <w:numPr>
          <w:ilvl w:val="12"/>
          <w:numId w:val="0"/>
        </w:numPr>
        <w:jc w:val="center"/>
        <w:rPr>
          <w:szCs w:val="22"/>
        </w:rPr>
      </w:pPr>
      <w:r w:rsidRPr="00BC2A4D">
        <w:rPr>
          <w:szCs w:val="22"/>
        </w:rPr>
        <w:t>Č</w:t>
      </w:r>
      <w:r>
        <w:rPr>
          <w:szCs w:val="22"/>
          <w:lang w:val="de-DE"/>
        </w:rPr>
        <w:t>lanak</w:t>
      </w:r>
      <w:r w:rsidRPr="00BC2A4D">
        <w:rPr>
          <w:szCs w:val="22"/>
        </w:rPr>
        <w:t xml:space="preserve"> 28.</w:t>
      </w:r>
    </w:p>
    <w:p w:rsidR="00012172" w:rsidRPr="00BC2A4D" w:rsidRDefault="00012172">
      <w:pPr>
        <w:numPr>
          <w:ilvl w:val="12"/>
          <w:numId w:val="0"/>
        </w:numPr>
        <w:jc w:val="both"/>
        <w:rPr>
          <w:szCs w:val="22"/>
        </w:rPr>
      </w:pPr>
      <w:r w:rsidRPr="00BC2A4D">
        <w:rPr>
          <w:szCs w:val="22"/>
        </w:rPr>
        <w:t xml:space="preserve">(1) </w:t>
      </w:r>
      <w:r>
        <w:rPr>
          <w:szCs w:val="22"/>
          <w:lang w:val="de-DE"/>
        </w:rPr>
        <w:t>U</w:t>
      </w:r>
      <w:r w:rsidRPr="00BC2A4D">
        <w:rPr>
          <w:szCs w:val="22"/>
        </w:rPr>
        <w:t xml:space="preserve"> </w:t>
      </w:r>
      <w:r>
        <w:rPr>
          <w:szCs w:val="22"/>
          <w:lang w:val="de-DE"/>
        </w:rPr>
        <w:t>postupku</w:t>
      </w:r>
      <w:r w:rsidRPr="00BC2A4D">
        <w:rPr>
          <w:szCs w:val="22"/>
        </w:rPr>
        <w:t xml:space="preserve"> </w:t>
      </w:r>
      <w:r>
        <w:rPr>
          <w:szCs w:val="22"/>
          <w:lang w:val="de-DE"/>
        </w:rPr>
        <w:t>mogu</w:t>
      </w:r>
      <w:r w:rsidRPr="00BC2A4D">
        <w:rPr>
          <w:szCs w:val="22"/>
        </w:rPr>
        <w:t>ć</w:t>
      </w:r>
      <w:r>
        <w:rPr>
          <w:szCs w:val="22"/>
          <w:lang w:val="de-DE"/>
        </w:rPr>
        <w:t>eg</w:t>
      </w:r>
      <w:r w:rsidRPr="00BC2A4D">
        <w:rPr>
          <w:szCs w:val="22"/>
        </w:rPr>
        <w:t xml:space="preserve"> </w:t>
      </w:r>
      <w:r>
        <w:rPr>
          <w:szCs w:val="22"/>
          <w:lang w:val="de-DE"/>
        </w:rPr>
        <w:t>objedinjavanja</w:t>
      </w:r>
      <w:r w:rsidRPr="00BC2A4D">
        <w:rPr>
          <w:szCs w:val="22"/>
        </w:rPr>
        <w:t xml:space="preserve"> </w:t>
      </w:r>
      <w:r>
        <w:rPr>
          <w:szCs w:val="22"/>
          <w:lang w:val="de-DE"/>
        </w:rPr>
        <w:t>parcela</w:t>
      </w:r>
      <w:r w:rsidRPr="00BC2A4D">
        <w:rPr>
          <w:szCs w:val="22"/>
        </w:rPr>
        <w:t xml:space="preserve"> </w:t>
      </w:r>
      <w:r>
        <w:rPr>
          <w:szCs w:val="22"/>
          <w:lang w:val="de-DE"/>
        </w:rPr>
        <w:t>objedinjava</w:t>
      </w:r>
      <w:r w:rsidRPr="00BC2A4D">
        <w:rPr>
          <w:szCs w:val="22"/>
        </w:rPr>
        <w:t xml:space="preserve"> </w:t>
      </w:r>
      <w:r>
        <w:rPr>
          <w:szCs w:val="22"/>
          <w:lang w:val="de-DE"/>
        </w:rPr>
        <w:t>se</w:t>
      </w:r>
      <w:r w:rsidRPr="00BC2A4D">
        <w:rPr>
          <w:szCs w:val="22"/>
        </w:rPr>
        <w:t xml:space="preserve"> </w:t>
      </w:r>
      <w:r>
        <w:rPr>
          <w:szCs w:val="22"/>
          <w:lang w:val="de-DE"/>
        </w:rPr>
        <w:t>i</w:t>
      </w:r>
      <w:r w:rsidRPr="00BC2A4D">
        <w:rPr>
          <w:szCs w:val="22"/>
        </w:rPr>
        <w:t xml:space="preserve"> </w:t>
      </w:r>
      <w:r>
        <w:rPr>
          <w:szCs w:val="22"/>
          <w:lang w:val="de-DE"/>
        </w:rPr>
        <w:t>povr</w:t>
      </w:r>
      <w:r w:rsidRPr="00BC2A4D">
        <w:rPr>
          <w:szCs w:val="22"/>
        </w:rPr>
        <w:t>š</w:t>
      </w:r>
      <w:r>
        <w:rPr>
          <w:szCs w:val="22"/>
          <w:lang w:val="de-DE"/>
        </w:rPr>
        <w:t>ina</w:t>
      </w:r>
      <w:r w:rsidRPr="00BC2A4D">
        <w:rPr>
          <w:szCs w:val="22"/>
        </w:rPr>
        <w:t xml:space="preserve"> </w:t>
      </w:r>
      <w:r>
        <w:rPr>
          <w:szCs w:val="22"/>
          <w:lang w:val="de-DE"/>
        </w:rPr>
        <w:t>za</w:t>
      </w:r>
      <w:r w:rsidRPr="00BC2A4D">
        <w:rPr>
          <w:szCs w:val="22"/>
        </w:rPr>
        <w:t xml:space="preserve"> </w:t>
      </w:r>
      <w:r>
        <w:rPr>
          <w:szCs w:val="22"/>
          <w:lang w:val="de-DE"/>
        </w:rPr>
        <w:t>gradnju</w:t>
      </w:r>
      <w:r w:rsidRPr="00BC2A4D">
        <w:rPr>
          <w:szCs w:val="22"/>
        </w:rPr>
        <w:t xml:space="preserve"> </w:t>
      </w:r>
      <w:r>
        <w:rPr>
          <w:szCs w:val="22"/>
          <w:lang w:val="de-DE"/>
        </w:rPr>
        <w:t>gra</w:t>
      </w:r>
      <w:r w:rsidRPr="00BC2A4D">
        <w:rPr>
          <w:szCs w:val="22"/>
        </w:rPr>
        <w:t>đ</w:t>
      </w:r>
      <w:r>
        <w:rPr>
          <w:szCs w:val="22"/>
          <w:lang w:val="de-DE"/>
        </w:rPr>
        <w:t>evine</w:t>
      </w:r>
      <w:r w:rsidRPr="00BC2A4D">
        <w:rPr>
          <w:szCs w:val="22"/>
        </w:rPr>
        <w:t xml:space="preserve">, </w:t>
      </w:r>
      <w:r>
        <w:rPr>
          <w:szCs w:val="22"/>
          <w:lang w:val="de-DE"/>
        </w:rPr>
        <w:t>tako</w:t>
      </w:r>
      <w:r w:rsidRPr="00BC2A4D">
        <w:rPr>
          <w:szCs w:val="22"/>
        </w:rPr>
        <w:t xml:space="preserve"> </w:t>
      </w:r>
      <w:r>
        <w:rPr>
          <w:szCs w:val="22"/>
          <w:lang w:val="de-DE"/>
        </w:rPr>
        <w:t>da</w:t>
      </w:r>
      <w:r w:rsidRPr="00BC2A4D">
        <w:rPr>
          <w:szCs w:val="22"/>
        </w:rPr>
        <w:t xml:space="preserve"> </w:t>
      </w:r>
      <w:r>
        <w:rPr>
          <w:szCs w:val="22"/>
          <w:lang w:val="de-DE"/>
        </w:rPr>
        <w:t>se</w:t>
      </w:r>
      <w:r w:rsidRPr="00BC2A4D">
        <w:rPr>
          <w:szCs w:val="22"/>
        </w:rPr>
        <w:t xml:space="preserve"> </w:t>
      </w:r>
      <w:r>
        <w:rPr>
          <w:szCs w:val="22"/>
          <w:lang w:val="de-DE"/>
        </w:rPr>
        <w:t>zadr</w:t>
      </w:r>
      <w:r w:rsidRPr="00BC2A4D">
        <w:rPr>
          <w:szCs w:val="22"/>
        </w:rPr>
        <w:t>ž</w:t>
      </w:r>
      <w:r>
        <w:rPr>
          <w:szCs w:val="22"/>
          <w:lang w:val="de-DE"/>
        </w:rPr>
        <w:t>avaju</w:t>
      </w:r>
      <w:r w:rsidRPr="00BC2A4D">
        <w:rPr>
          <w:szCs w:val="22"/>
        </w:rPr>
        <w:t xml:space="preserve"> </w:t>
      </w:r>
      <w:r>
        <w:rPr>
          <w:szCs w:val="22"/>
          <w:lang w:val="de-DE"/>
        </w:rPr>
        <w:t>propisane</w:t>
      </w:r>
      <w:r w:rsidRPr="00BC2A4D">
        <w:rPr>
          <w:szCs w:val="22"/>
        </w:rPr>
        <w:t xml:space="preserve"> </w:t>
      </w:r>
      <w:r>
        <w:rPr>
          <w:szCs w:val="22"/>
          <w:lang w:val="de-DE"/>
        </w:rPr>
        <w:t>udaljenosti</w:t>
      </w:r>
      <w:r w:rsidRPr="00BC2A4D">
        <w:rPr>
          <w:szCs w:val="22"/>
        </w:rPr>
        <w:t xml:space="preserve"> </w:t>
      </w:r>
      <w:r>
        <w:rPr>
          <w:szCs w:val="22"/>
          <w:lang w:val="de-DE"/>
        </w:rPr>
        <w:t>prema</w:t>
      </w:r>
      <w:r w:rsidRPr="00BC2A4D">
        <w:rPr>
          <w:szCs w:val="22"/>
        </w:rPr>
        <w:t xml:space="preserve"> </w:t>
      </w:r>
      <w:r>
        <w:rPr>
          <w:szCs w:val="22"/>
          <w:lang w:val="de-DE"/>
        </w:rPr>
        <w:t>susjednim</w:t>
      </w:r>
      <w:r w:rsidRPr="00BC2A4D">
        <w:rPr>
          <w:szCs w:val="22"/>
        </w:rPr>
        <w:t xml:space="preserve"> </w:t>
      </w:r>
      <w:r>
        <w:rPr>
          <w:szCs w:val="22"/>
          <w:lang w:val="de-DE"/>
        </w:rPr>
        <w:t>parcelama</w:t>
      </w:r>
      <w:r w:rsidRPr="00BC2A4D">
        <w:rPr>
          <w:szCs w:val="22"/>
        </w:rPr>
        <w:t xml:space="preserve">, </w:t>
      </w:r>
      <w:r>
        <w:rPr>
          <w:szCs w:val="22"/>
          <w:lang w:val="de-DE"/>
        </w:rPr>
        <w:t>izgra</w:t>
      </w:r>
      <w:r w:rsidRPr="00BC2A4D">
        <w:rPr>
          <w:szCs w:val="22"/>
        </w:rPr>
        <w:t>đ</w:t>
      </w:r>
      <w:r>
        <w:rPr>
          <w:szCs w:val="22"/>
          <w:lang w:val="de-DE"/>
        </w:rPr>
        <w:t>enost</w:t>
      </w:r>
      <w:r w:rsidRPr="00BC2A4D">
        <w:rPr>
          <w:szCs w:val="22"/>
        </w:rPr>
        <w:t xml:space="preserve"> </w:t>
      </w:r>
      <w:r>
        <w:rPr>
          <w:szCs w:val="22"/>
          <w:lang w:val="de-DE"/>
        </w:rPr>
        <w:t>parcele</w:t>
      </w:r>
      <w:r w:rsidRPr="00BC2A4D">
        <w:rPr>
          <w:szCs w:val="22"/>
        </w:rPr>
        <w:t xml:space="preserve">, </w:t>
      </w:r>
      <w:r>
        <w:rPr>
          <w:szCs w:val="22"/>
          <w:lang w:val="de-DE"/>
        </w:rPr>
        <w:t>udaljenost</w:t>
      </w:r>
      <w:r w:rsidRPr="00BC2A4D">
        <w:rPr>
          <w:szCs w:val="22"/>
        </w:rPr>
        <w:t xml:space="preserve"> </w:t>
      </w:r>
      <w:r>
        <w:rPr>
          <w:szCs w:val="22"/>
          <w:lang w:val="de-DE"/>
        </w:rPr>
        <w:t>od</w:t>
      </w:r>
      <w:r w:rsidRPr="00BC2A4D">
        <w:rPr>
          <w:szCs w:val="22"/>
        </w:rPr>
        <w:t xml:space="preserve"> </w:t>
      </w:r>
      <w:r>
        <w:rPr>
          <w:szCs w:val="22"/>
          <w:lang w:val="de-DE"/>
        </w:rPr>
        <w:t>regulacione</w:t>
      </w:r>
      <w:r w:rsidRPr="00BC2A4D">
        <w:rPr>
          <w:szCs w:val="22"/>
        </w:rPr>
        <w:t xml:space="preserve"> </w:t>
      </w:r>
      <w:r>
        <w:rPr>
          <w:szCs w:val="22"/>
          <w:lang w:val="de-DE"/>
        </w:rPr>
        <w:t>linije</w:t>
      </w:r>
      <w:r w:rsidRPr="00BC2A4D">
        <w:rPr>
          <w:szCs w:val="22"/>
        </w:rPr>
        <w:t xml:space="preserve"> </w:t>
      </w:r>
      <w:r>
        <w:rPr>
          <w:szCs w:val="22"/>
          <w:lang w:val="de-DE"/>
        </w:rPr>
        <w:t>i</w:t>
      </w:r>
      <w:r w:rsidRPr="00BC2A4D">
        <w:rPr>
          <w:szCs w:val="22"/>
        </w:rPr>
        <w:t xml:space="preserve"> </w:t>
      </w:r>
      <w:r>
        <w:rPr>
          <w:szCs w:val="22"/>
          <w:lang w:val="de-DE"/>
        </w:rPr>
        <w:t>katnost</w:t>
      </w:r>
      <w:r w:rsidRPr="00BC2A4D">
        <w:rPr>
          <w:szCs w:val="22"/>
        </w:rPr>
        <w:t>.</w:t>
      </w:r>
    </w:p>
    <w:p w:rsidR="00012172" w:rsidRPr="00BC2A4D" w:rsidRDefault="00012172">
      <w:pPr>
        <w:numPr>
          <w:ilvl w:val="12"/>
          <w:numId w:val="0"/>
        </w:numPr>
        <w:jc w:val="both"/>
        <w:rPr>
          <w:szCs w:val="22"/>
        </w:rPr>
      </w:pPr>
    </w:p>
    <w:p w:rsidR="00012172" w:rsidRPr="00BC2A4D" w:rsidRDefault="00012172">
      <w:pPr>
        <w:numPr>
          <w:ilvl w:val="12"/>
          <w:numId w:val="0"/>
        </w:numPr>
        <w:jc w:val="both"/>
        <w:rPr>
          <w:szCs w:val="22"/>
        </w:rPr>
      </w:pPr>
      <w:r w:rsidRPr="00BC2A4D">
        <w:rPr>
          <w:szCs w:val="22"/>
        </w:rPr>
        <w:t xml:space="preserve">(2) </w:t>
      </w:r>
      <w:r>
        <w:rPr>
          <w:szCs w:val="22"/>
          <w:lang w:val="de-DE"/>
        </w:rPr>
        <w:t>Du</w:t>
      </w:r>
      <w:r w:rsidRPr="00BC2A4D">
        <w:rPr>
          <w:szCs w:val="22"/>
        </w:rPr>
        <w:t>ž</w:t>
      </w:r>
      <w:r>
        <w:rPr>
          <w:szCs w:val="22"/>
          <w:lang w:val="de-DE"/>
        </w:rPr>
        <w:t>ina</w:t>
      </w:r>
      <w:r w:rsidRPr="00BC2A4D">
        <w:rPr>
          <w:szCs w:val="22"/>
        </w:rPr>
        <w:t xml:space="preserve"> </w:t>
      </w:r>
      <w:r>
        <w:rPr>
          <w:szCs w:val="22"/>
          <w:lang w:val="de-DE"/>
        </w:rPr>
        <w:t>pojedinog</w:t>
      </w:r>
      <w:r w:rsidRPr="00BC2A4D">
        <w:rPr>
          <w:szCs w:val="22"/>
        </w:rPr>
        <w:t xml:space="preserve"> </w:t>
      </w:r>
      <w:r>
        <w:rPr>
          <w:szCs w:val="22"/>
          <w:lang w:val="de-DE"/>
        </w:rPr>
        <w:t>pro</w:t>
      </w:r>
      <w:r w:rsidRPr="00BC2A4D">
        <w:rPr>
          <w:szCs w:val="22"/>
        </w:rPr>
        <w:t>č</w:t>
      </w:r>
      <w:r>
        <w:rPr>
          <w:szCs w:val="22"/>
          <w:lang w:val="de-DE"/>
        </w:rPr>
        <w:t>elja</w:t>
      </w:r>
      <w:r w:rsidRPr="00BC2A4D">
        <w:rPr>
          <w:szCs w:val="22"/>
        </w:rPr>
        <w:t xml:space="preserve"> </w:t>
      </w:r>
      <w:r>
        <w:rPr>
          <w:szCs w:val="22"/>
          <w:lang w:val="de-DE"/>
        </w:rPr>
        <w:t>na</w:t>
      </w:r>
      <w:r w:rsidRPr="00BC2A4D">
        <w:rPr>
          <w:szCs w:val="22"/>
        </w:rPr>
        <w:t xml:space="preserve"> </w:t>
      </w:r>
      <w:r>
        <w:rPr>
          <w:szCs w:val="22"/>
          <w:lang w:val="de-DE"/>
        </w:rPr>
        <w:t>objedinjenoj</w:t>
      </w:r>
      <w:r w:rsidRPr="00BC2A4D">
        <w:rPr>
          <w:szCs w:val="22"/>
        </w:rPr>
        <w:t xml:space="preserve"> </w:t>
      </w:r>
      <w:r>
        <w:rPr>
          <w:szCs w:val="22"/>
          <w:lang w:val="de-DE"/>
        </w:rPr>
        <w:t>parceli</w:t>
      </w:r>
      <w:r w:rsidRPr="00BC2A4D">
        <w:rPr>
          <w:szCs w:val="22"/>
        </w:rPr>
        <w:t xml:space="preserve"> </w:t>
      </w:r>
      <w:r>
        <w:rPr>
          <w:szCs w:val="22"/>
          <w:lang w:val="de-DE"/>
        </w:rPr>
        <w:t>ne</w:t>
      </w:r>
      <w:r w:rsidRPr="00BC2A4D">
        <w:rPr>
          <w:szCs w:val="22"/>
        </w:rPr>
        <w:t xml:space="preserve"> </w:t>
      </w:r>
      <w:r>
        <w:rPr>
          <w:szCs w:val="22"/>
          <w:lang w:val="de-DE"/>
        </w:rPr>
        <w:t>smije</w:t>
      </w:r>
      <w:r w:rsidRPr="00BC2A4D">
        <w:rPr>
          <w:szCs w:val="22"/>
        </w:rPr>
        <w:t xml:space="preserve"> </w:t>
      </w:r>
      <w:r>
        <w:rPr>
          <w:szCs w:val="22"/>
          <w:lang w:val="de-DE"/>
        </w:rPr>
        <w:t>biti</w:t>
      </w:r>
      <w:r w:rsidRPr="00BC2A4D">
        <w:rPr>
          <w:szCs w:val="22"/>
        </w:rPr>
        <w:t xml:space="preserve"> </w:t>
      </w:r>
      <w:r>
        <w:rPr>
          <w:szCs w:val="22"/>
          <w:lang w:val="de-DE"/>
        </w:rPr>
        <w:t>ve</w:t>
      </w:r>
      <w:r w:rsidRPr="00BC2A4D">
        <w:rPr>
          <w:szCs w:val="22"/>
        </w:rPr>
        <w:t>ć</w:t>
      </w:r>
      <w:r>
        <w:rPr>
          <w:szCs w:val="22"/>
          <w:lang w:val="de-DE"/>
        </w:rPr>
        <w:t>a</w:t>
      </w:r>
      <w:r w:rsidRPr="00BC2A4D">
        <w:rPr>
          <w:szCs w:val="22"/>
        </w:rPr>
        <w:t xml:space="preserve"> </w:t>
      </w:r>
      <w:r>
        <w:rPr>
          <w:szCs w:val="22"/>
          <w:lang w:val="de-DE"/>
        </w:rPr>
        <w:t>od</w:t>
      </w:r>
      <w:r w:rsidRPr="00BC2A4D">
        <w:rPr>
          <w:szCs w:val="22"/>
        </w:rPr>
        <w:t xml:space="preserve"> </w:t>
      </w:r>
      <w:smartTag w:uri="urn:schemas-microsoft-com:office:smarttags" w:element="metricconverter">
        <w:smartTagPr>
          <w:attr w:name="ProductID" w:val="50,00 m"/>
        </w:smartTagPr>
        <w:r w:rsidRPr="00BC2A4D">
          <w:rPr>
            <w:szCs w:val="22"/>
          </w:rPr>
          <w:t xml:space="preserve">50,00 </w:t>
        </w:r>
        <w:r>
          <w:rPr>
            <w:szCs w:val="22"/>
            <w:lang w:val="de-DE"/>
          </w:rPr>
          <w:t>m</w:t>
        </w:r>
      </w:smartTag>
      <w:r w:rsidRPr="00BC2A4D">
        <w:rPr>
          <w:szCs w:val="22"/>
        </w:rPr>
        <w:t>.</w:t>
      </w:r>
    </w:p>
    <w:p w:rsidR="00012172" w:rsidRDefault="00012172" w:rsidP="00733344">
      <w:pPr>
        <w:numPr>
          <w:ilvl w:val="12"/>
          <w:numId w:val="0"/>
        </w:numPr>
        <w:jc w:val="both"/>
      </w:pPr>
    </w:p>
    <w:p w:rsidR="00733344" w:rsidRDefault="00627B58" w:rsidP="00733344">
      <w:pPr>
        <w:numPr>
          <w:ilvl w:val="12"/>
          <w:numId w:val="0"/>
        </w:numPr>
        <w:jc w:val="both"/>
      </w:pPr>
      <w:r>
        <w:t>(3) Ovaj članak se ne odnosi na parcelu 1804 k.o. Gornja Rijeka.</w:t>
      </w:r>
    </w:p>
    <w:p w:rsidR="00627B58" w:rsidRPr="00BC2A4D" w:rsidRDefault="00627B58" w:rsidP="00733344">
      <w:pPr>
        <w:numPr>
          <w:ilvl w:val="12"/>
          <w:numId w:val="0"/>
        </w:numPr>
        <w:jc w:val="both"/>
      </w:pPr>
    </w:p>
    <w:p w:rsidR="00012172" w:rsidRDefault="00012172">
      <w:pPr>
        <w:numPr>
          <w:ilvl w:val="12"/>
          <w:numId w:val="0"/>
        </w:numPr>
        <w:rPr>
          <w:rFonts w:ascii="Arial" w:hAnsi="Arial" w:cs="Arial"/>
          <w:b/>
          <w:sz w:val="22"/>
          <w:szCs w:val="22"/>
        </w:rPr>
      </w:pPr>
      <w:r>
        <w:rPr>
          <w:rFonts w:ascii="Arial" w:hAnsi="Arial" w:cs="Arial"/>
          <w:b/>
          <w:sz w:val="22"/>
          <w:szCs w:val="22"/>
        </w:rPr>
        <w:t>Smještaj građevine na parceli</w:t>
      </w:r>
    </w:p>
    <w:p w:rsidR="00012172" w:rsidRDefault="00012172">
      <w:pPr>
        <w:numPr>
          <w:ilvl w:val="12"/>
          <w:numId w:val="0"/>
        </w:numPr>
        <w:rPr>
          <w:rFonts w:ascii="Arial" w:hAnsi="Arial" w:cs="Arial"/>
          <w:b/>
          <w:sz w:val="22"/>
          <w:szCs w:val="22"/>
        </w:rPr>
      </w:pPr>
      <w:r>
        <w:rPr>
          <w:rFonts w:ascii="Arial" w:hAnsi="Arial" w:cs="Arial"/>
          <w:b/>
          <w:sz w:val="22"/>
          <w:szCs w:val="22"/>
        </w:rPr>
        <w:t>Udaljenost građevina od regulacione linije</w:t>
      </w:r>
    </w:p>
    <w:p w:rsidR="00012172" w:rsidRDefault="00012172">
      <w:pPr>
        <w:numPr>
          <w:ilvl w:val="12"/>
          <w:numId w:val="0"/>
        </w:numPr>
      </w:pPr>
    </w:p>
    <w:p w:rsidR="00B86761" w:rsidRDefault="00B86761">
      <w:pPr>
        <w:numPr>
          <w:ilvl w:val="12"/>
          <w:numId w:val="0"/>
        </w:numPr>
      </w:pPr>
    </w:p>
    <w:p w:rsidR="00012172" w:rsidRDefault="00012172">
      <w:pPr>
        <w:pStyle w:val="xl30"/>
        <w:numPr>
          <w:ilvl w:val="12"/>
          <w:numId w:val="0"/>
        </w:numPr>
        <w:pBdr>
          <w:left w:val="none" w:sz="0" w:space="0" w:color="auto"/>
          <w:bottom w:val="none" w:sz="0" w:space="0" w:color="auto"/>
        </w:pBdr>
        <w:spacing w:before="0" w:beforeAutospacing="0" w:after="0" w:afterAutospacing="0"/>
        <w:rPr>
          <w:rFonts w:ascii="Times New Roman" w:hAnsi="Times New Roman"/>
          <w:szCs w:val="22"/>
        </w:rPr>
      </w:pPr>
      <w:r>
        <w:rPr>
          <w:rFonts w:ascii="Times New Roman" w:hAnsi="Times New Roman"/>
          <w:szCs w:val="22"/>
        </w:rPr>
        <w:t>Članak 29.</w:t>
      </w:r>
    </w:p>
    <w:p w:rsidR="00012172" w:rsidRDefault="00012172">
      <w:pPr>
        <w:numPr>
          <w:ilvl w:val="12"/>
          <w:numId w:val="0"/>
        </w:numPr>
        <w:jc w:val="both"/>
        <w:rPr>
          <w:szCs w:val="22"/>
        </w:rPr>
      </w:pPr>
      <w:r>
        <w:rPr>
          <w:szCs w:val="22"/>
        </w:rPr>
        <w:t>(1) Najmanja udaljenost građevine od regulacione linije određuje se sa:</w:t>
      </w:r>
    </w:p>
    <w:p w:rsidR="00012172" w:rsidRDefault="00012172">
      <w:pPr>
        <w:numPr>
          <w:ilvl w:val="12"/>
          <w:numId w:val="0"/>
        </w:numPr>
        <w:jc w:val="both"/>
        <w:rPr>
          <w:szCs w:val="22"/>
        </w:rPr>
      </w:pPr>
    </w:p>
    <w:p w:rsidR="00012172" w:rsidRDefault="00012172">
      <w:pPr>
        <w:numPr>
          <w:ilvl w:val="12"/>
          <w:numId w:val="0"/>
        </w:numPr>
        <w:jc w:val="both"/>
        <w:rPr>
          <w:szCs w:val="22"/>
          <w:lang w:val="de-DE"/>
        </w:rPr>
      </w:pPr>
      <w:r>
        <w:rPr>
          <w:szCs w:val="22"/>
        </w:rPr>
        <w:tab/>
      </w:r>
      <w:r>
        <w:rPr>
          <w:szCs w:val="22"/>
          <w:lang w:val="de-DE"/>
        </w:rPr>
        <w:t>- za stambene građevine</w:t>
      </w:r>
      <w:r>
        <w:rPr>
          <w:szCs w:val="22"/>
          <w:lang w:val="de-DE"/>
        </w:rPr>
        <w:tab/>
      </w:r>
      <w:r>
        <w:rPr>
          <w:szCs w:val="22"/>
          <w:lang w:val="de-DE"/>
        </w:rPr>
        <w:tab/>
      </w:r>
      <w:r>
        <w:rPr>
          <w:szCs w:val="22"/>
          <w:lang w:val="de-DE"/>
        </w:rPr>
        <w:tab/>
      </w:r>
      <w:r>
        <w:rPr>
          <w:szCs w:val="22"/>
          <w:lang w:val="de-DE"/>
        </w:rPr>
        <w:tab/>
      </w:r>
      <w:r>
        <w:rPr>
          <w:szCs w:val="22"/>
          <w:lang w:val="de-DE"/>
        </w:rPr>
        <w:tab/>
        <w:t xml:space="preserve">             </w:t>
      </w:r>
      <w:smartTag w:uri="urn:schemas-microsoft-com:office:smarttags" w:element="metricconverter">
        <w:smartTagPr>
          <w:attr w:name="ProductID" w:val="3 m"/>
        </w:smartTagPr>
        <w:r>
          <w:rPr>
            <w:szCs w:val="22"/>
            <w:lang w:val="de-DE"/>
          </w:rPr>
          <w:t>3 m</w:t>
        </w:r>
      </w:smartTag>
    </w:p>
    <w:p w:rsidR="00012172" w:rsidRDefault="00012172">
      <w:pPr>
        <w:numPr>
          <w:ilvl w:val="12"/>
          <w:numId w:val="0"/>
        </w:numPr>
        <w:ind w:firstLine="720"/>
        <w:jc w:val="both"/>
        <w:rPr>
          <w:szCs w:val="22"/>
          <w:lang w:val="de-DE"/>
        </w:rPr>
      </w:pPr>
      <w:r>
        <w:rPr>
          <w:szCs w:val="22"/>
          <w:lang w:val="de-DE"/>
        </w:rPr>
        <w:t>- za garaže u sklopu stambene građevine</w:t>
      </w:r>
      <w:r>
        <w:rPr>
          <w:szCs w:val="22"/>
          <w:lang w:val="de-DE"/>
        </w:rPr>
        <w:tab/>
      </w:r>
      <w:r>
        <w:rPr>
          <w:szCs w:val="22"/>
          <w:lang w:val="de-DE"/>
        </w:rPr>
        <w:tab/>
      </w:r>
      <w:r>
        <w:rPr>
          <w:szCs w:val="22"/>
          <w:lang w:val="de-DE"/>
        </w:rPr>
        <w:tab/>
        <w:t xml:space="preserve">             </w:t>
      </w:r>
      <w:smartTag w:uri="urn:schemas-microsoft-com:office:smarttags" w:element="metricconverter">
        <w:smartTagPr>
          <w:attr w:name="ProductID" w:val="3 m"/>
        </w:smartTagPr>
        <w:r>
          <w:rPr>
            <w:szCs w:val="22"/>
            <w:lang w:val="de-DE"/>
          </w:rPr>
          <w:t>3 m</w:t>
        </w:r>
      </w:smartTag>
    </w:p>
    <w:p w:rsidR="00012172" w:rsidRDefault="00012172">
      <w:pPr>
        <w:numPr>
          <w:ilvl w:val="12"/>
          <w:numId w:val="0"/>
        </w:numPr>
        <w:ind w:firstLine="720"/>
        <w:jc w:val="both"/>
        <w:rPr>
          <w:szCs w:val="22"/>
          <w:lang w:val="de-DE"/>
        </w:rPr>
      </w:pPr>
      <w:r>
        <w:rPr>
          <w:szCs w:val="22"/>
          <w:lang w:val="de-DE"/>
        </w:rPr>
        <w:t>- za pomoćne građevine na parceli</w:t>
      </w:r>
      <w:r>
        <w:rPr>
          <w:szCs w:val="22"/>
          <w:lang w:val="de-DE"/>
        </w:rPr>
        <w:tab/>
      </w:r>
      <w:r>
        <w:rPr>
          <w:szCs w:val="22"/>
          <w:lang w:val="de-DE"/>
        </w:rPr>
        <w:tab/>
      </w:r>
      <w:r>
        <w:rPr>
          <w:szCs w:val="22"/>
          <w:lang w:val="de-DE"/>
        </w:rPr>
        <w:tab/>
      </w:r>
      <w:r>
        <w:rPr>
          <w:szCs w:val="22"/>
          <w:lang w:val="de-DE"/>
        </w:rPr>
        <w:tab/>
        <w:t xml:space="preserve">      </w:t>
      </w:r>
      <w:r>
        <w:rPr>
          <w:szCs w:val="22"/>
          <w:lang w:val="de-DE"/>
        </w:rPr>
        <w:tab/>
      </w:r>
      <w:smartTag w:uri="urn:schemas-microsoft-com:office:smarttags" w:element="metricconverter">
        <w:smartTagPr>
          <w:attr w:name="ProductID" w:val="10 m"/>
        </w:smartTagPr>
        <w:r>
          <w:rPr>
            <w:szCs w:val="22"/>
            <w:lang w:val="de-DE"/>
          </w:rPr>
          <w:t>10 m</w:t>
        </w:r>
      </w:smartTag>
    </w:p>
    <w:p w:rsidR="00012172" w:rsidRDefault="00012172">
      <w:pPr>
        <w:numPr>
          <w:ilvl w:val="12"/>
          <w:numId w:val="0"/>
        </w:numPr>
        <w:ind w:firstLine="720"/>
        <w:jc w:val="both"/>
        <w:rPr>
          <w:szCs w:val="22"/>
          <w:lang w:val="de-DE"/>
        </w:rPr>
      </w:pPr>
      <w:r>
        <w:rPr>
          <w:szCs w:val="22"/>
          <w:lang w:val="de-DE"/>
        </w:rPr>
        <w:t xml:space="preserve">- za gospodarske građevine sa potencijalnim  </w:t>
      </w:r>
    </w:p>
    <w:p w:rsidR="00012172" w:rsidRDefault="00012172">
      <w:pPr>
        <w:numPr>
          <w:ilvl w:val="12"/>
          <w:numId w:val="0"/>
        </w:numPr>
        <w:ind w:firstLine="720"/>
        <w:jc w:val="both"/>
        <w:rPr>
          <w:szCs w:val="22"/>
          <w:lang w:val="de-DE"/>
        </w:rPr>
      </w:pPr>
      <w:r>
        <w:rPr>
          <w:szCs w:val="22"/>
          <w:lang w:val="de-DE"/>
        </w:rPr>
        <w:t xml:space="preserve">  izvorima zagađenja</w:t>
      </w:r>
      <w:r>
        <w:rPr>
          <w:szCs w:val="22"/>
          <w:lang w:val="de-DE"/>
        </w:rPr>
        <w:tab/>
        <w:t xml:space="preserve">       </w:t>
      </w:r>
      <w:r>
        <w:rPr>
          <w:szCs w:val="22"/>
          <w:lang w:val="de-DE"/>
        </w:rPr>
        <w:tab/>
      </w:r>
      <w:r>
        <w:rPr>
          <w:szCs w:val="22"/>
          <w:lang w:val="de-DE"/>
        </w:rPr>
        <w:tab/>
      </w:r>
      <w:r>
        <w:rPr>
          <w:szCs w:val="22"/>
          <w:lang w:val="de-DE"/>
        </w:rPr>
        <w:tab/>
      </w:r>
      <w:r>
        <w:rPr>
          <w:szCs w:val="22"/>
          <w:lang w:val="de-DE"/>
        </w:rPr>
        <w:tab/>
      </w:r>
      <w:r>
        <w:rPr>
          <w:szCs w:val="22"/>
          <w:lang w:val="de-DE"/>
        </w:rPr>
        <w:tab/>
        <w:t xml:space="preserve">            </w:t>
      </w:r>
      <w:smartTag w:uri="urn:schemas-microsoft-com:office:smarttags" w:element="metricconverter">
        <w:smartTagPr>
          <w:attr w:name="ProductID" w:val="20 m"/>
        </w:smartTagPr>
        <w:r>
          <w:rPr>
            <w:szCs w:val="22"/>
            <w:lang w:val="de-DE"/>
          </w:rPr>
          <w:t>20 m</w:t>
        </w:r>
      </w:smartTag>
    </w:p>
    <w:p w:rsidR="00012172" w:rsidRDefault="00012172">
      <w:pPr>
        <w:numPr>
          <w:ilvl w:val="12"/>
          <w:numId w:val="0"/>
        </w:numPr>
        <w:ind w:firstLine="720"/>
        <w:jc w:val="both"/>
        <w:rPr>
          <w:szCs w:val="22"/>
          <w:lang w:val="de-DE"/>
        </w:rPr>
      </w:pPr>
      <w:r>
        <w:rPr>
          <w:szCs w:val="22"/>
          <w:lang w:val="de-DE"/>
        </w:rPr>
        <w:t>- za pčelinjake</w:t>
      </w:r>
      <w:r>
        <w:rPr>
          <w:szCs w:val="22"/>
          <w:lang w:val="de-DE"/>
        </w:rPr>
        <w:tab/>
      </w:r>
      <w:r>
        <w:rPr>
          <w:szCs w:val="22"/>
          <w:lang w:val="de-DE"/>
        </w:rPr>
        <w:tab/>
      </w:r>
      <w:r>
        <w:rPr>
          <w:szCs w:val="22"/>
          <w:lang w:val="de-DE"/>
        </w:rPr>
        <w:tab/>
      </w:r>
      <w:r>
        <w:rPr>
          <w:szCs w:val="22"/>
          <w:lang w:val="de-DE"/>
        </w:rPr>
        <w:tab/>
      </w:r>
      <w:r>
        <w:rPr>
          <w:szCs w:val="22"/>
          <w:lang w:val="de-DE"/>
        </w:rPr>
        <w:tab/>
      </w:r>
      <w:r>
        <w:rPr>
          <w:szCs w:val="22"/>
          <w:lang w:val="de-DE"/>
        </w:rPr>
        <w:tab/>
      </w:r>
      <w:r>
        <w:rPr>
          <w:szCs w:val="22"/>
          <w:lang w:val="de-DE"/>
        </w:rPr>
        <w:tab/>
        <w:t xml:space="preserve">            </w:t>
      </w:r>
      <w:smartTag w:uri="urn:schemas-microsoft-com:office:smarttags" w:element="metricconverter">
        <w:smartTagPr>
          <w:attr w:name="ProductID" w:val="20 m"/>
        </w:smartTagPr>
        <w:r>
          <w:rPr>
            <w:szCs w:val="22"/>
            <w:lang w:val="de-DE"/>
          </w:rPr>
          <w:t>20 m</w:t>
        </w:r>
      </w:smartTag>
    </w:p>
    <w:p w:rsidR="00012172" w:rsidRDefault="00012172">
      <w:pPr>
        <w:numPr>
          <w:ilvl w:val="12"/>
          <w:numId w:val="0"/>
        </w:numPr>
        <w:jc w:val="both"/>
        <w:rPr>
          <w:rFonts w:ascii="Arial" w:hAnsi="Arial" w:cs="Arial"/>
          <w:sz w:val="22"/>
          <w:szCs w:val="22"/>
          <w:lang w:val="de-DE"/>
        </w:rPr>
      </w:pPr>
    </w:p>
    <w:p w:rsidR="00012172" w:rsidRDefault="00012172">
      <w:pPr>
        <w:numPr>
          <w:ilvl w:val="12"/>
          <w:numId w:val="0"/>
        </w:numPr>
        <w:jc w:val="both"/>
        <w:rPr>
          <w:lang w:val="de-DE"/>
        </w:rPr>
      </w:pPr>
    </w:p>
    <w:p w:rsidR="00012172" w:rsidRDefault="00012172">
      <w:pPr>
        <w:numPr>
          <w:ilvl w:val="12"/>
          <w:numId w:val="0"/>
        </w:numPr>
        <w:jc w:val="center"/>
        <w:rPr>
          <w:szCs w:val="22"/>
          <w:lang w:val="de-DE"/>
        </w:rPr>
      </w:pPr>
      <w:r>
        <w:rPr>
          <w:szCs w:val="22"/>
          <w:lang w:val="de-DE"/>
        </w:rPr>
        <w:t>Članak 30.</w:t>
      </w:r>
    </w:p>
    <w:p w:rsidR="00012172" w:rsidRDefault="00012172">
      <w:pPr>
        <w:numPr>
          <w:ilvl w:val="12"/>
          <w:numId w:val="0"/>
        </w:numPr>
        <w:jc w:val="both"/>
        <w:rPr>
          <w:szCs w:val="22"/>
          <w:lang w:val="de-DE"/>
        </w:rPr>
      </w:pPr>
      <w:r>
        <w:rPr>
          <w:szCs w:val="22"/>
          <w:lang w:val="de-DE"/>
        </w:rPr>
        <w:t>(1) Ako građevinska parcela graniči sa vodotokom, udaljenost regulacione linije parcele od granice vodnog dobra odrediti će se prema vodopravnim uvjetima.</w:t>
      </w:r>
    </w:p>
    <w:p w:rsidR="00012172" w:rsidRDefault="00012172">
      <w:pPr>
        <w:numPr>
          <w:ilvl w:val="12"/>
          <w:numId w:val="0"/>
        </w:numPr>
        <w:jc w:val="both"/>
        <w:rPr>
          <w:szCs w:val="22"/>
          <w:lang w:val="de-DE"/>
        </w:rPr>
      </w:pPr>
      <w:r>
        <w:rPr>
          <w:szCs w:val="22"/>
          <w:lang w:val="de-DE"/>
        </w:rPr>
        <w:t>(2) Građevinska parcela ne može se osnivati na način koji bi onemogućavao uređenje korita i oblikovanje inundacije potrebne za maksimalni protok vode ili pristup vodotoku.</w:t>
      </w:r>
    </w:p>
    <w:p w:rsidR="00012172" w:rsidRDefault="00012172">
      <w:pPr>
        <w:numPr>
          <w:ilvl w:val="12"/>
          <w:numId w:val="0"/>
        </w:numPr>
        <w:jc w:val="center"/>
        <w:rPr>
          <w:lang w:val="de-DE"/>
        </w:rPr>
      </w:pPr>
    </w:p>
    <w:p w:rsidR="00012172" w:rsidRDefault="00012172">
      <w:pPr>
        <w:numPr>
          <w:ilvl w:val="12"/>
          <w:numId w:val="0"/>
        </w:numPr>
        <w:jc w:val="center"/>
        <w:rPr>
          <w:szCs w:val="22"/>
          <w:lang w:val="de-DE"/>
        </w:rPr>
      </w:pPr>
      <w:r>
        <w:rPr>
          <w:szCs w:val="22"/>
          <w:lang w:val="de-DE"/>
        </w:rPr>
        <w:t>Članak 31.</w:t>
      </w:r>
    </w:p>
    <w:p w:rsidR="00012172" w:rsidRDefault="00012172">
      <w:pPr>
        <w:numPr>
          <w:ilvl w:val="12"/>
          <w:numId w:val="0"/>
        </w:numPr>
        <w:jc w:val="both"/>
        <w:rPr>
          <w:szCs w:val="22"/>
          <w:lang w:val="de-DE"/>
        </w:rPr>
      </w:pPr>
      <w:r>
        <w:rPr>
          <w:szCs w:val="22"/>
          <w:lang w:val="de-DE"/>
        </w:rPr>
        <w:t>(1) Idejnim rješenjem za izdavanje lokacijske dozvole za gradnju građevina javne, proizvodno-servisne ili športsko-rekreativne namjene potrebno je utvrditi način osiguranja parkirališnih mjesta za osobna ili teretna vozila.</w:t>
      </w:r>
    </w:p>
    <w:p w:rsidR="00012172" w:rsidRDefault="00012172">
      <w:pPr>
        <w:numPr>
          <w:ilvl w:val="12"/>
          <w:numId w:val="0"/>
        </w:numPr>
        <w:jc w:val="both"/>
        <w:rPr>
          <w:szCs w:val="22"/>
          <w:lang w:val="de-DE"/>
        </w:rPr>
      </w:pPr>
    </w:p>
    <w:p w:rsidR="00012172" w:rsidRDefault="00012172">
      <w:pPr>
        <w:numPr>
          <w:ilvl w:val="12"/>
          <w:numId w:val="0"/>
        </w:numPr>
        <w:jc w:val="both"/>
        <w:rPr>
          <w:szCs w:val="22"/>
          <w:lang w:val="de-DE"/>
        </w:rPr>
      </w:pPr>
      <w:r>
        <w:rPr>
          <w:szCs w:val="22"/>
          <w:lang w:val="de-DE"/>
        </w:rPr>
        <w:t>(2) Dimenzioniranje broja parkirališno-garažnih mjesta za građevine iz prethodnog članka odrediti će se na temelju slijedeće tablice:</w:t>
      </w:r>
    </w:p>
    <w:p w:rsidR="00012172" w:rsidRDefault="00012172">
      <w:pPr>
        <w:numPr>
          <w:ilvl w:val="12"/>
          <w:numId w:val="0"/>
        </w:numPr>
        <w:ind w:firstLine="720"/>
        <w:jc w:val="both"/>
        <w:rPr>
          <w:lang w:val="de-DE"/>
        </w:rPr>
      </w:pPr>
    </w:p>
    <w:p w:rsidR="00012172" w:rsidRDefault="00012172">
      <w:pPr>
        <w:numPr>
          <w:ilvl w:val="12"/>
          <w:numId w:val="0"/>
        </w:numPr>
        <w:pBdr>
          <w:top w:val="single" w:sz="6" w:space="1" w:color="auto"/>
          <w:bottom w:val="single" w:sz="6" w:space="1" w:color="auto"/>
        </w:pBdr>
        <w:rPr>
          <w:rFonts w:ascii="Arial" w:hAnsi="Arial" w:cs="Arial"/>
          <w:sz w:val="22"/>
          <w:szCs w:val="22"/>
        </w:rPr>
      </w:pPr>
      <w:r>
        <w:rPr>
          <w:rFonts w:ascii="Arial" w:hAnsi="Arial" w:cs="Arial"/>
          <w:sz w:val="22"/>
          <w:szCs w:val="22"/>
        </w:rPr>
        <w:t xml:space="preserve">namjena građevine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broj  mjesta  na:</w:t>
      </w:r>
      <w:r>
        <w:rPr>
          <w:rFonts w:ascii="Arial" w:hAnsi="Arial" w:cs="Arial"/>
          <w:sz w:val="22"/>
          <w:szCs w:val="22"/>
        </w:rPr>
        <w:tab/>
      </w:r>
      <w:r>
        <w:rPr>
          <w:rFonts w:ascii="Arial" w:hAnsi="Arial" w:cs="Arial"/>
          <w:sz w:val="22"/>
          <w:szCs w:val="22"/>
        </w:rPr>
        <w:tab/>
        <w:t>potreban  broj</w:t>
      </w:r>
      <w:r>
        <w:t xml:space="preserve">  </w:t>
      </w:r>
      <w:r>
        <w:rPr>
          <w:rFonts w:ascii="Arial" w:hAnsi="Arial" w:cs="Arial"/>
          <w:sz w:val="22"/>
          <w:szCs w:val="22"/>
        </w:rPr>
        <w:t>mjesta</w:t>
      </w:r>
    </w:p>
    <w:p w:rsidR="00012172" w:rsidRPr="00165BAC" w:rsidRDefault="00012172">
      <w:pPr>
        <w:numPr>
          <w:ilvl w:val="12"/>
          <w:numId w:val="0"/>
        </w:numPr>
      </w:pPr>
      <w:r w:rsidRPr="00165BAC">
        <w:t xml:space="preserve">1. </w:t>
      </w:r>
      <w:r>
        <w:rPr>
          <w:rFonts w:ascii="Arial" w:hAnsi="Arial" w:cs="Arial"/>
          <w:sz w:val="22"/>
          <w:szCs w:val="22"/>
          <w:lang w:val="de-DE"/>
        </w:rPr>
        <w:t>VI</w:t>
      </w:r>
      <w:r w:rsidRPr="00165BAC">
        <w:rPr>
          <w:rFonts w:ascii="Arial" w:hAnsi="Arial" w:cs="Arial"/>
          <w:sz w:val="22"/>
          <w:szCs w:val="22"/>
        </w:rPr>
        <w:t>Š</w:t>
      </w:r>
      <w:r>
        <w:rPr>
          <w:rFonts w:ascii="Arial" w:hAnsi="Arial" w:cs="Arial"/>
          <w:sz w:val="22"/>
          <w:szCs w:val="22"/>
          <w:lang w:val="de-DE"/>
        </w:rPr>
        <w:t>ESTAMBENE</w:t>
      </w:r>
      <w:r w:rsidRPr="00165BAC">
        <w:rPr>
          <w:rFonts w:ascii="Arial" w:hAnsi="Arial" w:cs="Arial"/>
          <w:sz w:val="22"/>
          <w:szCs w:val="22"/>
        </w:rPr>
        <w:t xml:space="preserve"> </w:t>
      </w:r>
      <w:r>
        <w:rPr>
          <w:rFonts w:ascii="Arial" w:hAnsi="Arial" w:cs="Arial"/>
          <w:sz w:val="22"/>
          <w:szCs w:val="22"/>
          <w:lang w:val="de-DE"/>
        </w:rPr>
        <w:t>GRA</w:t>
      </w:r>
      <w:r w:rsidRPr="00165BAC">
        <w:rPr>
          <w:rFonts w:ascii="Arial" w:hAnsi="Arial" w:cs="Arial"/>
          <w:sz w:val="22"/>
          <w:szCs w:val="22"/>
        </w:rPr>
        <w:t>Ð</w:t>
      </w:r>
      <w:r>
        <w:rPr>
          <w:rFonts w:ascii="Arial" w:hAnsi="Arial" w:cs="Arial"/>
          <w:sz w:val="22"/>
          <w:szCs w:val="22"/>
          <w:lang w:val="de-DE"/>
        </w:rPr>
        <w:t>EVINE</w:t>
      </w:r>
      <w:r w:rsidRPr="00165BAC">
        <w:tab/>
      </w:r>
      <w:r w:rsidRPr="00165BAC">
        <w:tab/>
        <w:t xml:space="preserve">   </w:t>
      </w:r>
      <w:r w:rsidRPr="00165BAC">
        <w:rPr>
          <w:rFonts w:ascii="Arial" w:hAnsi="Arial" w:cs="Arial"/>
          <w:sz w:val="22"/>
          <w:szCs w:val="22"/>
        </w:rPr>
        <w:t xml:space="preserve">1 </w:t>
      </w:r>
      <w:r>
        <w:rPr>
          <w:rFonts w:ascii="Arial" w:hAnsi="Arial" w:cs="Arial"/>
          <w:sz w:val="22"/>
          <w:szCs w:val="22"/>
          <w:lang w:val="de-DE"/>
        </w:rPr>
        <w:t>stan</w:t>
      </w:r>
      <w:r w:rsidRPr="00165BAC">
        <w:tab/>
      </w:r>
      <w:r w:rsidRPr="00165BAC">
        <w:tab/>
      </w:r>
      <w:r w:rsidRPr="00165BAC">
        <w:tab/>
      </w:r>
      <w:r w:rsidRPr="00165BAC">
        <w:tab/>
        <w:t xml:space="preserve">1      </w:t>
      </w:r>
      <w:r>
        <w:rPr>
          <w:lang w:val="de-DE"/>
        </w:rPr>
        <w:t>PGM</w:t>
      </w:r>
    </w:p>
    <w:p w:rsidR="00012172" w:rsidRDefault="00012172">
      <w:pPr>
        <w:numPr>
          <w:ilvl w:val="12"/>
          <w:numId w:val="0"/>
        </w:numPr>
      </w:pPr>
      <w:r>
        <w:t xml:space="preserve">2. </w:t>
      </w:r>
      <w:r>
        <w:rPr>
          <w:rFonts w:ascii="Arial" w:hAnsi="Arial" w:cs="Arial"/>
          <w:sz w:val="22"/>
          <w:szCs w:val="22"/>
        </w:rPr>
        <w:t>INDUSTRIJA  I  SKLADIŠTA</w:t>
      </w:r>
      <w:r>
        <w:tab/>
      </w:r>
      <w:r>
        <w:tab/>
        <w:t xml:space="preserve">   </w:t>
      </w:r>
      <w:r>
        <w:rPr>
          <w:rFonts w:ascii="Arial" w:hAnsi="Arial" w:cs="Arial"/>
          <w:sz w:val="22"/>
          <w:szCs w:val="22"/>
        </w:rPr>
        <w:t>1 zaposleni</w:t>
      </w:r>
      <w:r>
        <w:t xml:space="preserve"> </w:t>
      </w:r>
      <w:r>
        <w:tab/>
      </w:r>
      <w:r>
        <w:tab/>
      </w:r>
      <w:r>
        <w:tab/>
      </w:r>
      <w:r>
        <w:tab/>
        <w:t>0,45 PGM</w:t>
      </w:r>
    </w:p>
    <w:p w:rsidR="00012172" w:rsidRDefault="00012172">
      <w:pPr>
        <w:numPr>
          <w:ilvl w:val="12"/>
          <w:numId w:val="0"/>
        </w:numPr>
      </w:pPr>
      <w:r>
        <w:t xml:space="preserve">3. </w:t>
      </w:r>
      <w:r>
        <w:rPr>
          <w:rFonts w:ascii="Arial" w:hAnsi="Arial" w:cs="Arial"/>
          <w:sz w:val="22"/>
          <w:szCs w:val="22"/>
        </w:rPr>
        <w:t>UREDSKI  PROSTORI</w:t>
      </w:r>
      <w:r>
        <w:tab/>
      </w:r>
      <w:r>
        <w:tab/>
        <w:t xml:space="preserve">    </w:t>
      </w:r>
      <w:smartTag w:uri="urn:schemas-microsoft-com:office:smarttags" w:element="metricconverter">
        <w:smartTagPr>
          <w:attr w:name="ProductID" w:val="1000 m2"/>
        </w:smartTagPr>
        <w:r>
          <w:rPr>
            <w:rFonts w:ascii="Arial" w:hAnsi="Arial" w:cs="Arial"/>
            <w:sz w:val="22"/>
            <w:szCs w:val="22"/>
          </w:rPr>
          <w:t>1000 m</w:t>
        </w:r>
        <w:r>
          <w:rPr>
            <w:rFonts w:ascii="Arial" w:hAnsi="Arial" w:cs="Arial"/>
            <w:sz w:val="22"/>
            <w:szCs w:val="22"/>
            <w:vertAlign w:val="superscript"/>
          </w:rPr>
          <w:t>2</w:t>
        </w:r>
      </w:smartTag>
      <w:r>
        <w:rPr>
          <w:rFonts w:ascii="Arial" w:hAnsi="Arial" w:cs="Arial"/>
          <w:sz w:val="22"/>
          <w:szCs w:val="22"/>
        </w:rPr>
        <w:t xml:space="preserve"> korisnog prostora</w:t>
      </w:r>
      <w:r>
        <w:tab/>
        <w:t xml:space="preserve">          </w:t>
      </w:r>
      <w:r>
        <w:tab/>
        <w:t xml:space="preserve">          20      PGM</w:t>
      </w:r>
    </w:p>
    <w:p w:rsidR="00012172" w:rsidRDefault="00012172">
      <w:pPr>
        <w:numPr>
          <w:ilvl w:val="12"/>
          <w:numId w:val="0"/>
        </w:numPr>
      </w:pPr>
      <w:r>
        <w:t xml:space="preserve">4. </w:t>
      </w:r>
      <w:r>
        <w:rPr>
          <w:rFonts w:ascii="Arial" w:hAnsi="Arial" w:cs="Arial"/>
          <w:sz w:val="22"/>
          <w:szCs w:val="22"/>
        </w:rPr>
        <w:t>TRGOVINA</w:t>
      </w:r>
      <w:r>
        <w:tab/>
      </w:r>
      <w:r>
        <w:tab/>
        <w:t xml:space="preserve">             </w:t>
      </w:r>
      <w:r>
        <w:tab/>
        <w:t xml:space="preserve">    </w:t>
      </w:r>
      <w:smartTag w:uri="urn:schemas-microsoft-com:office:smarttags" w:element="metricconverter">
        <w:smartTagPr>
          <w:attr w:name="ProductID" w:val="1000 m2"/>
        </w:smartTagPr>
        <w:r>
          <w:rPr>
            <w:rFonts w:ascii="Arial" w:hAnsi="Arial" w:cs="Arial"/>
            <w:sz w:val="22"/>
            <w:szCs w:val="22"/>
          </w:rPr>
          <w:t>1000 m</w:t>
        </w:r>
        <w:r>
          <w:rPr>
            <w:rFonts w:ascii="Arial" w:hAnsi="Arial" w:cs="Arial"/>
            <w:sz w:val="22"/>
            <w:szCs w:val="22"/>
            <w:vertAlign w:val="superscript"/>
          </w:rPr>
          <w:t>2</w:t>
        </w:r>
      </w:smartTag>
      <w:r>
        <w:rPr>
          <w:rFonts w:ascii="Arial" w:hAnsi="Arial" w:cs="Arial"/>
          <w:sz w:val="22"/>
          <w:szCs w:val="22"/>
        </w:rPr>
        <w:t xml:space="preserve"> korisnog prostora</w:t>
      </w:r>
      <w:r>
        <w:tab/>
      </w:r>
      <w:r>
        <w:tab/>
        <w:t xml:space="preserve">          40      PGM</w:t>
      </w:r>
    </w:p>
    <w:p w:rsidR="00012172" w:rsidRDefault="00012172">
      <w:pPr>
        <w:numPr>
          <w:ilvl w:val="12"/>
          <w:numId w:val="0"/>
        </w:numPr>
      </w:pPr>
      <w:r>
        <w:t xml:space="preserve">5. </w:t>
      </w:r>
      <w:r>
        <w:rPr>
          <w:rFonts w:ascii="Arial" w:hAnsi="Arial" w:cs="Arial"/>
          <w:sz w:val="22"/>
          <w:szCs w:val="22"/>
        </w:rPr>
        <w:t xml:space="preserve">BANKA, POŠTA, </w:t>
      </w:r>
      <w:r w:rsidR="003722FA">
        <w:rPr>
          <w:rFonts w:ascii="Arial" w:hAnsi="Arial" w:cs="Arial"/>
          <w:sz w:val="22"/>
          <w:szCs w:val="22"/>
        </w:rPr>
        <w:t>HOTEL,</w:t>
      </w:r>
      <w:r>
        <w:t xml:space="preserve"> </w:t>
      </w:r>
      <w:r w:rsidR="003722FA">
        <w:rPr>
          <w:rFonts w:ascii="Arial" w:hAnsi="Arial" w:cs="Arial"/>
          <w:sz w:val="22"/>
          <w:szCs w:val="22"/>
        </w:rPr>
        <w:t xml:space="preserve">USLUGE </w:t>
      </w:r>
      <w:smartTag w:uri="urn:schemas-microsoft-com:office:smarttags" w:element="metricconverter">
        <w:smartTagPr>
          <w:attr w:name="ProductID" w:val="1000 m2"/>
        </w:smartTagPr>
        <w:r>
          <w:rPr>
            <w:rFonts w:ascii="Arial" w:hAnsi="Arial" w:cs="Arial"/>
            <w:sz w:val="22"/>
            <w:szCs w:val="22"/>
          </w:rPr>
          <w:t>1000 m</w:t>
        </w:r>
        <w:r>
          <w:rPr>
            <w:rFonts w:ascii="Arial" w:hAnsi="Arial" w:cs="Arial"/>
            <w:sz w:val="22"/>
            <w:szCs w:val="22"/>
            <w:vertAlign w:val="superscript"/>
          </w:rPr>
          <w:t>2</w:t>
        </w:r>
      </w:smartTag>
      <w:r>
        <w:rPr>
          <w:rFonts w:ascii="Arial" w:hAnsi="Arial" w:cs="Arial"/>
          <w:sz w:val="22"/>
          <w:szCs w:val="22"/>
        </w:rPr>
        <w:t xml:space="preserve"> korisnog prostora</w:t>
      </w:r>
      <w:r>
        <w:tab/>
      </w:r>
      <w:r>
        <w:tab/>
        <w:t xml:space="preserve">          40      PGM</w:t>
      </w:r>
    </w:p>
    <w:p w:rsidR="00012172" w:rsidRDefault="00012172">
      <w:pPr>
        <w:numPr>
          <w:ilvl w:val="12"/>
          <w:numId w:val="0"/>
        </w:numPr>
      </w:pPr>
      <w:r>
        <w:t xml:space="preserve">6. </w:t>
      </w:r>
      <w:r>
        <w:rPr>
          <w:rFonts w:ascii="Arial" w:hAnsi="Arial" w:cs="Arial"/>
          <w:sz w:val="22"/>
          <w:szCs w:val="22"/>
        </w:rPr>
        <w:t>UGOSTITELJSTVO</w:t>
      </w:r>
      <w:r>
        <w:tab/>
      </w:r>
      <w:r>
        <w:tab/>
        <w:t xml:space="preserve">    </w:t>
      </w:r>
      <w:smartTag w:uri="urn:schemas-microsoft-com:office:smarttags" w:element="metricconverter">
        <w:smartTagPr>
          <w:attr w:name="ProductID" w:val="1000 m2"/>
        </w:smartTagPr>
        <w:r>
          <w:rPr>
            <w:rFonts w:ascii="Arial" w:hAnsi="Arial" w:cs="Arial"/>
            <w:sz w:val="22"/>
            <w:szCs w:val="22"/>
          </w:rPr>
          <w:t>1000 m</w:t>
        </w:r>
        <w:r>
          <w:rPr>
            <w:rFonts w:ascii="Arial" w:hAnsi="Arial" w:cs="Arial"/>
            <w:sz w:val="22"/>
            <w:szCs w:val="22"/>
            <w:vertAlign w:val="superscript"/>
          </w:rPr>
          <w:t>2</w:t>
        </w:r>
      </w:smartTag>
      <w:r>
        <w:rPr>
          <w:rFonts w:ascii="Arial" w:hAnsi="Arial" w:cs="Arial"/>
          <w:sz w:val="22"/>
          <w:szCs w:val="22"/>
        </w:rPr>
        <w:t xml:space="preserve"> korisnog prostora</w:t>
      </w:r>
      <w:r>
        <w:rPr>
          <w:rFonts w:ascii="Arial" w:hAnsi="Arial" w:cs="Arial"/>
          <w:sz w:val="22"/>
          <w:szCs w:val="22"/>
        </w:rPr>
        <w:tab/>
      </w:r>
      <w:r>
        <w:tab/>
        <w:t xml:space="preserve">          10      PGM</w:t>
      </w:r>
    </w:p>
    <w:p w:rsidR="00012172" w:rsidRPr="00165BAC" w:rsidRDefault="00012172">
      <w:pPr>
        <w:numPr>
          <w:ilvl w:val="12"/>
          <w:numId w:val="0"/>
        </w:numPr>
      </w:pPr>
      <w:r w:rsidRPr="00165BAC">
        <w:t xml:space="preserve">7. </w:t>
      </w:r>
      <w:r>
        <w:rPr>
          <w:rFonts w:ascii="Arial" w:hAnsi="Arial" w:cs="Arial"/>
          <w:sz w:val="22"/>
          <w:szCs w:val="22"/>
          <w:lang w:val="de-DE"/>
        </w:rPr>
        <w:t>VI</w:t>
      </w:r>
      <w:r w:rsidRPr="00165BAC">
        <w:rPr>
          <w:rFonts w:ascii="Arial" w:hAnsi="Arial" w:cs="Arial"/>
          <w:sz w:val="22"/>
          <w:szCs w:val="22"/>
        </w:rPr>
        <w:t>Š</w:t>
      </w:r>
      <w:r>
        <w:rPr>
          <w:rFonts w:ascii="Arial" w:hAnsi="Arial" w:cs="Arial"/>
          <w:sz w:val="22"/>
          <w:szCs w:val="22"/>
          <w:lang w:val="de-DE"/>
        </w:rPr>
        <w:t>ENAMJENSKE</w:t>
      </w:r>
      <w:r w:rsidRPr="00165BAC">
        <w:rPr>
          <w:rFonts w:ascii="Arial" w:hAnsi="Arial" w:cs="Arial"/>
          <w:sz w:val="22"/>
          <w:szCs w:val="22"/>
        </w:rPr>
        <w:t xml:space="preserve">  </w:t>
      </w:r>
      <w:r>
        <w:rPr>
          <w:rFonts w:ascii="Arial" w:hAnsi="Arial" w:cs="Arial"/>
          <w:sz w:val="22"/>
          <w:szCs w:val="22"/>
          <w:lang w:val="de-DE"/>
        </w:rPr>
        <w:t>DVORANE</w:t>
      </w:r>
      <w:r w:rsidRPr="00165BAC">
        <w:tab/>
      </w:r>
      <w:r w:rsidRPr="00165BAC">
        <w:tab/>
        <w:t xml:space="preserve">   </w:t>
      </w:r>
      <w:r w:rsidRPr="00165BAC">
        <w:rPr>
          <w:rFonts w:ascii="Arial" w:hAnsi="Arial" w:cs="Arial"/>
          <w:sz w:val="22"/>
          <w:szCs w:val="22"/>
        </w:rPr>
        <w:t xml:space="preserve">1 </w:t>
      </w:r>
      <w:r>
        <w:rPr>
          <w:rFonts w:ascii="Arial" w:hAnsi="Arial" w:cs="Arial"/>
          <w:sz w:val="22"/>
          <w:szCs w:val="22"/>
          <w:lang w:val="de-DE"/>
        </w:rPr>
        <w:t>gledatelj</w:t>
      </w:r>
      <w:r w:rsidRPr="00165BAC">
        <w:tab/>
      </w:r>
      <w:r w:rsidRPr="00165BAC">
        <w:tab/>
      </w:r>
      <w:r w:rsidRPr="00165BAC">
        <w:tab/>
      </w:r>
      <w:r w:rsidRPr="00165BAC">
        <w:tab/>
        <w:t xml:space="preserve">0,15 </w:t>
      </w:r>
      <w:r>
        <w:rPr>
          <w:lang w:val="de-DE"/>
        </w:rPr>
        <w:t>PGM</w:t>
      </w:r>
    </w:p>
    <w:p w:rsidR="00012172" w:rsidRPr="00BC2A4D" w:rsidRDefault="00012172">
      <w:pPr>
        <w:numPr>
          <w:ilvl w:val="12"/>
          <w:numId w:val="0"/>
        </w:numPr>
        <w:pBdr>
          <w:bottom w:val="single" w:sz="6" w:space="1" w:color="auto"/>
        </w:pBdr>
      </w:pPr>
      <w:r w:rsidRPr="00165BAC">
        <w:t xml:space="preserve">8. </w:t>
      </w:r>
      <w:r w:rsidRPr="00165BAC">
        <w:rPr>
          <w:rFonts w:ascii="Arial" w:hAnsi="Arial" w:cs="Arial"/>
          <w:sz w:val="22"/>
          <w:szCs w:val="22"/>
        </w:rPr>
        <w:t>Š</w:t>
      </w:r>
      <w:r>
        <w:rPr>
          <w:rFonts w:ascii="Arial" w:hAnsi="Arial" w:cs="Arial"/>
          <w:sz w:val="22"/>
          <w:szCs w:val="22"/>
          <w:lang w:val="de-DE"/>
        </w:rPr>
        <w:t>PORTSKE</w:t>
      </w:r>
      <w:r w:rsidRPr="00165BAC">
        <w:rPr>
          <w:rFonts w:ascii="Arial" w:hAnsi="Arial" w:cs="Arial"/>
          <w:sz w:val="22"/>
          <w:szCs w:val="22"/>
        </w:rPr>
        <w:t xml:space="preserve">  </w:t>
      </w:r>
      <w:r>
        <w:rPr>
          <w:rFonts w:ascii="Arial" w:hAnsi="Arial" w:cs="Arial"/>
          <w:sz w:val="22"/>
          <w:szCs w:val="22"/>
          <w:lang w:val="de-DE"/>
        </w:rPr>
        <w:t>GRA</w:t>
      </w:r>
      <w:r w:rsidRPr="00165BAC">
        <w:rPr>
          <w:rFonts w:ascii="Arial" w:hAnsi="Arial" w:cs="Arial"/>
          <w:sz w:val="22"/>
          <w:szCs w:val="22"/>
        </w:rPr>
        <w:t>Ð</w:t>
      </w:r>
      <w:r>
        <w:rPr>
          <w:rFonts w:ascii="Arial" w:hAnsi="Arial" w:cs="Arial"/>
          <w:sz w:val="22"/>
          <w:szCs w:val="22"/>
          <w:lang w:val="de-DE"/>
        </w:rPr>
        <w:t>EVINE</w:t>
      </w:r>
      <w:r w:rsidRPr="00165BAC">
        <w:tab/>
      </w:r>
      <w:r w:rsidRPr="00165BAC">
        <w:tab/>
      </w:r>
      <w:r w:rsidRPr="00165BAC">
        <w:rPr>
          <w:rFonts w:ascii="Arial" w:hAnsi="Arial" w:cs="Arial"/>
          <w:sz w:val="22"/>
          <w:szCs w:val="22"/>
        </w:rPr>
        <w:t xml:space="preserve">   1 </w:t>
      </w:r>
      <w:r>
        <w:rPr>
          <w:rFonts w:ascii="Arial" w:hAnsi="Arial" w:cs="Arial"/>
          <w:sz w:val="22"/>
          <w:szCs w:val="22"/>
          <w:lang w:val="de-DE"/>
        </w:rPr>
        <w:t>gledatelj</w:t>
      </w:r>
      <w:r w:rsidRPr="00165BAC">
        <w:tab/>
      </w:r>
      <w:r w:rsidRPr="00165BAC">
        <w:tab/>
      </w:r>
      <w:r w:rsidRPr="00165BAC">
        <w:tab/>
      </w:r>
      <w:r w:rsidRPr="00165BAC">
        <w:tab/>
        <w:t xml:space="preserve">0,20 </w:t>
      </w:r>
      <w:r>
        <w:rPr>
          <w:lang w:val="de-DE"/>
        </w:rPr>
        <w:t>PGM</w:t>
      </w:r>
    </w:p>
    <w:p w:rsidR="00012172" w:rsidRPr="00165BAC" w:rsidRDefault="00012172">
      <w:pPr>
        <w:numPr>
          <w:ilvl w:val="12"/>
          <w:numId w:val="0"/>
        </w:numPr>
      </w:pPr>
    </w:p>
    <w:p w:rsidR="00012172" w:rsidRPr="00165BAC" w:rsidRDefault="00012172">
      <w:pPr>
        <w:numPr>
          <w:ilvl w:val="0"/>
          <w:numId w:val="23"/>
        </w:numPr>
        <w:jc w:val="both"/>
        <w:rPr>
          <w:szCs w:val="22"/>
        </w:rPr>
      </w:pPr>
      <w:r>
        <w:rPr>
          <w:szCs w:val="22"/>
          <w:lang w:val="de-DE"/>
        </w:rPr>
        <w:t>Smje</w:t>
      </w:r>
      <w:r w:rsidRPr="00165BAC">
        <w:rPr>
          <w:szCs w:val="22"/>
        </w:rPr>
        <w:t>š</w:t>
      </w:r>
      <w:r>
        <w:rPr>
          <w:szCs w:val="22"/>
          <w:lang w:val="de-DE"/>
        </w:rPr>
        <w:t>taj</w:t>
      </w:r>
      <w:r w:rsidRPr="00165BAC">
        <w:rPr>
          <w:szCs w:val="22"/>
        </w:rPr>
        <w:t xml:space="preserve"> </w:t>
      </w:r>
      <w:r>
        <w:rPr>
          <w:szCs w:val="22"/>
          <w:lang w:val="de-DE"/>
        </w:rPr>
        <w:t>potrebnog</w:t>
      </w:r>
      <w:r w:rsidRPr="00165BAC">
        <w:rPr>
          <w:szCs w:val="22"/>
        </w:rPr>
        <w:t xml:space="preserve"> </w:t>
      </w:r>
      <w:r>
        <w:rPr>
          <w:szCs w:val="22"/>
          <w:lang w:val="de-DE"/>
        </w:rPr>
        <w:t>broja</w:t>
      </w:r>
      <w:r w:rsidRPr="00165BAC">
        <w:rPr>
          <w:szCs w:val="22"/>
        </w:rPr>
        <w:t xml:space="preserve"> </w:t>
      </w:r>
      <w:r>
        <w:rPr>
          <w:szCs w:val="22"/>
          <w:lang w:val="de-DE"/>
        </w:rPr>
        <w:t>parkirali</w:t>
      </w:r>
      <w:r w:rsidRPr="00165BAC">
        <w:rPr>
          <w:szCs w:val="22"/>
        </w:rPr>
        <w:t>š</w:t>
      </w:r>
      <w:r>
        <w:rPr>
          <w:szCs w:val="22"/>
          <w:lang w:val="de-DE"/>
        </w:rPr>
        <w:t>nih</w:t>
      </w:r>
      <w:r w:rsidRPr="00165BAC">
        <w:rPr>
          <w:szCs w:val="22"/>
        </w:rPr>
        <w:t xml:space="preserve"> </w:t>
      </w:r>
      <w:r>
        <w:rPr>
          <w:szCs w:val="22"/>
          <w:lang w:val="de-DE"/>
        </w:rPr>
        <w:t>mjesta</w:t>
      </w:r>
      <w:r w:rsidRPr="00165BAC">
        <w:rPr>
          <w:szCs w:val="22"/>
        </w:rPr>
        <w:t xml:space="preserve"> </w:t>
      </w:r>
      <w:r>
        <w:rPr>
          <w:szCs w:val="22"/>
          <w:lang w:val="de-DE"/>
        </w:rPr>
        <w:t>je</w:t>
      </w:r>
      <w:r w:rsidRPr="00165BAC">
        <w:rPr>
          <w:szCs w:val="22"/>
        </w:rPr>
        <w:t xml:space="preserve"> </w:t>
      </w:r>
      <w:r>
        <w:rPr>
          <w:szCs w:val="22"/>
          <w:lang w:val="de-DE"/>
        </w:rPr>
        <w:t>potrebno</w:t>
      </w:r>
      <w:r w:rsidRPr="00165BAC">
        <w:rPr>
          <w:szCs w:val="22"/>
        </w:rPr>
        <w:t xml:space="preserve"> </w:t>
      </w:r>
      <w:r>
        <w:rPr>
          <w:szCs w:val="22"/>
          <w:lang w:val="de-DE"/>
        </w:rPr>
        <w:t>predvidjeti</w:t>
      </w:r>
      <w:r w:rsidRPr="00165BAC">
        <w:rPr>
          <w:szCs w:val="22"/>
        </w:rPr>
        <w:t xml:space="preserve"> </w:t>
      </w:r>
      <w:r>
        <w:rPr>
          <w:szCs w:val="22"/>
          <w:lang w:val="de-DE"/>
        </w:rPr>
        <w:t>na</w:t>
      </w:r>
      <w:r w:rsidRPr="00165BAC">
        <w:rPr>
          <w:szCs w:val="22"/>
        </w:rPr>
        <w:t xml:space="preserve"> </w:t>
      </w:r>
      <w:r>
        <w:rPr>
          <w:szCs w:val="22"/>
          <w:lang w:val="de-DE"/>
        </w:rPr>
        <w:t>parceli</w:t>
      </w:r>
      <w:r w:rsidRPr="00165BAC">
        <w:rPr>
          <w:szCs w:val="22"/>
        </w:rPr>
        <w:t xml:space="preserve"> </w:t>
      </w:r>
      <w:r>
        <w:rPr>
          <w:szCs w:val="22"/>
          <w:lang w:val="de-DE"/>
        </w:rPr>
        <w:t>ili</w:t>
      </w:r>
      <w:r w:rsidRPr="00165BAC">
        <w:rPr>
          <w:szCs w:val="22"/>
        </w:rPr>
        <w:t xml:space="preserve"> </w:t>
      </w:r>
      <w:r>
        <w:rPr>
          <w:szCs w:val="22"/>
          <w:lang w:val="de-DE"/>
        </w:rPr>
        <w:t>u</w:t>
      </w:r>
      <w:r w:rsidRPr="00165BAC">
        <w:rPr>
          <w:szCs w:val="22"/>
        </w:rPr>
        <w:t xml:space="preserve"> </w:t>
      </w:r>
      <w:r>
        <w:rPr>
          <w:szCs w:val="22"/>
          <w:lang w:val="de-DE"/>
        </w:rPr>
        <w:t>sklopu</w:t>
      </w:r>
      <w:r w:rsidRPr="00165BAC">
        <w:rPr>
          <w:szCs w:val="22"/>
        </w:rPr>
        <w:t xml:space="preserve"> </w:t>
      </w:r>
      <w:r>
        <w:rPr>
          <w:szCs w:val="22"/>
          <w:lang w:val="de-DE"/>
        </w:rPr>
        <w:t>zelenog</w:t>
      </w:r>
      <w:r w:rsidRPr="00165BAC">
        <w:rPr>
          <w:szCs w:val="22"/>
        </w:rPr>
        <w:t xml:space="preserve"> </w:t>
      </w:r>
      <w:r>
        <w:rPr>
          <w:szCs w:val="22"/>
          <w:lang w:val="de-DE"/>
        </w:rPr>
        <w:t>pojasa</w:t>
      </w:r>
      <w:r w:rsidRPr="00165BAC">
        <w:rPr>
          <w:szCs w:val="22"/>
        </w:rPr>
        <w:t xml:space="preserve"> </w:t>
      </w:r>
      <w:r>
        <w:rPr>
          <w:szCs w:val="22"/>
          <w:lang w:val="de-DE"/>
        </w:rPr>
        <w:t>ispred</w:t>
      </w:r>
      <w:r w:rsidRPr="00165BAC">
        <w:rPr>
          <w:szCs w:val="22"/>
        </w:rPr>
        <w:t xml:space="preserve"> </w:t>
      </w:r>
      <w:r>
        <w:rPr>
          <w:szCs w:val="22"/>
          <w:lang w:val="de-DE"/>
        </w:rPr>
        <w:t>parcele</w:t>
      </w:r>
      <w:r w:rsidRPr="00165BAC">
        <w:rPr>
          <w:szCs w:val="22"/>
        </w:rPr>
        <w:t xml:space="preserve"> </w:t>
      </w:r>
      <w:r>
        <w:rPr>
          <w:szCs w:val="22"/>
          <w:lang w:val="de-DE"/>
        </w:rPr>
        <w:t>zu</w:t>
      </w:r>
      <w:r w:rsidRPr="00165BAC">
        <w:rPr>
          <w:szCs w:val="22"/>
        </w:rPr>
        <w:t xml:space="preserve"> </w:t>
      </w:r>
      <w:r>
        <w:rPr>
          <w:szCs w:val="22"/>
          <w:lang w:val="de-DE"/>
        </w:rPr>
        <w:t>suglasnost</w:t>
      </w:r>
      <w:r w:rsidRPr="00165BAC">
        <w:rPr>
          <w:szCs w:val="22"/>
        </w:rPr>
        <w:t xml:space="preserve"> </w:t>
      </w:r>
      <w:r>
        <w:rPr>
          <w:szCs w:val="22"/>
          <w:lang w:val="de-DE"/>
        </w:rPr>
        <w:t>pravne</w:t>
      </w:r>
      <w:r w:rsidRPr="00165BAC">
        <w:rPr>
          <w:szCs w:val="22"/>
        </w:rPr>
        <w:t xml:space="preserve"> </w:t>
      </w:r>
      <w:r>
        <w:rPr>
          <w:szCs w:val="22"/>
          <w:lang w:val="de-DE"/>
        </w:rPr>
        <w:t>osobe</w:t>
      </w:r>
      <w:r w:rsidRPr="00165BAC">
        <w:rPr>
          <w:szCs w:val="22"/>
        </w:rPr>
        <w:t xml:space="preserve"> </w:t>
      </w:r>
      <w:r>
        <w:rPr>
          <w:szCs w:val="22"/>
          <w:lang w:val="de-DE"/>
        </w:rPr>
        <w:t>koja</w:t>
      </w:r>
      <w:r w:rsidRPr="00165BAC">
        <w:rPr>
          <w:szCs w:val="22"/>
        </w:rPr>
        <w:t xml:space="preserve"> </w:t>
      </w:r>
      <w:r>
        <w:rPr>
          <w:szCs w:val="22"/>
          <w:lang w:val="de-DE"/>
        </w:rPr>
        <w:t>upravlja</w:t>
      </w:r>
      <w:r w:rsidRPr="00165BAC">
        <w:rPr>
          <w:szCs w:val="22"/>
        </w:rPr>
        <w:t xml:space="preserve"> </w:t>
      </w:r>
      <w:r>
        <w:rPr>
          <w:szCs w:val="22"/>
          <w:lang w:val="de-DE"/>
        </w:rPr>
        <w:t>cestom</w:t>
      </w:r>
      <w:r w:rsidRPr="00165BAC">
        <w:rPr>
          <w:szCs w:val="22"/>
        </w:rPr>
        <w:t>.</w:t>
      </w:r>
    </w:p>
    <w:p w:rsidR="00012172" w:rsidRPr="00165BAC" w:rsidRDefault="00012172">
      <w:pPr>
        <w:jc w:val="both"/>
        <w:rPr>
          <w:rFonts w:ascii="Arial" w:hAnsi="Arial" w:cs="Arial"/>
          <w:sz w:val="22"/>
          <w:szCs w:val="22"/>
        </w:rPr>
      </w:pPr>
    </w:p>
    <w:p w:rsidR="00012172" w:rsidRPr="00165BAC" w:rsidRDefault="00012172">
      <w:pPr>
        <w:jc w:val="both"/>
        <w:rPr>
          <w:rFonts w:ascii="Arial" w:hAnsi="Arial" w:cs="Arial"/>
          <w:sz w:val="22"/>
          <w:szCs w:val="22"/>
        </w:rPr>
      </w:pPr>
    </w:p>
    <w:p w:rsidR="00012172" w:rsidRDefault="00012172">
      <w:pPr>
        <w:pStyle w:val="Naslov6"/>
        <w:numPr>
          <w:ilvl w:val="12"/>
          <w:numId w:val="0"/>
        </w:numPr>
        <w:rPr>
          <w:rFonts w:ascii="Times New Roman" w:hAnsi="Times New Roman"/>
          <w:bCs w:val="0"/>
          <w:sz w:val="24"/>
        </w:rPr>
      </w:pPr>
      <w:r>
        <w:rPr>
          <w:rFonts w:ascii="Times New Roman" w:hAnsi="Times New Roman"/>
          <w:bCs w:val="0"/>
          <w:sz w:val="24"/>
        </w:rPr>
        <w:t>Udaljenost građevina od ruba parcele</w:t>
      </w:r>
    </w:p>
    <w:p w:rsidR="00012172" w:rsidRDefault="00012172">
      <w:pPr>
        <w:pStyle w:val="xl30"/>
        <w:numPr>
          <w:ilvl w:val="12"/>
          <w:numId w:val="0"/>
        </w:numPr>
        <w:pBdr>
          <w:left w:val="none" w:sz="0" w:space="0" w:color="auto"/>
          <w:bottom w:val="none" w:sz="0" w:space="0" w:color="auto"/>
        </w:pBdr>
        <w:spacing w:before="0" w:beforeAutospacing="0" w:after="0" w:afterAutospacing="0"/>
        <w:rPr>
          <w:rFonts w:ascii="Times New Roman" w:hAnsi="Times New Roman"/>
          <w:szCs w:val="22"/>
        </w:rPr>
      </w:pPr>
      <w:r>
        <w:rPr>
          <w:rFonts w:ascii="Times New Roman" w:hAnsi="Times New Roman"/>
          <w:szCs w:val="22"/>
        </w:rPr>
        <w:t>Članak 32.</w:t>
      </w:r>
    </w:p>
    <w:p w:rsidR="00012172" w:rsidRDefault="00012172">
      <w:pPr>
        <w:numPr>
          <w:ilvl w:val="12"/>
          <w:numId w:val="0"/>
        </w:numPr>
        <w:jc w:val="both"/>
        <w:rPr>
          <w:szCs w:val="22"/>
        </w:rPr>
      </w:pPr>
      <w:r>
        <w:rPr>
          <w:szCs w:val="22"/>
        </w:rPr>
        <w:t xml:space="preserve">(1) Građevine koje se izgrađuju na slobodnostojeći način ne mogu se graditi na udaljenosti manjoj od </w:t>
      </w:r>
      <w:smartTag w:uri="urn:schemas-microsoft-com:office:smarttags" w:element="metricconverter">
        <w:smartTagPr>
          <w:attr w:name="ProductID" w:val="1,0 m"/>
        </w:smartTagPr>
        <w:r>
          <w:rPr>
            <w:szCs w:val="22"/>
          </w:rPr>
          <w:t>1,0 m</w:t>
        </w:r>
      </w:smartTag>
      <w:r>
        <w:rPr>
          <w:szCs w:val="22"/>
        </w:rPr>
        <w:t xml:space="preserve"> od bliže susjedne međe. </w:t>
      </w:r>
    </w:p>
    <w:p w:rsidR="00012172" w:rsidRDefault="00012172">
      <w:pPr>
        <w:numPr>
          <w:ilvl w:val="12"/>
          <w:numId w:val="0"/>
        </w:numPr>
        <w:jc w:val="both"/>
      </w:pPr>
    </w:p>
    <w:p w:rsidR="00012172" w:rsidRDefault="00012172">
      <w:pPr>
        <w:numPr>
          <w:ilvl w:val="12"/>
          <w:numId w:val="0"/>
        </w:numPr>
        <w:jc w:val="both"/>
        <w:rPr>
          <w:szCs w:val="22"/>
        </w:rPr>
      </w:pPr>
      <w:r>
        <w:rPr>
          <w:szCs w:val="22"/>
        </w:rPr>
        <w:t xml:space="preserve">(2) Na dijelu građevine koja je izgrađena na udaljenosti manjoj od </w:t>
      </w:r>
      <w:smartTag w:uri="urn:schemas-microsoft-com:office:smarttags" w:element="metricconverter">
        <w:smartTagPr>
          <w:attr w:name="ProductID" w:val="3,0 m"/>
        </w:smartTagPr>
        <w:r>
          <w:rPr>
            <w:szCs w:val="22"/>
          </w:rPr>
          <w:t>3,0 m</w:t>
        </w:r>
      </w:smartTag>
      <w:r>
        <w:rPr>
          <w:szCs w:val="22"/>
        </w:rPr>
        <w:t xml:space="preserve"> od susjedne međe, ne mogu se projektirati niti izvoditi otvori osim ako se na susjednoj građevnoj čestici nalazi javna površina (javni put, zelenilo i sl.).</w:t>
      </w:r>
    </w:p>
    <w:p w:rsidR="00012172" w:rsidRDefault="00012172">
      <w:pPr>
        <w:numPr>
          <w:ilvl w:val="12"/>
          <w:numId w:val="0"/>
        </w:numPr>
        <w:jc w:val="both"/>
      </w:pPr>
    </w:p>
    <w:p w:rsidR="00012172" w:rsidRDefault="00012172">
      <w:pPr>
        <w:numPr>
          <w:ilvl w:val="12"/>
          <w:numId w:val="0"/>
        </w:numPr>
        <w:jc w:val="both"/>
      </w:pPr>
      <w:r>
        <w:rPr>
          <w:szCs w:val="22"/>
        </w:rPr>
        <w:t xml:space="preserve">(3) Otvorima se u smislu stavke 1. i 2. ovoga članka ne smatraju ustakljenja neprozirnim staklom maksimalne veličine 60 x </w:t>
      </w:r>
      <w:smartTag w:uri="urn:schemas-microsoft-com:office:smarttags" w:element="metricconverter">
        <w:smartTagPr>
          <w:attr w:name="ProductID" w:val="60 cm"/>
        </w:smartTagPr>
        <w:r>
          <w:rPr>
            <w:szCs w:val="22"/>
          </w:rPr>
          <w:t>60 cm</w:t>
        </w:r>
      </w:smartTag>
      <w:r>
        <w:rPr>
          <w:szCs w:val="22"/>
        </w:rPr>
        <w:t xml:space="preserve">, dijelovi zida od staklene opeke, ventilacioni otvori maksimalnog promjera, odnosno stranice </w:t>
      </w:r>
      <w:smartTag w:uri="urn:schemas-microsoft-com:office:smarttags" w:element="metricconverter">
        <w:smartTagPr>
          <w:attr w:name="ProductID" w:val="15 cm"/>
        </w:smartTagPr>
        <w:r>
          <w:rPr>
            <w:szCs w:val="22"/>
          </w:rPr>
          <w:t>15 cm</w:t>
        </w:r>
      </w:smartTag>
      <w:r>
        <w:rPr>
          <w:szCs w:val="22"/>
        </w:rPr>
        <w:t>, a kroz koje se ventilacija odvija prirodnim putem i kroz koji nije moguće ostvariti vizualni kontakt.</w:t>
      </w:r>
    </w:p>
    <w:p w:rsidR="00012172" w:rsidRDefault="00012172">
      <w:pPr>
        <w:numPr>
          <w:ilvl w:val="12"/>
          <w:numId w:val="0"/>
        </w:numPr>
      </w:pPr>
    </w:p>
    <w:p w:rsidR="00012172" w:rsidRDefault="00012172">
      <w:pPr>
        <w:numPr>
          <w:ilvl w:val="12"/>
          <w:numId w:val="0"/>
        </w:numPr>
        <w:jc w:val="center"/>
        <w:rPr>
          <w:szCs w:val="22"/>
        </w:rPr>
      </w:pPr>
      <w:r>
        <w:rPr>
          <w:szCs w:val="22"/>
        </w:rPr>
        <w:t>Članak 33.</w:t>
      </w:r>
    </w:p>
    <w:p w:rsidR="00012172" w:rsidRDefault="00012172">
      <w:pPr>
        <w:numPr>
          <w:ilvl w:val="12"/>
          <w:numId w:val="0"/>
        </w:numPr>
        <w:jc w:val="both"/>
        <w:rPr>
          <w:szCs w:val="22"/>
        </w:rPr>
      </w:pPr>
      <w:r>
        <w:rPr>
          <w:szCs w:val="22"/>
        </w:rPr>
        <w:t>(1) Građevine koje se izgrađuju na poluotvoreni način (dvojne građevine) jednom svojom stranom se prislanjaju na granicu susjedne građevinske parcele, odnosno uz susjednu građevinu.</w:t>
      </w:r>
    </w:p>
    <w:p w:rsidR="00012172" w:rsidRDefault="00012172">
      <w:pPr>
        <w:numPr>
          <w:ilvl w:val="12"/>
          <w:numId w:val="0"/>
        </w:numPr>
        <w:jc w:val="both"/>
      </w:pPr>
    </w:p>
    <w:p w:rsidR="00012172" w:rsidRDefault="00012172">
      <w:pPr>
        <w:numPr>
          <w:ilvl w:val="12"/>
          <w:numId w:val="0"/>
        </w:numPr>
        <w:jc w:val="both"/>
        <w:rPr>
          <w:szCs w:val="22"/>
        </w:rPr>
      </w:pPr>
      <w:r>
        <w:rPr>
          <w:szCs w:val="22"/>
        </w:rPr>
        <w:t>(2) Zid između dvije građevine mora se izvesti kao protupožarni, vatrootpornosti od najmanje 2 sata.</w:t>
      </w:r>
    </w:p>
    <w:p w:rsidR="00012172" w:rsidRDefault="00012172">
      <w:pPr>
        <w:numPr>
          <w:ilvl w:val="12"/>
          <w:numId w:val="0"/>
        </w:numPr>
        <w:ind w:firstLine="720"/>
        <w:jc w:val="both"/>
      </w:pPr>
    </w:p>
    <w:p w:rsidR="00012172" w:rsidRDefault="00012172">
      <w:pPr>
        <w:numPr>
          <w:ilvl w:val="12"/>
          <w:numId w:val="0"/>
        </w:numPr>
        <w:jc w:val="center"/>
        <w:rPr>
          <w:szCs w:val="22"/>
        </w:rPr>
      </w:pPr>
      <w:r>
        <w:rPr>
          <w:szCs w:val="22"/>
        </w:rPr>
        <w:t>Članak 34.</w:t>
      </w:r>
    </w:p>
    <w:p w:rsidR="00012172" w:rsidRDefault="00012172">
      <w:pPr>
        <w:numPr>
          <w:ilvl w:val="12"/>
          <w:numId w:val="0"/>
        </w:numPr>
        <w:jc w:val="both"/>
        <w:rPr>
          <w:szCs w:val="22"/>
        </w:rPr>
      </w:pPr>
      <w:r>
        <w:rPr>
          <w:szCs w:val="22"/>
        </w:rPr>
        <w:t xml:space="preserve">(1) Udaljenost gnojišta i gospodarskih građevina u kojima se sprema sijeno i slama ili su izrađeni od drveta mora iznositi od susjedne međe najmanje </w:t>
      </w:r>
      <w:smartTag w:uri="urn:schemas-microsoft-com:office:smarttags" w:element="metricconverter">
        <w:smartTagPr>
          <w:attr w:name="ProductID" w:val="5,0 m"/>
        </w:smartTagPr>
        <w:r>
          <w:rPr>
            <w:szCs w:val="22"/>
          </w:rPr>
          <w:t>5,0 m</w:t>
        </w:r>
      </w:smartTag>
      <w:r>
        <w:rPr>
          <w:szCs w:val="22"/>
        </w:rPr>
        <w:t>.</w:t>
      </w:r>
    </w:p>
    <w:p w:rsidR="00012172" w:rsidRDefault="00012172">
      <w:pPr>
        <w:numPr>
          <w:ilvl w:val="12"/>
          <w:numId w:val="0"/>
        </w:numPr>
        <w:jc w:val="both"/>
        <w:rPr>
          <w:szCs w:val="22"/>
        </w:rPr>
      </w:pPr>
    </w:p>
    <w:p w:rsidR="00012172" w:rsidRDefault="00012172">
      <w:pPr>
        <w:numPr>
          <w:ilvl w:val="12"/>
          <w:numId w:val="0"/>
        </w:numPr>
        <w:jc w:val="both"/>
        <w:rPr>
          <w:szCs w:val="22"/>
        </w:rPr>
      </w:pPr>
      <w:r>
        <w:rPr>
          <w:szCs w:val="22"/>
        </w:rPr>
        <w:t xml:space="preserve">(2) Izuzetno, udaljenost gnojišta od susjedne međe može biti i manja, ali ne manja od </w:t>
      </w:r>
      <w:smartTag w:uri="urn:schemas-microsoft-com:office:smarttags" w:element="metricconverter">
        <w:smartTagPr>
          <w:attr w:name="ProductID" w:val="1,0 m"/>
        </w:smartTagPr>
        <w:r>
          <w:rPr>
            <w:szCs w:val="22"/>
          </w:rPr>
          <w:t>1,0 m</w:t>
        </w:r>
      </w:smartTag>
      <w:r>
        <w:rPr>
          <w:szCs w:val="22"/>
        </w:rPr>
        <w:t xml:space="preserve">, pod uvjetom da na toj dubini susjedne građevinske parcele već postoji gnojište, odnosno građevina s izvorima zagađenja. </w:t>
      </w:r>
    </w:p>
    <w:p w:rsidR="00012172" w:rsidRDefault="00012172">
      <w:pPr>
        <w:numPr>
          <w:ilvl w:val="12"/>
          <w:numId w:val="0"/>
        </w:numPr>
        <w:jc w:val="both"/>
        <w:rPr>
          <w:szCs w:val="22"/>
        </w:rPr>
      </w:pPr>
    </w:p>
    <w:p w:rsidR="00012172" w:rsidRDefault="00012172">
      <w:pPr>
        <w:numPr>
          <w:ilvl w:val="12"/>
          <w:numId w:val="0"/>
        </w:numPr>
        <w:jc w:val="both"/>
        <w:rPr>
          <w:szCs w:val="22"/>
        </w:rPr>
      </w:pPr>
      <w:r>
        <w:rPr>
          <w:szCs w:val="22"/>
        </w:rPr>
        <w:t xml:space="preserve">(3) Udaljenost pčelinjaka od susjedne međe ne može biti manja od </w:t>
      </w:r>
      <w:smartTag w:uri="urn:schemas-microsoft-com:office:smarttags" w:element="metricconverter">
        <w:smartTagPr>
          <w:attr w:name="ProductID" w:val="10,0 m"/>
        </w:smartTagPr>
        <w:r>
          <w:rPr>
            <w:szCs w:val="22"/>
          </w:rPr>
          <w:t>10,0 m</w:t>
        </w:r>
      </w:smartTag>
      <w:r>
        <w:rPr>
          <w:szCs w:val="22"/>
        </w:rPr>
        <w:t xml:space="preserve">, ako su letišta okrenuta prema međi, a najmanje </w:t>
      </w:r>
      <w:smartTag w:uri="urn:schemas-microsoft-com:office:smarttags" w:element="metricconverter">
        <w:smartTagPr>
          <w:attr w:name="ProductID" w:val="5,0 m"/>
        </w:smartTagPr>
        <w:r>
          <w:rPr>
            <w:szCs w:val="22"/>
          </w:rPr>
          <w:t>5,0 m</w:t>
        </w:r>
      </w:smartTag>
      <w:r>
        <w:rPr>
          <w:szCs w:val="22"/>
        </w:rPr>
        <w:t xml:space="preserve"> ako su okrenuta u suprotnom pravcu, odnosno sukladno posebnim propisima (Narodne novine br. 60/98.).</w:t>
      </w:r>
    </w:p>
    <w:p w:rsidR="00012172" w:rsidRDefault="00012172">
      <w:pPr>
        <w:jc w:val="both"/>
        <w:rPr>
          <w:szCs w:val="22"/>
        </w:rPr>
      </w:pPr>
    </w:p>
    <w:p w:rsidR="00012172" w:rsidRDefault="00012172">
      <w:pPr>
        <w:numPr>
          <w:ilvl w:val="12"/>
          <w:numId w:val="0"/>
        </w:numPr>
        <w:jc w:val="both"/>
        <w:rPr>
          <w:szCs w:val="22"/>
        </w:rPr>
      </w:pPr>
      <w:r>
        <w:rPr>
          <w:szCs w:val="22"/>
        </w:rPr>
        <w:t xml:space="preserve">(4) Udaljenost građevina od susjedne međe, u kojima se odvija sušenje putem visoke temperature (sušenje mesa, sušenje duhana, te sušenje drugih poljoprivrednih proizvoda), ne može biti manja od </w:t>
      </w:r>
      <w:smartTag w:uri="urn:schemas-microsoft-com:office:smarttags" w:element="metricconverter">
        <w:smartTagPr>
          <w:attr w:name="ProductID" w:val="3,0 m"/>
        </w:smartTagPr>
        <w:r>
          <w:rPr>
            <w:szCs w:val="22"/>
          </w:rPr>
          <w:t>3,0 m</w:t>
        </w:r>
      </w:smartTag>
      <w:r>
        <w:rPr>
          <w:szCs w:val="22"/>
        </w:rPr>
        <w:t>.</w:t>
      </w:r>
    </w:p>
    <w:p w:rsidR="00012172" w:rsidRDefault="00012172">
      <w:pPr>
        <w:numPr>
          <w:ilvl w:val="12"/>
          <w:numId w:val="0"/>
        </w:numPr>
        <w:jc w:val="both"/>
        <w:rPr>
          <w:szCs w:val="22"/>
        </w:rPr>
      </w:pPr>
    </w:p>
    <w:p w:rsidR="00012172" w:rsidRDefault="00012172">
      <w:pPr>
        <w:numPr>
          <w:ilvl w:val="12"/>
          <w:numId w:val="0"/>
        </w:numPr>
        <w:jc w:val="center"/>
        <w:rPr>
          <w:szCs w:val="22"/>
        </w:rPr>
      </w:pPr>
      <w:r>
        <w:rPr>
          <w:szCs w:val="22"/>
        </w:rPr>
        <w:t>Članak 35.</w:t>
      </w:r>
    </w:p>
    <w:p w:rsidR="00012172" w:rsidRDefault="00012172">
      <w:pPr>
        <w:numPr>
          <w:ilvl w:val="12"/>
          <w:numId w:val="0"/>
        </w:numPr>
        <w:jc w:val="both"/>
        <w:rPr>
          <w:szCs w:val="22"/>
        </w:rPr>
      </w:pPr>
      <w:r>
        <w:rPr>
          <w:szCs w:val="22"/>
        </w:rPr>
        <w:t>(1) Kao dvojne građevine ili građevine u nizu mogu se na zajedničkom dvorišnom pravcu graditi i gospodarske građevine pod uvjetom da su izgrađene od vatrootpornog materijala i da su izvedeni vatrootporni zidovi, da je nagib krova izveden prema vlastitom dvorištu, te uz suglasnost susjeda.</w:t>
      </w:r>
    </w:p>
    <w:p w:rsidR="00012172" w:rsidRDefault="00012172">
      <w:pPr>
        <w:numPr>
          <w:ilvl w:val="12"/>
          <w:numId w:val="0"/>
        </w:numPr>
        <w:jc w:val="both"/>
        <w:rPr>
          <w:szCs w:val="22"/>
        </w:rPr>
      </w:pPr>
    </w:p>
    <w:p w:rsidR="00012172" w:rsidRDefault="00012172">
      <w:pPr>
        <w:numPr>
          <w:ilvl w:val="12"/>
          <w:numId w:val="0"/>
        </w:numPr>
        <w:jc w:val="center"/>
        <w:rPr>
          <w:szCs w:val="22"/>
        </w:rPr>
      </w:pPr>
      <w:r>
        <w:rPr>
          <w:szCs w:val="22"/>
        </w:rPr>
        <w:t>Članak 36.</w:t>
      </w:r>
    </w:p>
    <w:p w:rsidR="00012172" w:rsidRDefault="00012172">
      <w:pPr>
        <w:numPr>
          <w:ilvl w:val="12"/>
          <w:numId w:val="0"/>
        </w:numPr>
        <w:jc w:val="both"/>
        <w:rPr>
          <w:szCs w:val="22"/>
        </w:rPr>
      </w:pPr>
      <w:r>
        <w:rPr>
          <w:szCs w:val="22"/>
        </w:rPr>
        <w:t>(1) Uz stambene građevine, na parceli se mogu graditi pomoćne građevine s prostorima za rad, za garaže, za spremište ogrjeva i druge svrhe što služe redovnoj upotrebi stambene građevine, i to:</w:t>
      </w:r>
    </w:p>
    <w:p w:rsidR="00012172" w:rsidRDefault="00012172" w:rsidP="00012172">
      <w:pPr>
        <w:numPr>
          <w:ilvl w:val="0"/>
          <w:numId w:val="22"/>
        </w:numPr>
        <w:overflowPunct w:val="0"/>
        <w:autoSpaceDE w:val="0"/>
        <w:autoSpaceDN w:val="0"/>
        <w:adjustRightInd w:val="0"/>
        <w:ind w:left="1003"/>
        <w:textAlignment w:val="baseline"/>
        <w:rPr>
          <w:szCs w:val="22"/>
        </w:rPr>
      </w:pPr>
      <w:r>
        <w:rPr>
          <w:szCs w:val="22"/>
        </w:rPr>
        <w:t>prislonjeni uz stambene građevine na istoj građevinskoj parceli na poluugrađeni način,</w:t>
      </w:r>
    </w:p>
    <w:p w:rsidR="00012172" w:rsidRDefault="00012172" w:rsidP="00012172">
      <w:pPr>
        <w:numPr>
          <w:ilvl w:val="0"/>
          <w:numId w:val="22"/>
        </w:numPr>
        <w:overflowPunct w:val="0"/>
        <w:autoSpaceDE w:val="0"/>
        <w:autoSpaceDN w:val="0"/>
        <w:adjustRightInd w:val="0"/>
        <w:ind w:left="1003"/>
        <w:textAlignment w:val="baseline"/>
        <w:rPr>
          <w:szCs w:val="22"/>
        </w:rPr>
      </w:pPr>
      <w:r>
        <w:rPr>
          <w:szCs w:val="22"/>
        </w:rPr>
        <w:t>odvojeno od stambene građevine na istoj građevinskoj parceli,</w:t>
      </w:r>
    </w:p>
    <w:p w:rsidR="00012172" w:rsidRDefault="00012172" w:rsidP="00012172">
      <w:pPr>
        <w:numPr>
          <w:ilvl w:val="0"/>
          <w:numId w:val="22"/>
        </w:numPr>
        <w:overflowPunct w:val="0"/>
        <w:autoSpaceDE w:val="0"/>
        <w:autoSpaceDN w:val="0"/>
        <w:adjustRightInd w:val="0"/>
        <w:ind w:left="1003"/>
        <w:jc w:val="both"/>
        <w:textAlignment w:val="baseline"/>
        <w:rPr>
          <w:szCs w:val="22"/>
        </w:rPr>
      </w:pPr>
      <w:r>
        <w:rPr>
          <w:szCs w:val="22"/>
        </w:rPr>
        <w:t>na međi, uz uvjet da je zid prema susjednoj parceli izveden od vatrootpornog materijala (nagib krova obvezno izvesti prema pripadajućoj parceli građevine, te pribaviti suglasnost susjeda)</w:t>
      </w:r>
    </w:p>
    <w:p w:rsidR="00012172" w:rsidRDefault="00012172">
      <w:pPr>
        <w:numPr>
          <w:ilvl w:val="12"/>
          <w:numId w:val="0"/>
        </w:numPr>
        <w:rPr>
          <w:szCs w:val="22"/>
        </w:rPr>
      </w:pPr>
    </w:p>
    <w:p w:rsidR="00012172" w:rsidRDefault="00012172">
      <w:pPr>
        <w:numPr>
          <w:ilvl w:val="12"/>
          <w:numId w:val="0"/>
        </w:numPr>
        <w:rPr>
          <w:szCs w:val="22"/>
        </w:rPr>
      </w:pPr>
      <w:r>
        <w:rPr>
          <w:szCs w:val="22"/>
        </w:rPr>
        <w:t>(2) Površina pomoćne građevine uračunava se u površinu izgrađenosti parcele.</w:t>
      </w:r>
    </w:p>
    <w:p w:rsidR="00012172" w:rsidRDefault="00012172">
      <w:pPr>
        <w:numPr>
          <w:ilvl w:val="12"/>
          <w:numId w:val="0"/>
        </w:numPr>
        <w:rPr>
          <w:b/>
        </w:rPr>
      </w:pPr>
    </w:p>
    <w:p w:rsidR="00012172" w:rsidRDefault="00012172">
      <w:pPr>
        <w:numPr>
          <w:ilvl w:val="12"/>
          <w:numId w:val="0"/>
        </w:numPr>
        <w:rPr>
          <w:b/>
        </w:rPr>
      </w:pPr>
    </w:p>
    <w:p w:rsidR="00012172" w:rsidRDefault="00012172">
      <w:pPr>
        <w:numPr>
          <w:ilvl w:val="12"/>
          <w:numId w:val="0"/>
        </w:numPr>
        <w:rPr>
          <w:b/>
          <w:szCs w:val="22"/>
        </w:rPr>
      </w:pPr>
      <w:r>
        <w:rPr>
          <w:b/>
          <w:szCs w:val="22"/>
        </w:rPr>
        <w:t>Međusobna udaljenost između građevina</w:t>
      </w:r>
    </w:p>
    <w:p w:rsidR="00012172" w:rsidRDefault="00012172">
      <w:pPr>
        <w:numPr>
          <w:ilvl w:val="12"/>
          <w:numId w:val="0"/>
        </w:numPr>
      </w:pPr>
    </w:p>
    <w:p w:rsidR="00012172" w:rsidRDefault="00012172">
      <w:pPr>
        <w:numPr>
          <w:ilvl w:val="12"/>
          <w:numId w:val="0"/>
        </w:numPr>
        <w:jc w:val="center"/>
        <w:rPr>
          <w:szCs w:val="22"/>
        </w:rPr>
      </w:pPr>
      <w:r>
        <w:rPr>
          <w:szCs w:val="22"/>
        </w:rPr>
        <w:t>Članak 37.</w:t>
      </w:r>
    </w:p>
    <w:p w:rsidR="00012172" w:rsidRDefault="00012172">
      <w:pPr>
        <w:numPr>
          <w:ilvl w:val="12"/>
          <w:numId w:val="0"/>
        </w:numPr>
        <w:jc w:val="both"/>
        <w:rPr>
          <w:szCs w:val="22"/>
        </w:rPr>
      </w:pPr>
      <w:r>
        <w:rPr>
          <w:szCs w:val="22"/>
        </w:rPr>
        <w:t xml:space="preserve">(1) Međusobni razmak  građevina mora biti veći od visine više građevine, odnosno ne manji od </w:t>
      </w:r>
      <w:smartTag w:uri="urn:schemas-microsoft-com:office:smarttags" w:element="metricconverter">
        <w:smartTagPr>
          <w:attr w:name="ProductID" w:val="4,0 m"/>
        </w:smartTagPr>
        <w:r>
          <w:rPr>
            <w:szCs w:val="22"/>
          </w:rPr>
          <w:t>4,0 m</w:t>
        </w:r>
      </w:smartTag>
      <w:r>
        <w:rPr>
          <w:szCs w:val="22"/>
        </w:rPr>
        <w:t xml:space="preserve"> za prizemne ili </w:t>
      </w:r>
      <w:smartTag w:uri="urn:schemas-microsoft-com:office:smarttags" w:element="metricconverter">
        <w:smartTagPr>
          <w:attr w:name="ProductID" w:val="6,0 m"/>
        </w:smartTagPr>
        <w:r>
          <w:rPr>
            <w:szCs w:val="22"/>
          </w:rPr>
          <w:t>6,0 m</w:t>
        </w:r>
      </w:smartTag>
      <w:r>
        <w:rPr>
          <w:szCs w:val="22"/>
        </w:rPr>
        <w:t xml:space="preserve"> za jednokatne građevine.</w:t>
      </w:r>
    </w:p>
    <w:p w:rsidR="00012172" w:rsidRDefault="00012172">
      <w:pPr>
        <w:numPr>
          <w:ilvl w:val="12"/>
          <w:numId w:val="0"/>
        </w:numPr>
        <w:jc w:val="both"/>
      </w:pPr>
    </w:p>
    <w:p w:rsidR="00012172" w:rsidRDefault="00012172">
      <w:pPr>
        <w:numPr>
          <w:ilvl w:val="12"/>
          <w:numId w:val="0"/>
        </w:numPr>
        <w:jc w:val="both"/>
        <w:rPr>
          <w:szCs w:val="22"/>
        </w:rPr>
      </w:pPr>
      <w:r>
        <w:rPr>
          <w:szCs w:val="22"/>
        </w:rPr>
        <w:t>(2) Visina građevine iz stavke 1. ovog članka mjeri se na zabatnoj strani od sljemena do završne kote uređenog terena, a na ostalim stranama od visine vijenca do završne kote uređenog terena.</w:t>
      </w:r>
    </w:p>
    <w:p w:rsidR="00012172" w:rsidRDefault="00012172">
      <w:pPr>
        <w:numPr>
          <w:ilvl w:val="12"/>
          <w:numId w:val="0"/>
        </w:numPr>
        <w:jc w:val="both"/>
      </w:pPr>
    </w:p>
    <w:p w:rsidR="00012172" w:rsidRDefault="00012172">
      <w:pPr>
        <w:numPr>
          <w:ilvl w:val="12"/>
          <w:numId w:val="0"/>
        </w:numPr>
        <w:jc w:val="both"/>
        <w:rPr>
          <w:szCs w:val="22"/>
        </w:rPr>
      </w:pPr>
      <w:r>
        <w:rPr>
          <w:szCs w:val="22"/>
        </w:rPr>
        <w:t xml:space="preserve">(3) Iznimno, međusobni razmak iz stavke 1. ovog članka može biti i manji, ukoliko se radi o već izgrađenim građevinskim parcelama. </w:t>
      </w:r>
    </w:p>
    <w:p w:rsidR="00012172" w:rsidRDefault="00012172">
      <w:pPr>
        <w:numPr>
          <w:ilvl w:val="12"/>
          <w:numId w:val="0"/>
        </w:numPr>
      </w:pPr>
    </w:p>
    <w:p w:rsidR="00012172" w:rsidRDefault="00012172">
      <w:pPr>
        <w:numPr>
          <w:ilvl w:val="12"/>
          <w:numId w:val="0"/>
        </w:numPr>
        <w:jc w:val="center"/>
        <w:rPr>
          <w:szCs w:val="22"/>
        </w:rPr>
      </w:pPr>
      <w:r>
        <w:rPr>
          <w:szCs w:val="22"/>
        </w:rPr>
        <w:t>Članak 38.</w:t>
      </w:r>
    </w:p>
    <w:p w:rsidR="00012172" w:rsidRDefault="00012172">
      <w:pPr>
        <w:numPr>
          <w:ilvl w:val="12"/>
          <w:numId w:val="0"/>
        </w:numPr>
        <w:jc w:val="both"/>
        <w:rPr>
          <w:szCs w:val="22"/>
        </w:rPr>
      </w:pPr>
      <w:r>
        <w:rPr>
          <w:szCs w:val="22"/>
        </w:rPr>
        <w:t>(1) Međusobni razmak građevina može biti i manji od propisanoga prethodnim člankom, pod uvjetom da je tehničkom dokumentacijom dokazano :</w:t>
      </w:r>
    </w:p>
    <w:p w:rsidR="00012172" w:rsidRDefault="00012172">
      <w:pPr>
        <w:numPr>
          <w:ilvl w:val="12"/>
          <w:numId w:val="0"/>
        </w:numPr>
        <w:ind w:left="993" w:hanging="273"/>
        <w:jc w:val="both"/>
        <w:rPr>
          <w:szCs w:val="22"/>
        </w:rPr>
      </w:pPr>
      <w:r>
        <w:rPr>
          <w:szCs w:val="22"/>
        </w:rPr>
        <w:t xml:space="preserve">-  visina građevine mjereno na zabatnoj strani, od sljemena do završne kote uređenog terena, iznosi ne više od </w:t>
      </w:r>
      <w:smartTag w:uri="urn:schemas-microsoft-com:office:smarttags" w:element="metricconverter">
        <w:smartTagPr>
          <w:attr w:name="ProductID" w:val="4,0 m"/>
        </w:smartTagPr>
        <w:r>
          <w:rPr>
            <w:szCs w:val="22"/>
          </w:rPr>
          <w:t>4,0 m</w:t>
        </w:r>
      </w:smartTag>
      <w:r>
        <w:rPr>
          <w:szCs w:val="22"/>
        </w:rPr>
        <w:t xml:space="preserve"> za prizemne ili </w:t>
      </w:r>
      <w:smartTag w:uri="urn:schemas-microsoft-com:office:smarttags" w:element="metricconverter">
        <w:smartTagPr>
          <w:attr w:name="ProductID" w:val="6,0 m"/>
        </w:smartTagPr>
        <w:r>
          <w:rPr>
            <w:szCs w:val="22"/>
          </w:rPr>
          <w:t>6,0 m</w:t>
        </w:r>
      </w:smartTag>
      <w:r>
        <w:rPr>
          <w:szCs w:val="22"/>
        </w:rPr>
        <w:t xml:space="preserve"> za jednokatne građevine</w:t>
      </w:r>
    </w:p>
    <w:p w:rsidR="00012172" w:rsidRDefault="00012172" w:rsidP="00012172">
      <w:pPr>
        <w:numPr>
          <w:ilvl w:val="0"/>
          <w:numId w:val="22"/>
        </w:numPr>
        <w:overflowPunct w:val="0"/>
        <w:autoSpaceDE w:val="0"/>
        <w:autoSpaceDN w:val="0"/>
        <w:adjustRightInd w:val="0"/>
        <w:ind w:left="1003"/>
        <w:jc w:val="both"/>
        <w:textAlignment w:val="baseline"/>
        <w:rPr>
          <w:szCs w:val="22"/>
        </w:rPr>
      </w:pPr>
      <w:r>
        <w:rPr>
          <w:szCs w:val="22"/>
        </w:rPr>
        <w:t>da konstrukcija građevine ima povećani stupanj otpornosti na rušenje od elementarnih nepogoda</w:t>
      </w:r>
    </w:p>
    <w:p w:rsidR="00012172" w:rsidRDefault="00012172" w:rsidP="00012172">
      <w:pPr>
        <w:numPr>
          <w:ilvl w:val="0"/>
          <w:numId w:val="22"/>
        </w:numPr>
        <w:overflowPunct w:val="0"/>
        <w:autoSpaceDE w:val="0"/>
        <w:autoSpaceDN w:val="0"/>
        <w:adjustRightInd w:val="0"/>
        <w:ind w:left="1003"/>
        <w:jc w:val="both"/>
        <w:textAlignment w:val="baseline"/>
        <w:rPr>
          <w:szCs w:val="22"/>
        </w:rPr>
      </w:pPr>
      <w:r>
        <w:rPr>
          <w:szCs w:val="22"/>
        </w:rPr>
        <w:t>da u slučaju potresa ili ratnih razaranja rušenje građevine neće u većem opsegu ugroziti živote ljudi, niti izazvati oštećenje na drugim građevinama</w:t>
      </w:r>
    </w:p>
    <w:p w:rsidR="00012172" w:rsidRDefault="00012172" w:rsidP="00012172">
      <w:pPr>
        <w:numPr>
          <w:ilvl w:val="0"/>
          <w:numId w:val="22"/>
        </w:numPr>
        <w:overflowPunct w:val="0"/>
        <w:autoSpaceDE w:val="0"/>
        <w:autoSpaceDN w:val="0"/>
        <w:adjustRightInd w:val="0"/>
        <w:ind w:left="1003"/>
        <w:jc w:val="both"/>
        <w:textAlignment w:val="baseline"/>
        <w:rPr>
          <w:szCs w:val="22"/>
        </w:rPr>
      </w:pPr>
      <w:r>
        <w:rPr>
          <w:szCs w:val="22"/>
        </w:rPr>
        <w:t>da je građevina spomenik kulturne baštine</w:t>
      </w:r>
    </w:p>
    <w:p w:rsidR="00012172" w:rsidRDefault="00012172">
      <w:pPr>
        <w:numPr>
          <w:ilvl w:val="12"/>
          <w:numId w:val="0"/>
        </w:numPr>
        <w:jc w:val="center"/>
      </w:pPr>
    </w:p>
    <w:p w:rsidR="00BD04E2" w:rsidRDefault="00BD04E2">
      <w:pPr>
        <w:numPr>
          <w:ilvl w:val="12"/>
          <w:numId w:val="0"/>
        </w:numPr>
        <w:jc w:val="center"/>
      </w:pPr>
    </w:p>
    <w:p w:rsidR="00BD04E2" w:rsidRDefault="00BD04E2">
      <w:pPr>
        <w:numPr>
          <w:ilvl w:val="12"/>
          <w:numId w:val="0"/>
        </w:numPr>
        <w:jc w:val="center"/>
      </w:pPr>
    </w:p>
    <w:p w:rsidR="00012172" w:rsidRDefault="00BD04E2">
      <w:pPr>
        <w:numPr>
          <w:ilvl w:val="12"/>
          <w:numId w:val="0"/>
        </w:numPr>
        <w:jc w:val="center"/>
      </w:pPr>
      <w:r>
        <w:rPr>
          <w:szCs w:val="22"/>
        </w:rPr>
        <w:t>Članak 39</w:t>
      </w:r>
      <w:r w:rsidR="00012172">
        <w:rPr>
          <w:szCs w:val="22"/>
        </w:rPr>
        <w:t>.</w:t>
      </w:r>
    </w:p>
    <w:p w:rsidR="00012172" w:rsidRDefault="00012172">
      <w:pPr>
        <w:numPr>
          <w:ilvl w:val="12"/>
          <w:numId w:val="0"/>
        </w:numPr>
        <w:jc w:val="both"/>
        <w:rPr>
          <w:szCs w:val="22"/>
        </w:rPr>
      </w:pPr>
      <w:r>
        <w:rPr>
          <w:szCs w:val="22"/>
        </w:rPr>
        <w:t>(1) Pomoćne građevine bez izvora zagađenja mogu se izuzetno graditi jednim svojim dijelom i na granici sa susjednom parcelom, uz uvjet :</w:t>
      </w:r>
    </w:p>
    <w:p w:rsidR="00012172" w:rsidRDefault="00012172">
      <w:pPr>
        <w:numPr>
          <w:ilvl w:val="12"/>
          <w:numId w:val="0"/>
        </w:numPr>
        <w:ind w:left="720"/>
        <w:rPr>
          <w:szCs w:val="22"/>
        </w:rPr>
      </w:pPr>
      <w:r>
        <w:rPr>
          <w:szCs w:val="22"/>
        </w:rPr>
        <w:t>- da se prema susjednoj parceli izgradi vatrootporni zid,</w:t>
      </w:r>
    </w:p>
    <w:p w:rsidR="00012172" w:rsidRDefault="00012172">
      <w:pPr>
        <w:numPr>
          <w:ilvl w:val="12"/>
          <w:numId w:val="0"/>
        </w:numPr>
        <w:ind w:left="720"/>
        <w:rPr>
          <w:szCs w:val="22"/>
          <w:lang w:val="de-DE"/>
        </w:rPr>
      </w:pPr>
      <w:r>
        <w:rPr>
          <w:szCs w:val="22"/>
          <w:lang w:val="de-DE"/>
        </w:rPr>
        <w:t>- da se u zidu prema susjedu ne grade otvori i istaci,</w:t>
      </w:r>
    </w:p>
    <w:p w:rsidR="00012172" w:rsidRDefault="00012172">
      <w:pPr>
        <w:numPr>
          <w:ilvl w:val="12"/>
          <w:numId w:val="0"/>
        </w:numPr>
        <w:ind w:left="720"/>
        <w:rPr>
          <w:szCs w:val="22"/>
          <w:lang w:val="de-DE"/>
        </w:rPr>
      </w:pPr>
      <w:r>
        <w:rPr>
          <w:szCs w:val="22"/>
          <w:lang w:val="de-DE"/>
        </w:rPr>
        <w:t>- da nagib krova bude izveden prema pripadajućoj parceli,</w:t>
      </w:r>
    </w:p>
    <w:p w:rsidR="00012172" w:rsidRDefault="00012172">
      <w:pPr>
        <w:numPr>
          <w:ilvl w:val="12"/>
          <w:numId w:val="0"/>
        </w:numPr>
        <w:ind w:left="720"/>
        <w:rPr>
          <w:szCs w:val="22"/>
          <w:lang w:val="de-DE"/>
        </w:rPr>
      </w:pPr>
      <w:r>
        <w:rPr>
          <w:szCs w:val="22"/>
          <w:lang w:val="de-DE"/>
        </w:rPr>
        <w:t>- da se odvod krovne vode i snijega s pomoćne građevine riješi na pripadajuću parcelu,</w:t>
      </w:r>
    </w:p>
    <w:p w:rsidR="00012172" w:rsidRDefault="00012172">
      <w:pPr>
        <w:numPr>
          <w:ilvl w:val="12"/>
          <w:numId w:val="0"/>
        </w:numPr>
        <w:ind w:left="720"/>
        <w:rPr>
          <w:szCs w:val="22"/>
          <w:lang w:val="de-DE"/>
        </w:rPr>
      </w:pPr>
      <w:r>
        <w:rPr>
          <w:szCs w:val="22"/>
          <w:lang w:val="de-DE"/>
        </w:rPr>
        <w:t>- suglasnost susjeda.</w:t>
      </w:r>
    </w:p>
    <w:p w:rsidR="00012172" w:rsidRDefault="00012172">
      <w:pPr>
        <w:numPr>
          <w:ilvl w:val="12"/>
          <w:numId w:val="0"/>
        </w:numPr>
        <w:rPr>
          <w:lang w:val="de-DE"/>
        </w:rPr>
      </w:pPr>
    </w:p>
    <w:p w:rsidR="00012172" w:rsidRDefault="00012172">
      <w:pPr>
        <w:numPr>
          <w:ilvl w:val="12"/>
          <w:numId w:val="0"/>
        </w:numPr>
        <w:jc w:val="center"/>
        <w:rPr>
          <w:szCs w:val="22"/>
          <w:lang w:val="de-DE"/>
        </w:rPr>
      </w:pPr>
      <w:r>
        <w:rPr>
          <w:szCs w:val="22"/>
          <w:lang w:val="de-DE"/>
        </w:rPr>
        <w:t>Članak 4</w:t>
      </w:r>
      <w:r w:rsidR="00BD04E2">
        <w:rPr>
          <w:szCs w:val="22"/>
          <w:lang w:val="de-DE"/>
        </w:rPr>
        <w:t>0</w:t>
      </w:r>
      <w:r>
        <w:rPr>
          <w:szCs w:val="22"/>
          <w:lang w:val="de-DE"/>
        </w:rPr>
        <w:t>.</w:t>
      </w:r>
    </w:p>
    <w:p w:rsidR="00012172" w:rsidRDefault="00012172">
      <w:pPr>
        <w:numPr>
          <w:ilvl w:val="12"/>
          <w:numId w:val="0"/>
        </w:numPr>
        <w:jc w:val="both"/>
        <w:rPr>
          <w:szCs w:val="22"/>
          <w:lang w:val="de-DE"/>
        </w:rPr>
      </w:pPr>
      <w:r>
        <w:rPr>
          <w:szCs w:val="22"/>
          <w:lang w:val="de-DE"/>
        </w:rPr>
        <w:t xml:space="preserve">(1) Udaljenost gospodarskih građevina s potencijalnim izvorom zagađenja od stambenih i poslovnih građevina ne može biti manja od </w:t>
      </w:r>
      <w:smartTag w:uri="urn:schemas-microsoft-com:office:smarttags" w:element="metricconverter">
        <w:smartTagPr>
          <w:attr w:name="ProductID" w:val="10,0 m"/>
        </w:smartTagPr>
        <w:r>
          <w:rPr>
            <w:szCs w:val="22"/>
            <w:lang w:val="de-DE"/>
          </w:rPr>
          <w:t>10,0 m</w:t>
        </w:r>
      </w:smartTag>
      <w:r>
        <w:rPr>
          <w:szCs w:val="22"/>
          <w:lang w:val="de-DE"/>
        </w:rPr>
        <w:t xml:space="preserve">, a u postojećim dvorištima gdje se to ne može postići dopušta se minimalna udaljenost od </w:t>
      </w:r>
      <w:smartTag w:uri="urn:schemas-microsoft-com:office:smarttags" w:element="metricconverter">
        <w:smartTagPr>
          <w:attr w:name="ProductID" w:val="8,0 m"/>
        </w:smartTagPr>
        <w:r>
          <w:rPr>
            <w:szCs w:val="22"/>
            <w:lang w:val="de-DE"/>
          </w:rPr>
          <w:t>8,0 m</w:t>
        </w:r>
      </w:smartTag>
      <w:r>
        <w:rPr>
          <w:szCs w:val="22"/>
          <w:lang w:val="de-DE"/>
        </w:rPr>
        <w:t>.</w:t>
      </w:r>
    </w:p>
    <w:p w:rsidR="00012172" w:rsidRDefault="00012172">
      <w:pPr>
        <w:numPr>
          <w:ilvl w:val="12"/>
          <w:numId w:val="0"/>
        </w:numPr>
        <w:jc w:val="both"/>
        <w:rPr>
          <w:szCs w:val="22"/>
          <w:lang w:val="de-DE"/>
        </w:rPr>
      </w:pPr>
    </w:p>
    <w:p w:rsidR="00012172" w:rsidRDefault="00012172">
      <w:pPr>
        <w:numPr>
          <w:ilvl w:val="12"/>
          <w:numId w:val="0"/>
        </w:numPr>
        <w:jc w:val="both"/>
        <w:rPr>
          <w:szCs w:val="22"/>
          <w:lang w:val="de-DE"/>
        </w:rPr>
      </w:pPr>
      <w:r>
        <w:rPr>
          <w:szCs w:val="22"/>
          <w:lang w:val="de-DE"/>
        </w:rPr>
        <w:t xml:space="preserve">(2) Udaljenost  gnojišta, gnojišnih i sabirnih jama od stambenih i manjih poslovnih građevina ne može biti manja od </w:t>
      </w:r>
      <w:smartTag w:uri="urn:schemas-microsoft-com:office:smarttags" w:element="metricconverter">
        <w:smartTagPr>
          <w:attr w:name="ProductID" w:val="15,0 m"/>
        </w:smartTagPr>
        <w:r>
          <w:rPr>
            <w:szCs w:val="22"/>
            <w:lang w:val="de-DE"/>
          </w:rPr>
          <w:t>15,0 m</w:t>
        </w:r>
      </w:smartTag>
      <w:r>
        <w:rPr>
          <w:szCs w:val="22"/>
          <w:lang w:val="de-DE"/>
        </w:rPr>
        <w:t xml:space="preserve">, a od građevina za snabdijevanje vodom (bunari, izvori, cisterne i sl.) i ulične ograde ne manja od </w:t>
      </w:r>
      <w:smartTag w:uri="urn:schemas-microsoft-com:office:smarttags" w:element="metricconverter">
        <w:smartTagPr>
          <w:attr w:name="ProductID" w:val="20,0 m"/>
        </w:smartTagPr>
        <w:r>
          <w:rPr>
            <w:szCs w:val="22"/>
            <w:lang w:val="de-DE"/>
          </w:rPr>
          <w:t>20,0 m</w:t>
        </w:r>
      </w:smartTag>
      <w:r>
        <w:rPr>
          <w:szCs w:val="22"/>
          <w:lang w:val="de-DE"/>
        </w:rPr>
        <w:t>.</w:t>
      </w:r>
    </w:p>
    <w:p w:rsidR="00012172" w:rsidRDefault="00012172">
      <w:pPr>
        <w:numPr>
          <w:ilvl w:val="12"/>
          <w:numId w:val="0"/>
        </w:numPr>
        <w:jc w:val="both"/>
        <w:rPr>
          <w:szCs w:val="22"/>
          <w:lang w:val="de-DE"/>
        </w:rPr>
      </w:pPr>
    </w:p>
    <w:p w:rsidR="00012172" w:rsidRDefault="00012172">
      <w:pPr>
        <w:numPr>
          <w:ilvl w:val="12"/>
          <w:numId w:val="0"/>
        </w:numPr>
        <w:jc w:val="both"/>
        <w:rPr>
          <w:szCs w:val="22"/>
          <w:lang w:val="de-DE"/>
        </w:rPr>
      </w:pPr>
      <w:r>
        <w:rPr>
          <w:szCs w:val="22"/>
          <w:lang w:val="de-DE"/>
        </w:rPr>
        <w:t xml:space="preserve">(3) Vodonepropusnu sabirnu jamu, bez mogućnosti ispuštanja sadržaja u oklni prostor, treba locirati na minimalnoj udaljenosti od </w:t>
      </w:r>
      <w:smartTag w:uri="urn:schemas-microsoft-com:office:smarttags" w:element="metricconverter">
        <w:smartTagPr>
          <w:attr w:name="ProductID" w:val="3,0 m"/>
        </w:smartTagPr>
        <w:r>
          <w:rPr>
            <w:szCs w:val="22"/>
            <w:lang w:val="de-DE"/>
          </w:rPr>
          <w:t>3,0 m</w:t>
        </w:r>
      </w:smartTag>
      <w:r>
        <w:rPr>
          <w:szCs w:val="22"/>
          <w:lang w:val="de-DE"/>
        </w:rPr>
        <w:t xml:space="preserve"> od susjedne međe.</w:t>
      </w:r>
    </w:p>
    <w:p w:rsidR="00012172" w:rsidRDefault="00012172">
      <w:pPr>
        <w:numPr>
          <w:ilvl w:val="12"/>
          <w:numId w:val="0"/>
        </w:numPr>
        <w:jc w:val="both"/>
        <w:rPr>
          <w:szCs w:val="22"/>
          <w:lang w:val="de-DE"/>
        </w:rPr>
      </w:pPr>
    </w:p>
    <w:p w:rsidR="00012172" w:rsidRDefault="00012172">
      <w:pPr>
        <w:numPr>
          <w:ilvl w:val="12"/>
          <w:numId w:val="0"/>
        </w:numPr>
        <w:jc w:val="both"/>
        <w:rPr>
          <w:szCs w:val="22"/>
          <w:lang w:val="de-DE"/>
        </w:rPr>
      </w:pPr>
      <w:r>
        <w:rPr>
          <w:szCs w:val="22"/>
          <w:lang w:val="de-DE"/>
        </w:rPr>
        <w:t xml:space="preserve">(4) Udaljenost pčelinjaka od stambenih, poslovnih i gospodarskih građevina u kojima boravi stoka ne može biti manja od </w:t>
      </w:r>
      <w:smartTag w:uri="urn:schemas-microsoft-com:office:smarttags" w:element="metricconverter">
        <w:smartTagPr>
          <w:attr w:name="ProductID" w:val="10,0 m"/>
        </w:smartTagPr>
        <w:r>
          <w:rPr>
            <w:szCs w:val="22"/>
            <w:lang w:val="de-DE"/>
          </w:rPr>
          <w:t>10,0 m</w:t>
        </w:r>
      </w:smartTag>
      <w:r>
        <w:rPr>
          <w:szCs w:val="22"/>
          <w:lang w:val="de-DE"/>
        </w:rPr>
        <w:t xml:space="preserve">. </w:t>
      </w:r>
    </w:p>
    <w:p w:rsidR="00012172" w:rsidRDefault="00012172">
      <w:pPr>
        <w:numPr>
          <w:ilvl w:val="12"/>
          <w:numId w:val="0"/>
        </w:numPr>
        <w:jc w:val="both"/>
        <w:rPr>
          <w:szCs w:val="22"/>
          <w:lang w:val="de-DE"/>
        </w:rPr>
      </w:pPr>
    </w:p>
    <w:p w:rsidR="00012172" w:rsidRDefault="00012172">
      <w:pPr>
        <w:numPr>
          <w:ilvl w:val="12"/>
          <w:numId w:val="0"/>
        </w:numPr>
        <w:jc w:val="both"/>
        <w:rPr>
          <w:szCs w:val="22"/>
          <w:lang w:val="en-AU"/>
        </w:rPr>
      </w:pPr>
      <w:r>
        <w:rPr>
          <w:szCs w:val="22"/>
          <w:lang w:val="de-DE"/>
        </w:rPr>
        <w:t xml:space="preserve">(5) Postojeće gospodarske građevine koje ne zadovoljavaju uvjete iz stavka 1. ovog članka mogu ostati i nadograđivati se zu pristanak vlasnika susjednog objekta. </w:t>
      </w:r>
      <w:r>
        <w:rPr>
          <w:szCs w:val="22"/>
          <w:lang w:val="en-AU"/>
        </w:rPr>
        <w:t>Razlog tome je zbijenost naselja i male površine parcela.</w:t>
      </w:r>
    </w:p>
    <w:p w:rsidR="00012172" w:rsidRDefault="00012172">
      <w:pPr>
        <w:numPr>
          <w:ilvl w:val="12"/>
          <w:numId w:val="0"/>
        </w:numPr>
        <w:rPr>
          <w:b/>
          <w:szCs w:val="22"/>
        </w:rPr>
      </w:pPr>
    </w:p>
    <w:p w:rsidR="00012172" w:rsidRDefault="00012172">
      <w:pPr>
        <w:numPr>
          <w:ilvl w:val="12"/>
          <w:numId w:val="0"/>
        </w:numPr>
        <w:rPr>
          <w:b/>
          <w:szCs w:val="22"/>
        </w:rPr>
      </w:pPr>
    </w:p>
    <w:p w:rsidR="00012172" w:rsidRDefault="00012172">
      <w:pPr>
        <w:numPr>
          <w:ilvl w:val="12"/>
          <w:numId w:val="0"/>
        </w:numPr>
        <w:rPr>
          <w:b/>
          <w:szCs w:val="22"/>
        </w:rPr>
      </w:pPr>
      <w:r>
        <w:rPr>
          <w:b/>
          <w:szCs w:val="22"/>
        </w:rPr>
        <w:t>Visina i oblikovanje građevina</w:t>
      </w:r>
    </w:p>
    <w:p w:rsidR="00012172" w:rsidRDefault="00BD04E2">
      <w:pPr>
        <w:numPr>
          <w:ilvl w:val="12"/>
          <w:numId w:val="0"/>
        </w:numPr>
        <w:jc w:val="center"/>
        <w:rPr>
          <w:szCs w:val="22"/>
        </w:rPr>
      </w:pPr>
      <w:r>
        <w:rPr>
          <w:szCs w:val="22"/>
        </w:rPr>
        <w:t>Članak 41</w:t>
      </w:r>
      <w:r w:rsidR="00012172">
        <w:rPr>
          <w:szCs w:val="22"/>
        </w:rPr>
        <w:t>.</w:t>
      </w:r>
    </w:p>
    <w:p w:rsidR="00012172" w:rsidRDefault="00012172">
      <w:pPr>
        <w:numPr>
          <w:ilvl w:val="12"/>
          <w:numId w:val="0"/>
        </w:numPr>
        <w:jc w:val="both"/>
        <w:rPr>
          <w:szCs w:val="22"/>
        </w:rPr>
      </w:pPr>
      <w:r>
        <w:rPr>
          <w:szCs w:val="22"/>
        </w:rPr>
        <w:t>(1) Dozvoljava se gradnja osnovne građevine na parceli (stambena, stambeno-poslovna ili poslovna) maksimalne visine prizemlje + 1 kat + potkrovlje.</w:t>
      </w:r>
    </w:p>
    <w:p w:rsidR="00012172" w:rsidRDefault="00012172">
      <w:pPr>
        <w:numPr>
          <w:ilvl w:val="12"/>
          <w:numId w:val="0"/>
        </w:numPr>
        <w:jc w:val="both"/>
      </w:pPr>
    </w:p>
    <w:p w:rsidR="00012172" w:rsidRDefault="00012172">
      <w:pPr>
        <w:numPr>
          <w:ilvl w:val="12"/>
          <w:numId w:val="0"/>
        </w:numPr>
        <w:jc w:val="both"/>
        <w:rPr>
          <w:szCs w:val="22"/>
        </w:rPr>
      </w:pPr>
      <w:r>
        <w:rPr>
          <w:szCs w:val="22"/>
        </w:rPr>
        <w:t>(2) Ostale građevine na parceli trebaju biti prizemne</w:t>
      </w:r>
      <w:r w:rsidR="009339EF">
        <w:rPr>
          <w:szCs w:val="22"/>
        </w:rPr>
        <w:t xml:space="preserve"> uz mogućnost korištenja potkrovlja</w:t>
      </w:r>
      <w:r>
        <w:rPr>
          <w:szCs w:val="22"/>
        </w:rPr>
        <w:t>.</w:t>
      </w:r>
    </w:p>
    <w:p w:rsidR="00012172" w:rsidRDefault="00012172">
      <w:pPr>
        <w:numPr>
          <w:ilvl w:val="12"/>
          <w:numId w:val="0"/>
        </w:numPr>
        <w:jc w:val="both"/>
      </w:pPr>
    </w:p>
    <w:p w:rsidR="002B3299" w:rsidRDefault="00990761" w:rsidP="002B3299">
      <w:pPr>
        <w:jc w:val="both"/>
        <w:rPr>
          <w:szCs w:val="22"/>
        </w:rPr>
      </w:pPr>
      <w:r>
        <w:rPr>
          <w:szCs w:val="22"/>
        </w:rPr>
        <w:t xml:space="preserve">(3) </w:t>
      </w:r>
      <w:r w:rsidR="00AE0FC0">
        <w:rPr>
          <w:szCs w:val="22"/>
        </w:rPr>
        <w:t>Na parceli 1804 u k. o. Gornja Rijeka p</w:t>
      </w:r>
      <w:r>
        <w:rPr>
          <w:szCs w:val="22"/>
        </w:rPr>
        <w:t>laniranje dodatnog ali ograničenog broja smještajnih kapaciteta, može se okvirno predvidjeti sjeverozapadno od dvorca</w:t>
      </w:r>
      <w:r w:rsidR="005E637C">
        <w:rPr>
          <w:szCs w:val="22"/>
        </w:rPr>
        <w:t xml:space="preserve"> </w:t>
      </w:r>
      <w:r>
        <w:rPr>
          <w:szCs w:val="22"/>
        </w:rPr>
        <w:t>na lokaciji bivše povijesne pomoćne i gospodarske izgradnje. Izgradnja na tom prostoru može se ostvariti reinterpretacijom dispozicije povijesne izgradnje uz uvjet da se nova struktura svojom prostornom i arhitektonskom koncepcijom mora prilagoditi okolnom pejsažu (gabarit, oblikovanje i smještaj</w:t>
      </w:r>
      <w:r w:rsidR="00AE0FC0">
        <w:rPr>
          <w:szCs w:val="22"/>
        </w:rPr>
        <w:t xml:space="preserve">-naročito udaljenost od dvorca) i nesmije konkurirati, odnosno narušiti dominaciju kako vizuelnu tako i sadržajnu samoga dvorca. </w:t>
      </w:r>
    </w:p>
    <w:p w:rsidR="002B3299" w:rsidRDefault="002B3299" w:rsidP="002B3299">
      <w:pPr>
        <w:jc w:val="both"/>
        <w:rPr>
          <w:szCs w:val="22"/>
        </w:rPr>
      </w:pPr>
    </w:p>
    <w:p w:rsidR="00012172" w:rsidRDefault="00AE0FC0" w:rsidP="002B3299">
      <w:pPr>
        <w:jc w:val="both"/>
        <w:rPr>
          <w:szCs w:val="22"/>
        </w:rPr>
      </w:pPr>
      <w:r>
        <w:rPr>
          <w:szCs w:val="22"/>
        </w:rPr>
        <w:t>(4) Na parceli 1804 u k. o. Gornja Rijeka maksimalna visina nove izgradnje može biti P+Pot. Veća visina novih gabarita, odnosno visina P+1 bez potkrovne etaže, mogla bi se razmotriti jedino donošenjem ocjene arhitektonske i prostorne koncepcije predloženog rješenja u odnosu na objekt Dvorca i njegovog okoliša čija se jasna percepcija nesmije degradirati i narušiti.</w:t>
      </w:r>
    </w:p>
    <w:p w:rsidR="002B3299" w:rsidRDefault="002B3299" w:rsidP="002B3299">
      <w:pPr>
        <w:jc w:val="both"/>
        <w:rPr>
          <w:szCs w:val="22"/>
        </w:rPr>
      </w:pPr>
    </w:p>
    <w:p w:rsidR="00012172" w:rsidRDefault="009339EF" w:rsidP="009339EF">
      <w:pPr>
        <w:numPr>
          <w:ilvl w:val="12"/>
          <w:numId w:val="0"/>
        </w:numPr>
      </w:pPr>
      <w:r>
        <w:t>(5) Planiranje bilo kakvih zahvata unutar zone zaštite kompleksa Dvorca mora se temeljeti na posebnim konzervatorskim uvjetima.</w:t>
      </w:r>
    </w:p>
    <w:p w:rsidR="00375A50" w:rsidRDefault="00AF7F87" w:rsidP="00AF7F87">
      <w:pPr>
        <w:numPr>
          <w:ilvl w:val="12"/>
          <w:numId w:val="0"/>
        </w:numPr>
        <w:tabs>
          <w:tab w:val="left" w:pos="345"/>
        </w:tabs>
      </w:pPr>
      <w:r>
        <w:tab/>
      </w:r>
    </w:p>
    <w:p w:rsidR="00012172" w:rsidRDefault="00BD04E2">
      <w:pPr>
        <w:numPr>
          <w:ilvl w:val="12"/>
          <w:numId w:val="0"/>
        </w:numPr>
        <w:jc w:val="center"/>
        <w:rPr>
          <w:szCs w:val="22"/>
        </w:rPr>
      </w:pPr>
      <w:r>
        <w:rPr>
          <w:szCs w:val="22"/>
        </w:rPr>
        <w:t>Članak 42</w:t>
      </w:r>
      <w:r w:rsidR="00012172">
        <w:rPr>
          <w:szCs w:val="22"/>
        </w:rPr>
        <w:t>.</w:t>
      </w:r>
    </w:p>
    <w:p w:rsidR="00012172" w:rsidRDefault="00012172">
      <w:pPr>
        <w:numPr>
          <w:ilvl w:val="12"/>
          <w:numId w:val="0"/>
        </w:numPr>
        <w:jc w:val="both"/>
        <w:rPr>
          <w:szCs w:val="22"/>
        </w:rPr>
      </w:pPr>
      <w:r>
        <w:rPr>
          <w:szCs w:val="22"/>
        </w:rPr>
        <w:t xml:space="preserve">(1) Potkrovljem se smatra dio građevine ispod krovne konstrukcije, a iznad vijenca posljednje etaže građevine. </w:t>
      </w:r>
    </w:p>
    <w:p w:rsidR="00012172" w:rsidRDefault="00012172">
      <w:pPr>
        <w:numPr>
          <w:ilvl w:val="12"/>
          <w:numId w:val="0"/>
        </w:numPr>
        <w:jc w:val="both"/>
        <w:rPr>
          <w:szCs w:val="22"/>
        </w:rPr>
      </w:pPr>
    </w:p>
    <w:p w:rsidR="00012172" w:rsidRDefault="00012172">
      <w:pPr>
        <w:numPr>
          <w:ilvl w:val="12"/>
          <w:numId w:val="0"/>
        </w:numPr>
        <w:jc w:val="both"/>
        <w:rPr>
          <w:szCs w:val="22"/>
        </w:rPr>
      </w:pPr>
      <w:r>
        <w:rPr>
          <w:szCs w:val="22"/>
        </w:rPr>
        <w:t>(2) Najveći gabarit potkrovlja građevine određen j</w:t>
      </w:r>
      <w:r w:rsidR="00D52A72">
        <w:rPr>
          <w:szCs w:val="22"/>
        </w:rPr>
        <w:t xml:space="preserve">e najvećom visinom nadozida od </w:t>
      </w:r>
      <w:smartTag w:uri="urn:schemas-microsoft-com:office:smarttags" w:element="metricconverter">
        <w:smartTagPr>
          <w:attr w:name="ProductID" w:val="90 cm"/>
        </w:smartTagPr>
        <w:r w:rsidR="000F6ACD">
          <w:rPr>
            <w:szCs w:val="22"/>
          </w:rPr>
          <w:t>9</w:t>
        </w:r>
        <w:r>
          <w:rPr>
            <w:szCs w:val="22"/>
          </w:rPr>
          <w:t>0 cm</w:t>
        </w:r>
      </w:smartTag>
      <w:r>
        <w:rPr>
          <w:szCs w:val="22"/>
        </w:rPr>
        <w:t xml:space="preserve"> za jednokatne, odnosno </w:t>
      </w:r>
      <w:smartTag w:uri="urn:schemas-microsoft-com:office:smarttags" w:element="metricconverter">
        <w:smartTagPr>
          <w:attr w:name="ProductID" w:val="150 cm"/>
        </w:smartTagPr>
        <w:r>
          <w:rPr>
            <w:szCs w:val="22"/>
          </w:rPr>
          <w:t>150 cm</w:t>
        </w:r>
      </w:smartTag>
      <w:r>
        <w:rPr>
          <w:szCs w:val="22"/>
        </w:rPr>
        <w:t xml:space="preserve"> za prizemne zgrade, mjerenom u ravnini pročelja građevine.</w:t>
      </w:r>
    </w:p>
    <w:p w:rsidR="00012172" w:rsidRDefault="00012172">
      <w:pPr>
        <w:numPr>
          <w:ilvl w:val="12"/>
          <w:numId w:val="0"/>
        </w:numPr>
        <w:jc w:val="both"/>
        <w:rPr>
          <w:szCs w:val="22"/>
        </w:rPr>
      </w:pPr>
    </w:p>
    <w:p w:rsidR="00012172" w:rsidRDefault="00012172">
      <w:pPr>
        <w:numPr>
          <w:ilvl w:val="12"/>
          <w:numId w:val="0"/>
        </w:numPr>
        <w:jc w:val="both"/>
        <w:rPr>
          <w:szCs w:val="22"/>
        </w:rPr>
      </w:pPr>
      <w:r>
        <w:rPr>
          <w:szCs w:val="22"/>
        </w:rPr>
        <w:t>(3) Prozori potkrovlja, u pravilu, izvedeni su u kosini krova, kao krovne kućice ili na zabatnom zidu.</w:t>
      </w:r>
    </w:p>
    <w:p w:rsidR="00012172" w:rsidRDefault="00012172">
      <w:pPr>
        <w:numPr>
          <w:ilvl w:val="12"/>
          <w:numId w:val="0"/>
        </w:numPr>
        <w:jc w:val="both"/>
        <w:rPr>
          <w:szCs w:val="22"/>
        </w:rPr>
      </w:pPr>
    </w:p>
    <w:p w:rsidR="00012172" w:rsidRDefault="001E174C">
      <w:pPr>
        <w:numPr>
          <w:ilvl w:val="12"/>
          <w:numId w:val="0"/>
        </w:numPr>
        <w:jc w:val="both"/>
        <w:rPr>
          <w:szCs w:val="22"/>
        </w:rPr>
      </w:pPr>
      <w:r>
        <w:rPr>
          <w:szCs w:val="22"/>
        </w:rPr>
        <w:t xml:space="preserve">(4) </w:t>
      </w:r>
      <w:r w:rsidR="00012172">
        <w:rPr>
          <w:szCs w:val="22"/>
        </w:rPr>
        <w:t>Potkrovlje ili mansarda uređeni za stanovanje i poslovnu namjenu koji</w:t>
      </w:r>
      <w:r w:rsidR="00D52A72">
        <w:rPr>
          <w:szCs w:val="22"/>
        </w:rPr>
        <w:t xml:space="preserve">ma je visina nadozida veća od </w:t>
      </w:r>
      <w:smartTag w:uri="urn:schemas-microsoft-com:office:smarttags" w:element="metricconverter">
        <w:smartTagPr>
          <w:attr w:name="ProductID" w:val="90 cm"/>
        </w:smartTagPr>
        <w:r w:rsidR="000F6ACD">
          <w:rPr>
            <w:szCs w:val="22"/>
          </w:rPr>
          <w:t>90</w:t>
        </w:r>
        <w:r w:rsidR="00012172">
          <w:rPr>
            <w:szCs w:val="22"/>
          </w:rPr>
          <w:t xml:space="preserve"> cm</w:t>
        </w:r>
      </w:smartTag>
      <w:r w:rsidR="00012172">
        <w:rPr>
          <w:szCs w:val="22"/>
        </w:rPr>
        <w:t xml:space="preserve"> za jednokatne, odnosno </w:t>
      </w:r>
      <w:smartTag w:uri="urn:schemas-microsoft-com:office:smarttags" w:element="metricconverter">
        <w:smartTagPr>
          <w:attr w:name="ProductID" w:val="150 cm"/>
        </w:smartTagPr>
        <w:r w:rsidR="00012172">
          <w:rPr>
            <w:szCs w:val="22"/>
          </w:rPr>
          <w:t>150 cm</w:t>
        </w:r>
      </w:smartTag>
      <w:r w:rsidR="00012172">
        <w:rPr>
          <w:szCs w:val="22"/>
        </w:rPr>
        <w:t xml:space="preserve"> za prizemne zgrade, smatraju se katom.</w:t>
      </w:r>
    </w:p>
    <w:p w:rsidR="00012172" w:rsidRDefault="00012172">
      <w:pPr>
        <w:numPr>
          <w:ilvl w:val="12"/>
          <w:numId w:val="0"/>
        </w:numPr>
        <w:jc w:val="center"/>
      </w:pPr>
    </w:p>
    <w:p w:rsidR="00012172" w:rsidRDefault="00BD04E2">
      <w:pPr>
        <w:numPr>
          <w:ilvl w:val="12"/>
          <w:numId w:val="0"/>
        </w:numPr>
        <w:jc w:val="center"/>
      </w:pPr>
      <w:r>
        <w:rPr>
          <w:szCs w:val="22"/>
        </w:rPr>
        <w:t>Članak 43</w:t>
      </w:r>
      <w:r w:rsidR="00012172">
        <w:rPr>
          <w:szCs w:val="22"/>
        </w:rPr>
        <w:t>.</w:t>
      </w:r>
    </w:p>
    <w:p w:rsidR="00012172" w:rsidRDefault="00012172">
      <w:pPr>
        <w:numPr>
          <w:ilvl w:val="12"/>
          <w:numId w:val="0"/>
        </w:numPr>
        <w:jc w:val="both"/>
        <w:rPr>
          <w:szCs w:val="22"/>
        </w:rPr>
      </w:pPr>
      <w:r>
        <w:rPr>
          <w:szCs w:val="22"/>
        </w:rPr>
        <w:t>(1) Postojeća potkrovlja mogu se prenamjeniti u stambene ili druge namjene i u slučajevima kada ukupna izgrađena površina prelazi maksimalnu bruto razvijenu površinu građevine, ukoliko se prenamjena može izvršiti u postojećim gabaritima.</w:t>
      </w:r>
    </w:p>
    <w:p w:rsidR="001E174C" w:rsidRDefault="001E174C">
      <w:pPr>
        <w:numPr>
          <w:ilvl w:val="12"/>
          <w:numId w:val="0"/>
        </w:numPr>
        <w:jc w:val="both"/>
        <w:rPr>
          <w:szCs w:val="22"/>
        </w:rPr>
      </w:pPr>
    </w:p>
    <w:p w:rsidR="00012172" w:rsidRDefault="00012172">
      <w:pPr>
        <w:numPr>
          <w:ilvl w:val="12"/>
          <w:numId w:val="0"/>
        </w:numPr>
        <w:jc w:val="both"/>
        <w:rPr>
          <w:szCs w:val="22"/>
        </w:rPr>
      </w:pPr>
      <w:r>
        <w:rPr>
          <w:szCs w:val="22"/>
        </w:rPr>
        <w:t xml:space="preserve">(2) Izvedena ravna krovišta, koja zbog loše izvedbe ne odgovaraju svrsi, mogu se preurediti u kosa. Rekonstrukcija će se izvršiti u skladu s lokacijskom dozvolom i posebnim uvjetima (visina nadozida, nagib krova, sljeme) propisanim u prethodnom članku. </w:t>
      </w:r>
    </w:p>
    <w:p w:rsidR="00012172" w:rsidRDefault="00012172">
      <w:pPr>
        <w:numPr>
          <w:ilvl w:val="12"/>
          <w:numId w:val="0"/>
        </w:numPr>
        <w:jc w:val="both"/>
        <w:rPr>
          <w:szCs w:val="22"/>
        </w:rPr>
      </w:pPr>
    </w:p>
    <w:p w:rsidR="00012172" w:rsidRDefault="00012172">
      <w:pPr>
        <w:numPr>
          <w:ilvl w:val="12"/>
          <w:numId w:val="0"/>
        </w:numPr>
        <w:jc w:val="both"/>
        <w:rPr>
          <w:szCs w:val="22"/>
        </w:rPr>
      </w:pPr>
      <w:r>
        <w:rPr>
          <w:szCs w:val="22"/>
        </w:rPr>
        <w:t xml:space="preserve">(3) Rekonstrukcijom dobivena potkrovlja iz prethodnog stavka ovog članka mogu se privoditi stambenoj ili poslovnoj namjeni. </w:t>
      </w:r>
    </w:p>
    <w:p w:rsidR="00012172" w:rsidRDefault="00012172">
      <w:pPr>
        <w:numPr>
          <w:ilvl w:val="12"/>
          <w:numId w:val="0"/>
        </w:numPr>
      </w:pPr>
    </w:p>
    <w:p w:rsidR="00012172" w:rsidRDefault="00012172">
      <w:pPr>
        <w:numPr>
          <w:ilvl w:val="12"/>
          <w:numId w:val="0"/>
        </w:numPr>
        <w:jc w:val="center"/>
        <w:rPr>
          <w:szCs w:val="22"/>
        </w:rPr>
      </w:pPr>
      <w:r>
        <w:rPr>
          <w:szCs w:val="22"/>
        </w:rPr>
        <w:t>Član</w:t>
      </w:r>
      <w:r w:rsidR="00BD04E2">
        <w:rPr>
          <w:szCs w:val="22"/>
        </w:rPr>
        <w:t>ak 44</w:t>
      </w:r>
      <w:r>
        <w:rPr>
          <w:szCs w:val="22"/>
        </w:rPr>
        <w:t>.</w:t>
      </w:r>
    </w:p>
    <w:p w:rsidR="00012172" w:rsidRDefault="00012172">
      <w:pPr>
        <w:numPr>
          <w:ilvl w:val="12"/>
          <w:numId w:val="0"/>
        </w:numPr>
        <w:rPr>
          <w:szCs w:val="22"/>
        </w:rPr>
      </w:pPr>
      <w:r>
        <w:rPr>
          <w:szCs w:val="22"/>
        </w:rPr>
        <w:t>(1) Ispod građevine po potrebi se može graditi podrum. Podrumom se smatra dio građevine, koji je najmanje jednom polovicom volumena ukopan u uređeni teren.</w:t>
      </w:r>
    </w:p>
    <w:p w:rsidR="00012172" w:rsidRPr="00165BAC" w:rsidRDefault="00012172">
      <w:pPr>
        <w:pStyle w:val="clanak"/>
        <w:jc w:val="left"/>
        <w:rPr>
          <w:lang w:val="hr-HR"/>
        </w:rPr>
      </w:pPr>
    </w:p>
    <w:p w:rsidR="00012172" w:rsidRDefault="00BD04E2">
      <w:pPr>
        <w:numPr>
          <w:ilvl w:val="12"/>
          <w:numId w:val="0"/>
        </w:numPr>
        <w:jc w:val="center"/>
        <w:rPr>
          <w:szCs w:val="22"/>
        </w:rPr>
      </w:pPr>
      <w:r>
        <w:rPr>
          <w:szCs w:val="22"/>
        </w:rPr>
        <w:t>Članak 45</w:t>
      </w:r>
      <w:r w:rsidR="00012172">
        <w:rPr>
          <w:szCs w:val="22"/>
        </w:rPr>
        <w:t>.</w:t>
      </w:r>
    </w:p>
    <w:p w:rsidR="00012172" w:rsidRDefault="00012172">
      <w:pPr>
        <w:numPr>
          <w:ilvl w:val="12"/>
          <w:numId w:val="0"/>
        </w:numPr>
        <w:jc w:val="both"/>
        <w:rPr>
          <w:szCs w:val="22"/>
        </w:rPr>
      </w:pPr>
      <w:r>
        <w:rPr>
          <w:szCs w:val="22"/>
        </w:rPr>
        <w:t>(1) Horizontalni i vertikalni gabariti građevina, oblikovanje pročelja i krovišta, te upotrebljeni građevinski materijali moraju biti usklađeni s okolnim građevinama, krajolikom i tradicionalnim načinom gradnje.</w:t>
      </w:r>
    </w:p>
    <w:p w:rsidR="00012172" w:rsidRDefault="00012172">
      <w:pPr>
        <w:numPr>
          <w:ilvl w:val="12"/>
          <w:numId w:val="0"/>
        </w:numPr>
        <w:jc w:val="both"/>
        <w:rPr>
          <w:szCs w:val="22"/>
        </w:rPr>
      </w:pPr>
    </w:p>
    <w:p w:rsidR="00012172" w:rsidRDefault="00012172">
      <w:pPr>
        <w:numPr>
          <w:ilvl w:val="12"/>
          <w:numId w:val="0"/>
        </w:numPr>
        <w:jc w:val="both"/>
        <w:rPr>
          <w:szCs w:val="22"/>
        </w:rPr>
      </w:pPr>
      <w:r>
        <w:rPr>
          <w:szCs w:val="22"/>
        </w:rPr>
        <w:t>(2) Građevine koje se izgrađuju na poluotvoreni način ili u nizu moraju s građevinom na koji su prislonjeni činiti arhitektonsku cjelinu.</w:t>
      </w:r>
    </w:p>
    <w:p w:rsidR="00012172" w:rsidRDefault="00012172">
      <w:pPr>
        <w:numPr>
          <w:ilvl w:val="12"/>
          <w:numId w:val="0"/>
        </w:numPr>
        <w:rPr>
          <w:b/>
          <w:szCs w:val="22"/>
        </w:rPr>
      </w:pPr>
    </w:p>
    <w:p w:rsidR="00226C69" w:rsidRDefault="00226C69">
      <w:pPr>
        <w:numPr>
          <w:ilvl w:val="12"/>
          <w:numId w:val="0"/>
        </w:numPr>
        <w:rPr>
          <w:b/>
          <w:szCs w:val="22"/>
        </w:rPr>
      </w:pPr>
    </w:p>
    <w:p w:rsidR="00012172" w:rsidRDefault="00012172">
      <w:pPr>
        <w:numPr>
          <w:ilvl w:val="12"/>
          <w:numId w:val="0"/>
        </w:numPr>
        <w:rPr>
          <w:b/>
          <w:szCs w:val="22"/>
        </w:rPr>
      </w:pPr>
      <w:r>
        <w:rPr>
          <w:b/>
          <w:szCs w:val="22"/>
        </w:rPr>
        <w:t>Ograde i parterno uređenje</w:t>
      </w:r>
    </w:p>
    <w:p w:rsidR="00012172" w:rsidRDefault="00012172">
      <w:pPr>
        <w:numPr>
          <w:ilvl w:val="12"/>
          <w:numId w:val="0"/>
        </w:numPr>
        <w:rPr>
          <w:b/>
        </w:rPr>
      </w:pPr>
    </w:p>
    <w:p w:rsidR="00012172" w:rsidRDefault="00BD04E2">
      <w:pPr>
        <w:pStyle w:val="xl30"/>
        <w:numPr>
          <w:ilvl w:val="12"/>
          <w:numId w:val="0"/>
        </w:numPr>
        <w:pBdr>
          <w:left w:val="none" w:sz="0" w:space="0" w:color="auto"/>
          <w:bottom w:val="none" w:sz="0" w:space="0" w:color="auto"/>
        </w:pBdr>
        <w:spacing w:before="0" w:beforeAutospacing="0" w:after="0" w:afterAutospacing="0"/>
        <w:rPr>
          <w:rFonts w:ascii="Times New Roman" w:hAnsi="Times New Roman"/>
          <w:szCs w:val="22"/>
        </w:rPr>
      </w:pPr>
      <w:r>
        <w:rPr>
          <w:rFonts w:ascii="Times New Roman" w:hAnsi="Times New Roman"/>
          <w:szCs w:val="22"/>
        </w:rPr>
        <w:t>Članak 46</w:t>
      </w:r>
      <w:r w:rsidR="00012172">
        <w:rPr>
          <w:rFonts w:ascii="Times New Roman" w:hAnsi="Times New Roman"/>
          <w:szCs w:val="22"/>
        </w:rPr>
        <w:t>.</w:t>
      </w:r>
    </w:p>
    <w:p w:rsidR="00012172" w:rsidRDefault="00012172">
      <w:pPr>
        <w:numPr>
          <w:ilvl w:val="12"/>
          <w:numId w:val="0"/>
        </w:numPr>
        <w:rPr>
          <w:szCs w:val="22"/>
        </w:rPr>
      </w:pPr>
      <w:r>
        <w:rPr>
          <w:szCs w:val="22"/>
        </w:rPr>
        <w:t xml:space="preserve">(1) Ulična ograda podiže se iza regulacione linije u odnosu na javnu prometnu površinu. </w:t>
      </w:r>
    </w:p>
    <w:p w:rsidR="00012172" w:rsidRDefault="00012172">
      <w:pPr>
        <w:numPr>
          <w:ilvl w:val="12"/>
          <w:numId w:val="0"/>
        </w:numPr>
        <w:jc w:val="both"/>
      </w:pPr>
    </w:p>
    <w:p w:rsidR="00012172" w:rsidRDefault="00012172">
      <w:pPr>
        <w:numPr>
          <w:ilvl w:val="12"/>
          <w:numId w:val="0"/>
        </w:numPr>
        <w:jc w:val="both"/>
        <w:rPr>
          <w:szCs w:val="22"/>
        </w:rPr>
      </w:pPr>
      <w:r>
        <w:rPr>
          <w:szCs w:val="22"/>
        </w:rPr>
        <w:t>(2) Kada se javna cesta koja prolazi kroz građevinsko područje uređuje kao ulica, udaljenost vanjskog ruba ulične ograde od osi ceste odredit će se prema posebnim uvjetima nadležne službe za ceste.</w:t>
      </w:r>
    </w:p>
    <w:p w:rsidR="00012172" w:rsidRDefault="00BD04E2">
      <w:pPr>
        <w:numPr>
          <w:ilvl w:val="12"/>
          <w:numId w:val="0"/>
        </w:numPr>
        <w:jc w:val="center"/>
        <w:rPr>
          <w:szCs w:val="22"/>
        </w:rPr>
      </w:pPr>
      <w:r>
        <w:rPr>
          <w:szCs w:val="22"/>
        </w:rPr>
        <w:t>Članak 47</w:t>
      </w:r>
      <w:r w:rsidR="00012172">
        <w:rPr>
          <w:szCs w:val="22"/>
        </w:rPr>
        <w:t>.</w:t>
      </w:r>
    </w:p>
    <w:p w:rsidR="00012172" w:rsidRDefault="00012172">
      <w:pPr>
        <w:numPr>
          <w:ilvl w:val="12"/>
          <w:numId w:val="0"/>
        </w:numPr>
        <w:jc w:val="both"/>
        <w:rPr>
          <w:szCs w:val="22"/>
        </w:rPr>
      </w:pPr>
      <w:r>
        <w:rPr>
          <w:szCs w:val="22"/>
        </w:rPr>
        <w:t>(1) Ograda se može podizati prema ulici i na međi prema susjednim parcelama. Na građevinskim parcelama ograde se postavljaju s unutrašnje strane međe.</w:t>
      </w:r>
    </w:p>
    <w:p w:rsidR="00012172" w:rsidRDefault="00012172">
      <w:pPr>
        <w:numPr>
          <w:ilvl w:val="12"/>
          <w:numId w:val="0"/>
        </w:numPr>
        <w:jc w:val="both"/>
        <w:rPr>
          <w:szCs w:val="22"/>
        </w:rPr>
      </w:pPr>
      <w:r>
        <w:rPr>
          <w:szCs w:val="22"/>
        </w:rPr>
        <w:t xml:space="preserve">(2) Najveća visina ulične ograde može biti </w:t>
      </w:r>
      <w:smartTag w:uri="urn:schemas-microsoft-com:office:smarttags" w:element="metricconverter">
        <w:smartTagPr>
          <w:attr w:name="ProductID" w:val="1,50 m"/>
        </w:smartTagPr>
        <w:r>
          <w:rPr>
            <w:szCs w:val="22"/>
          </w:rPr>
          <w:t>1,50 m</w:t>
        </w:r>
      </w:smartTag>
      <w:r>
        <w:rPr>
          <w:szCs w:val="22"/>
        </w:rPr>
        <w:t xml:space="preserve">, pri čemu podnožje ograde može biti izvedeno od čvrstog materijala (beton, opeka, metal i sl.), najveće visine od </w:t>
      </w:r>
      <w:smartTag w:uri="urn:schemas-microsoft-com:office:smarttags" w:element="metricconverter">
        <w:smartTagPr>
          <w:attr w:name="ProductID" w:val="100 cm"/>
        </w:smartTagPr>
        <w:r>
          <w:rPr>
            <w:szCs w:val="22"/>
          </w:rPr>
          <w:t>100 cm</w:t>
        </w:r>
      </w:smartTag>
      <w:r>
        <w:rPr>
          <w:szCs w:val="22"/>
        </w:rPr>
        <w:t xml:space="preserve">. Iznimno, ograde i mogu biti više od </w:t>
      </w:r>
      <w:smartTag w:uri="urn:schemas-microsoft-com:office:smarttags" w:element="metricconverter">
        <w:smartTagPr>
          <w:attr w:name="ProductID" w:val="1,50 m"/>
        </w:smartTagPr>
        <w:r>
          <w:rPr>
            <w:szCs w:val="22"/>
          </w:rPr>
          <w:t>1,50 m</w:t>
        </w:r>
      </w:smartTag>
      <w:r>
        <w:rPr>
          <w:szCs w:val="22"/>
        </w:rPr>
        <w:t>, kada je to nužno radi zaštite građevine ili načina njenog korištenja. Ulična ograda može biti izvedena kao zeleni nasad (živica) ili prozračna, izvedena od drveta, pocinčane žice ili drugog materijala sličnih karakteristika.</w:t>
      </w:r>
    </w:p>
    <w:p w:rsidR="00012172" w:rsidRDefault="00012172">
      <w:pPr>
        <w:numPr>
          <w:ilvl w:val="12"/>
          <w:numId w:val="0"/>
        </w:numPr>
        <w:jc w:val="both"/>
        <w:rPr>
          <w:szCs w:val="22"/>
        </w:rPr>
      </w:pPr>
    </w:p>
    <w:p w:rsidR="00012172" w:rsidRDefault="00012172">
      <w:pPr>
        <w:numPr>
          <w:ilvl w:val="12"/>
          <w:numId w:val="0"/>
        </w:numPr>
        <w:jc w:val="both"/>
        <w:rPr>
          <w:szCs w:val="22"/>
        </w:rPr>
      </w:pPr>
      <w:r>
        <w:rPr>
          <w:szCs w:val="22"/>
        </w:rPr>
        <w:t xml:space="preserve">(3) Ograda između građevinskih parcela gradi se prema mjesnom običaju s lijeve ili desne strane, pri čemu njena visina može iznositi najviše </w:t>
      </w:r>
      <w:smartTag w:uri="urn:schemas-microsoft-com:office:smarttags" w:element="metricconverter">
        <w:smartTagPr>
          <w:attr w:name="ProductID" w:val="2,0 m"/>
        </w:smartTagPr>
        <w:r>
          <w:rPr>
            <w:szCs w:val="22"/>
          </w:rPr>
          <w:t>2,0 m</w:t>
        </w:r>
      </w:smartTag>
      <w:r>
        <w:rPr>
          <w:szCs w:val="22"/>
        </w:rPr>
        <w:t>.</w:t>
      </w:r>
    </w:p>
    <w:p w:rsidR="00012172" w:rsidRDefault="00012172">
      <w:pPr>
        <w:numPr>
          <w:ilvl w:val="12"/>
          <w:numId w:val="0"/>
        </w:numPr>
      </w:pPr>
    </w:p>
    <w:p w:rsidR="00012172" w:rsidRDefault="00BD04E2">
      <w:pPr>
        <w:numPr>
          <w:ilvl w:val="12"/>
          <w:numId w:val="0"/>
        </w:numPr>
        <w:jc w:val="center"/>
        <w:rPr>
          <w:szCs w:val="22"/>
        </w:rPr>
      </w:pPr>
      <w:r>
        <w:rPr>
          <w:szCs w:val="22"/>
        </w:rPr>
        <w:t>Članak 48</w:t>
      </w:r>
      <w:r w:rsidR="00012172">
        <w:rPr>
          <w:szCs w:val="22"/>
        </w:rPr>
        <w:t>.</w:t>
      </w:r>
    </w:p>
    <w:p w:rsidR="00012172" w:rsidRDefault="00012172">
      <w:pPr>
        <w:numPr>
          <w:ilvl w:val="12"/>
          <w:numId w:val="0"/>
        </w:numPr>
        <w:jc w:val="both"/>
        <w:rPr>
          <w:szCs w:val="22"/>
        </w:rPr>
      </w:pPr>
      <w:r>
        <w:rPr>
          <w:szCs w:val="22"/>
        </w:rPr>
        <w:t xml:space="preserve">(1) Dio građevinske parcele organiziran kao gospodarsko dvorište na kojem slobodno borave domaće životinje mora se ograditi ogradom koja onemogućava izlaz stoke i peradi. </w:t>
      </w:r>
    </w:p>
    <w:p w:rsidR="007E5C81" w:rsidRDefault="007E5C81" w:rsidP="007E5C81">
      <w:pPr>
        <w:pStyle w:val="xl30"/>
        <w:pBdr>
          <w:left w:val="none" w:sz="0" w:space="0" w:color="auto"/>
          <w:bottom w:val="none" w:sz="0" w:space="0" w:color="auto"/>
        </w:pBdr>
        <w:spacing w:before="0" w:beforeAutospacing="0" w:after="0" w:afterAutospacing="0"/>
        <w:rPr>
          <w:rFonts w:ascii="Times New Roman" w:hAnsi="Times New Roman"/>
          <w:szCs w:val="22"/>
        </w:rPr>
      </w:pPr>
    </w:p>
    <w:p w:rsidR="007E5C81" w:rsidRDefault="00BD04E2" w:rsidP="007E5C81">
      <w:pPr>
        <w:pStyle w:val="xl30"/>
        <w:pBdr>
          <w:left w:val="none" w:sz="0" w:space="0" w:color="auto"/>
          <w:bottom w:val="none" w:sz="0" w:space="0" w:color="auto"/>
        </w:pBdr>
        <w:spacing w:before="0" w:beforeAutospacing="0" w:after="0" w:afterAutospacing="0"/>
        <w:rPr>
          <w:rFonts w:ascii="Times New Roman" w:hAnsi="Times New Roman"/>
          <w:szCs w:val="22"/>
          <w:lang w:eastAsia="en-US"/>
        </w:rPr>
      </w:pPr>
      <w:r>
        <w:rPr>
          <w:rFonts w:ascii="Times New Roman" w:hAnsi="Times New Roman"/>
          <w:szCs w:val="22"/>
        </w:rPr>
        <w:t>Članak 49.</w:t>
      </w:r>
    </w:p>
    <w:p w:rsidR="00012172" w:rsidRDefault="007E5C81">
      <w:pPr>
        <w:numPr>
          <w:ilvl w:val="12"/>
          <w:numId w:val="0"/>
        </w:numPr>
        <w:jc w:val="both"/>
        <w:rPr>
          <w:szCs w:val="22"/>
        </w:rPr>
      </w:pPr>
      <w:r>
        <w:rPr>
          <w:szCs w:val="22"/>
        </w:rPr>
        <w:t>(1</w:t>
      </w:r>
      <w:r w:rsidR="00012172">
        <w:rPr>
          <w:szCs w:val="22"/>
        </w:rPr>
        <w:t xml:space="preserve">) Kada se građevinska parcela iz prethodnog </w:t>
      </w:r>
      <w:r>
        <w:rPr>
          <w:szCs w:val="22"/>
        </w:rPr>
        <w:t>članka</w:t>
      </w:r>
      <w:r w:rsidR="00012172">
        <w:rPr>
          <w:szCs w:val="22"/>
        </w:rPr>
        <w:t xml:space="preserve">a formira na taj način da ima izravni pristup sa sporedne ulice, a svojom stražnjom ili bočnom stranom graniči sa zaštitnim pojasom državne, županijske ili lokalne ceste, građevinska se parcela mora ograditi uz te međe na način koji onemogućava izlaz ljudi i domaćih životinja, ogradom visine do </w:t>
      </w:r>
      <w:smartTag w:uri="urn:schemas-microsoft-com:office:smarttags" w:element="metricconverter">
        <w:smartTagPr>
          <w:attr w:name="ProductID" w:val="2,0 m"/>
        </w:smartTagPr>
        <w:r w:rsidR="00012172">
          <w:rPr>
            <w:szCs w:val="22"/>
          </w:rPr>
          <w:t>2,0 m</w:t>
        </w:r>
      </w:smartTag>
      <w:r w:rsidR="00012172">
        <w:rPr>
          <w:szCs w:val="22"/>
        </w:rPr>
        <w:t>.</w:t>
      </w:r>
    </w:p>
    <w:p w:rsidR="00012172" w:rsidRDefault="00012172">
      <w:pPr>
        <w:rPr>
          <w:lang w:eastAsia="en-US"/>
        </w:rPr>
      </w:pPr>
    </w:p>
    <w:p w:rsidR="00012172" w:rsidRDefault="00012172">
      <w:pPr>
        <w:rPr>
          <w:lang w:eastAsia="en-US"/>
        </w:rPr>
      </w:pPr>
    </w:p>
    <w:p w:rsidR="00012172" w:rsidRDefault="00012172">
      <w:pPr>
        <w:rPr>
          <w:b/>
          <w:bCs/>
          <w:lang w:eastAsia="en-US"/>
        </w:rPr>
      </w:pPr>
      <w:r>
        <w:rPr>
          <w:b/>
          <w:bCs/>
        </w:rPr>
        <w:t xml:space="preserve">2.2.3. Javna i društvena </w:t>
      </w:r>
      <w:r>
        <w:rPr>
          <w:b/>
          <w:bCs/>
          <w:lang w:eastAsia="en-US"/>
        </w:rPr>
        <w:t xml:space="preserve">namjena </w:t>
      </w:r>
    </w:p>
    <w:p w:rsidR="00012172" w:rsidRDefault="00012172">
      <w:pPr>
        <w:rPr>
          <w:b/>
          <w:bCs/>
          <w:lang w:eastAsia="en-US"/>
        </w:rPr>
      </w:pPr>
    </w:p>
    <w:p w:rsidR="00012172" w:rsidRDefault="00012172">
      <w:pPr>
        <w:pStyle w:val="xl30"/>
        <w:pBdr>
          <w:left w:val="none" w:sz="0" w:space="0" w:color="auto"/>
          <w:bottom w:val="none" w:sz="0" w:space="0" w:color="auto"/>
        </w:pBdr>
        <w:spacing w:before="0" w:beforeAutospacing="0" w:after="0" w:afterAutospacing="0"/>
        <w:rPr>
          <w:rFonts w:ascii="Times New Roman" w:hAnsi="Times New Roman"/>
          <w:szCs w:val="22"/>
          <w:lang w:eastAsia="en-US"/>
        </w:rPr>
      </w:pPr>
      <w:r>
        <w:rPr>
          <w:rFonts w:ascii="Times New Roman" w:hAnsi="Times New Roman"/>
          <w:szCs w:val="22"/>
        </w:rPr>
        <w:t>Članak</w:t>
      </w:r>
      <w:r w:rsidR="00BD04E2">
        <w:rPr>
          <w:rFonts w:ascii="Times New Roman" w:hAnsi="Times New Roman"/>
          <w:szCs w:val="22"/>
        </w:rPr>
        <w:t xml:space="preserve"> 50</w:t>
      </w:r>
      <w:r w:rsidR="00F02C68">
        <w:rPr>
          <w:rFonts w:ascii="Times New Roman" w:hAnsi="Times New Roman"/>
          <w:szCs w:val="22"/>
        </w:rPr>
        <w:t>.</w:t>
      </w:r>
    </w:p>
    <w:p w:rsidR="00012172" w:rsidRDefault="00012172">
      <w:pPr>
        <w:pStyle w:val="StandardWeb"/>
        <w:spacing w:before="0" w:beforeAutospacing="0" w:after="0" w:afterAutospacing="0"/>
        <w:jc w:val="both"/>
        <w:rPr>
          <w:lang w:eastAsia="en-US"/>
        </w:rPr>
      </w:pPr>
      <w:r>
        <w:rPr>
          <w:lang w:eastAsia="en-US"/>
        </w:rPr>
        <w:t>Na jednoj građevnoj parcelimože se graditi više javnih i društvenih, te poslovnih i ugostiteljsko-turističkih zgrada ili po jedna stambeno-poslovna i višestambeno-poslovna zgrada (isključivo za tihe i čiste djelatnosti).</w:t>
      </w:r>
    </w:p>
    <w:p w:rsidR="00012172" w:rsidRDefault="00012172">
      <w:pPr>
        <w:rPr>
          <w:lang w:eastAsia="en-US"/>
        </w:rPr>
      </w:pPr>
    </w:p>
    <w:p w:rsidR="00012172" w:rsidRDefault="00012172">
      <w:pPr>
        <w:rPr>
          <w:lang w:eastAsia="en-US"/>
        </w:rPr>
      </w:pPr>
    </w:p>
    <w:p w:rsidR="00012172" w:rsidRDefault="00012172">
      <w:pPr>
        <w:rPr>
          <w:b/>
          <w:bCs/>
          <w:lang w:eastAsia="en-US"/>
        </w:rPr>
      </w:pPr>
      <w:r>
        <w:rPr>
          <w:b/>
          <w:bCs/>
        </w:rPr>
        <w:t xml:space="preserve">2.2.4. </w:t>
      </w:r>
      <w:r>
        <w:rPr>
          <w:b/>
          <w:bCs/>
          <w:szCs w:val="22"/>
          <w:lang w:eastAsia="en-US"/>
        </w:rPr>
        <w:t xml:space="preserve">Gospodarska namjena (proizvodna) </w:t>
      </w:r>
    </w:p>
    <w:p w:rsidR="00012172" w:rsidRDefault="00012172">
      <w:pPr>
        <w:rPr>
          <w:lang w:eastAsia="en-US"/>
        </w:rPr>
      </w:pPr>
    </w:p>
    <w:p w:rsidR="00012172" w:rsidRDefault="00012172">
      <w:pPr>
        <w:pStyle w:val="xl30"/>
        <w:pBdr>
          <w:left w:val="none" w:sz="0" w:space="0" w:color="auto"/>
          <w:bottom w:val="none" w:sz="0" w:space="0" w:color="auto"/>
        </w:pBdr>
        <w:spacing w:before="0" w:beforeAutospacing="0" w:after="0" w:afterAutospacing="0"/>
        <w:rPr>
          <w:rFonts w:ascii="Times New Roman" w:hAnsi="Times New Roman"/>
          <w:szCs w:val="22"/>
          <w:lang w:eastAsia="en-US"/>
        </w:rPr>
      </w:pPr>
      <w:r>
        <w:rPr>
          <w:rFonts w:ascii="Times New Roman" w:hAnsi="Times New Roman"/>
          <w:szCs w:val="22"/>
        </w:rPr>
        <w:t>Članak</w:t>
      </w:r>
      <w:r w:rsidR="00BD04E2">
        <w:rPr>
          <w:rFonts w:ascii="Times New Roman" w:hAnsi="Times New Roman"/>
          <w:szCs w:val="22"/>
        </w:rPr>
        <w:t xml:space="preserve"> 51</w:t>
      </w:r>
      <w:r w:rsidR="00F02C68">
        <w:rPr>
          <w:rFonts w:ascii="Times New Roman" w:hAnsi="Times New Roman"/>
          <w:szCs w:val="22"/>
        </w:rPr>
        <w:t>.</w:t>
      </w:r>
    </w:p>
    <w:p w:rsidR="00012172" w:rsidRDefault="00012172">
      <w:pPr>
        <w:rPr>
          <w:lang w:eastAsia="en-US"/>
        </w:rPr>
      </w:pPr>
      <w:r>
        <w:rPr>
          <w:lang w:eastAsia="en-US"/>
        </w:rPr>
        <w:t>(1) Na jednoj građevnoj parceli može se graditi više proizvodnih zgrada, poslovnih zgrada, ugostiteljsko-turističkih zgrada ili poslovno-stambeni objekt.</w:t>
      </w:r>
    </w:p>
    <w:p w:rsidR="00012172" w:rsidRDefault="00012172">
      <w:pPr>
        <w:rPr>
          <w:szCs w:val="22"/>
          <w:lang w:eastAsia="en-US"/>
        </w:rPr>
      </w:pPr>
    </w:p>
    <w:p w:rsidR="00012172" w:rsidRDefault="00012172">
      <w:pPr>
        <w:rPr>
          <w:szCs w:val="22"/>
          <w:lang w:eastAsia="en-US"/>
        </w:rPr>
      </w:pPr>
    </w:p>
    <w:p w:rsidR="00012172" w:rsidRDefault="00012172">
      <w:pPr>
        <w:rPr>
          <w:b/>
          <w:bCs/>
          <w:lang w:eastAsia="en-US"/>
        </w:rPr>
      </w:pPr>
      <w:r>
        <w:rPr>
          <w:b/>
          <w:bCs/>
        </w:rPr>
        <w:t xml:space="preserve">2.2.5. </w:t>
      </w:r>
      <w:r>
        <w:rPr>
          <w:b/>
          <w:bCs/>
          <w:szCs w:val="22"/>
          <w:lang w:eastAsia="en-US"/>
        </w:rPr>
        <w:t xml:space="preserve">Gospodarska namjena (turističko-ugostiteljska namjena) </w:t>
      </w:r>
    </w:p>
    <w:p w:rsidR="00012172" w:rsidRDefault="00012172">
      <w:pPr>
        <w:ind w:firstLine="708"/>
        <w:rPr>
          <w:szCs w:val="22"/>
          <w:lang w:eastAsia="en-US"/>
        </w:rPr>
      </w:pPr>
    </w:p>
    <w:p w:rsidR="00012172" w:rsidRDefault="00012172">
      <w:pPr>
        <w:pStyle w:val="xl30"/>
        <w:pBdr>
          <w:left w:val="none" w:sz="0" w:space="0" w:color="auto"/>
          <w:bottom w:val="none" w:sz="0" w:space="0" w:color="auto"/>
        </w:pBdr>
        <w:spacing w:before="0" w:beforeAutospacing="0" w:after="0" w:afterAutospacing="0"/>
        <w:rPr>
          <w:rFonts w:ascii="Times New Roman" w:hAnsi="Times New Roman"/>
          <w:szCs w:val="22"/>
          <w:lang w:eastAsia="en-US"/>
        </w:rPr>
      </w:pPr>
      <w:r>
        <w:rPr>
          <w:rFonts w:ascii="Times New Roman" w:hAnsi="Times New Roman"/>
          <w:szCs w:val="22"/>
        </w:rPr>
        <w:t>Članak</w:t>
      </w:r>
      <w:r w:rsidR="00BD04E2">
        <w:rPr>
          <w:rFonts w:ascii="Times New Roman" w:hAnsi="Times New Roman"/>
          <w:szCs w:val="22"/>
        </w:rPr>
        <w:t xml:space="preserve"> 52</w:t>
      </w:r>
      <w:r w:rsidR="00F02C68">
        <w:rPr>
          <w:rFonts w:ascii="Times New Roman" w:hAnsi="Times New Roman"/>
          <w:szCs w:val="22"/>
        </w:rPr>
        <w:t>.</w:t>
      </w:r>
    </w:p>
    <w:p w:rsidR="00012172" w:rsidRDefault="00012172">
      <w:pPr>
        <w:jc w:val="both"/>
        <w:rPr>
          <w:lang w:eastAsia="en-US"/>
        </w:rPr>
      </w:pPr>
      <w:r>
        <w:rPr>
          <w:lang w:eastAsia="en-US"/>
        </w:rPr>
        <w:t>(1) Na jednoj građevnoj parceli može se graditi više ugostiteljsko-turističkih zgrada i sportsko-rekreacijskih građevina te poslovnih zgrada (samo u funkciji upravljanja i praćenja, te upotpunjavanja ugostiteljsko-turističke djelatnosti).</w:t>
      </w:r>
    </w:p>
    <w:p w:rsidR="00012172" w:rsidRDefault="00012172">
      <w:pPr>
        <w:rPr>
          <w:szCs w:val="22"/>
          <w:lang w:eastAsia="en-US"/>
        </w:rPr>
      </w:pPr>
    </w:p>
    <w:p w:rsidR="00BD04E2" w:rsidRDefault="00BD04E2">
      <w:pPr>
        <w:rPr>
          <w:szCs w:val="22"/>
          <w:lang w:eastAsia="en-US"/>
        </w:rPr>
      </w:pPr>
    </w:p>
    <w:p w:rsidR="00BD04E2" w:rsidRDefault="00BD04E2">
      <w:pPr>
        <w:rPr>
          <w:szCs w:val="22"/>
          <w:lang w:eastAsia="en-US"/>
        </w:rPr>
      </w:pPr>
    </w:p>
    <w:p w:rsidR="00BD04E2" w:rsidRDefault="00BD04E2">
      <w:pPr>
        <w:rPr>
          <w:szCs w:val="22"/>
          <w:lang w:eastAsia="en-US"/>
        </w:rPr>
      </w:pPr>
    </w:p>
    <w:p w:rsidR="00BD04E2" w:rsidRDefault="00BD04E2">
      <w:pPr>
        <w:rPr>
          <w:szCs w:val="22"/>
          <w:lang w:eastAsia="en-US"/>
        </w:rPr>
      </w:pPr>
    </w:p>
    <w:p w:rsidR="00BD04E2" w:rsidRDefault="00BD04E2">
      <w:pPr>
        <w:rPr>
          <w:szCs w:val="22"/>
          <w:lang w:eastAsia="en-US"/>
        </w:rPr>
      </w:pPr>
    </w:p>
    <w:p w:rsidR="00012172" w:rsidRDefault="00012172">
      <w:pPr>
        <w:rPr>
          <w:b/>
          <w:bCs/>
          <w:lang w:eastAsia="en-US"/>
        </w:rPr>
      </w:pPr>
      <w:r>
        <w:rPr>
          <w:b/>
          <w:bCs/>
        </w:rPr>
        <w:t xml:space="preserve">2.2.6. </w:t>
      </w:r>
      <w:r>
        <w:rPr>
          <w:b/>
          <w:bCs/>
          <w:szCs w:val="22"/>
          <w:lang w:eastAsia="en-US"/>
        </w:rPr>
        <w:t xml:space="preserve">Športsko-rekreacijska namjena </w:t>
      </w:r>
    </w:p>
    <w:p w:rsidR="00012172" w:rsidRDefault="00012172">
      <w:pPr>
        <w:ind w:firstLine="708"/>
        <w:rPr>
          <w:szCs w:val="22"/>
          <w:lang w:eastAsia="en-US"/>
        </w:rPr>
      </w:pPr>
    </w:p>
    <w:p w:rsidR="00012172" w:rsidRDefault="00012172">
      <w:pPr>
        <w:pStyle w:val="xl30"/>
        <w:pBdr>
          <w:left w:val="none" w:sz="0" w:space="0" w:color="auto"/>
          <w:bottom w:val="none" w:sz="0" w:space="0" w:color="auto"/>
        </w:pBdr>
        <w:spacing w:before="0" w:beforeAutospacing="0" w:after="0" w:afterAutospacing="0"/>
        <w:rPr>
          <w:rFonts w:ascii="Times New Roman" w:hAnsi="Times New Roman"/>
          <w:szCs w:val="22"/>
          <w:lang w:eastAsia="en-US"/>
        </w:rPr>
      </w:pPr>
      <w:r>
        <w:rPr>
          <w:rFonts w:ascii="Times New Roman" w:hAnsi="Times New Roman"/>
          <w:szCs w:val="22"/>
        </w:rPr>
        <w:t>Članak</w:t>
      </w:r>
      <w:r w:rsidR="00BD04E2">
        <w:rPr>
          <w:rFonts w:ascii="Times New Roman" w:hAnsi="Times New Roman"/>
          <w:szCs w:val="22"/>
        </w:rPr>
        <w:t xml:space="preserve"> 53</w:t>
      </w:r>
      <w:r w:rsidR="00F02C68">
        <w:rPr>
          <w:rFonts w:ascii="Times New Roman" w:hAnsi="Times New Roman"/>
          <w:szCs w:val="22"/>
        </w:rPr>
        <w:t>.</w:t>
      </w:r>
    </w:p>
    <w:p w:rsidR="00012172" w:rsidRDefault="00B4503D">
      <w:pPr>
        <w:jc w:val="both"/>
        <w:rPr>
          <w:szCs w:val="22"/>
          <w:lang w:eastAsia="en-US"/>
        </w:rPr>
      </w:pPr>
      <w:r>
        <w:rPr>
          <w:szCs w:val="22"/>
          <w:lang w:eastAsia="en-US"/>
        </w:rPr>
        <w:t xml:space="preserve">(1) </w:t>
      </w:r>
      <w:r w:rsidR="00012172">
        <w:rPr>
          <w:szCs w:val="22"/>
          <w:lang w:eastAsia="en-US"/>
        </w:rPr>
        <w:t>Na jednoj građevnoj parceli može se graditi više športsko-rekreacijskih građevina i ugostiteljsko-turističkih zgrada i poslovnih zgrada (samo u funkciji upravljanja, praćenja i upotpunjavanja športsko-rekreacijske djelatnosti).</w:t>
      </w:r>
    </w:p>
    <w:p w:rsidR="00012172" w:rsidRDefault="00012172">
      <w:pPr>
        <w:ind w:firstLine="708"/>
        <w:rPr>
          <w:szCs w:val="22"/>
          <w:lang w:eastAsia="en-US"/>
        </w:rPr>
      </w:pPr>
    </w:p>
    <w:p w:rsidR="00B4503D" w:rsidRDefault="008C63AE" w:rsidP="008C63AE">
      <w:pPr>
        <w:jc w:val="both"/>
        <w:rPr>
          <w:szCs w:val="22"/>
          <w:lang w:eastAsia="en-US"/>
        </w:rPr>
      </w:pPr>
      <w:r>
        <w:rPr>
          <w:szCs w:val="22"/>
          <w:lang w:eastAsia="en-US"/>
        </w:rPr>
        <w:t>(2) Ovim planom daje se mogućnost preseljenja postojećeg nogometnog igrališta sjevernije ukoliko se zato ukaže potreba.</w:t>
      </w:r>
    </w:p>
    <w:p w:rsidR="008C63AE" w:rsidRDefault="008C63AE" w:rsidP="008C63AE">
      <w:pPr>
        <w:rPr>
          <w:szCs w:val="22"/>
          <w:lang w:eastAsia="en-US"/>
        </w:rPr>
      </w:pPr>
    </w:p>
    <w:p w:rsidR="00012172" w:rsidRDefault="00012172" w:rsidP="00B4503D">
      <w:pPr>
        <w:numPr>
          <w:ilvl w:val="2"/>
          <w:numId w:val="40"/>
        </w:numPr>
        <w:rPr>
          <w:b/>
          <w:bCs/>
          <w:lang w:eastAsia="en-US"/>
        </w:rPr>
      </w:pPr>
      <w:r>
        <w:rPr>
          <w:b/>
          <w:bCs/>
          <w:szCs w:val="22"/>
          <w:lang w:eastAsia="en-US"/>
        </w:rPr>
        <w:t>Javne zelene površine i zaštitne zelene površine</w:t>
      </w:r>
    </w:p>
    <w:p w:rsidR="00012172" w:rsidRDefault="00012172">
      <w:pPr>
        <w:rPr>
          <w:szCs w:val="22"/>
          <w:lang w:eastAsia="en-US"/>
        </w:rPr>
      </w:pPr>
    </w:p>
    <w:p w:rsidR="00012172" w:rsidRDefault="00012172">
      <w:pPr>
        <w:pStyle w:val="xl30"/>
        <w:pBdr>
          <w:left w:val="none" w:sz="0" w:space="0" w:color="auto"/>
          <w:bottom w:val="none" w:sz="0" w:space="0" w:color="auto"/>
        </w:pBdr>
        <w:spacing w:before="0" w:beforeAutospacing="0" w:after="0" w:afterAutospacing="0"/>
        <w:rPr>
          <w:rFonts w:ascii="Times New Roman" w:hAnsi="Times New Roman"/>
          <w:szCs w:val="22"/>
          <w:lang w:eastAsia="en-US"/>
        </w:rPr>
      </w:pPr>
      <w:r>
        <w:rPr>
          <w:rFonts w:ascii="Times New Roman" w:hAnsi="Times New Roman"/>
          <w:szCs w:val="22"/>
        </w:rPr>
        <w:t>Članak</w:t>
      </w:r>
      <w:r w:rsidR="00BD04E2">
        <w:rPr>
          <w:rFonts w:ascii="Times New Roman" w:hAnsi="Times New Roman"/>
          <w:szCs w:val="22"/>
        </w:rPr>
        <w:t xml:space="preserve"> 54</w:t>
      </w:r>
      <w:r w:rsidR="00F02C68">
        <w:rPr>
          <w:rFonts w:ascii="Times New Roman" w:hAnsi="Times New Roman"/>
          <w:szCs w:val="22"/>
        </w:rPr>
        <w:t>.</w:t>
      </w:r>
    </w:p>
    <w:p w:rsidR="00012172" w:rsidRDefault="00F02C68" w:rsidP="00515186">
      <w:pPr>
        <w:jc w:val="both"/>
        <w:rPr>
          <w:szCs w:val="22"/>
          <w:lang w:eastAsia="en-US"/>
        </w:rPr>
      </w:pPr>
      <w:r>
        <w:rPr>
          <w:szCs w:val="22"/>
          <w:lang w:eastAsia="en-US"/>
        </w:rPr>
        <w:t xml:space="preserve">(1) </w:t>
      </w:r>
      <w:r w:rsidR="00012172">
        <w:rPr>
          <w:szCs w:val="22"/>
          <w:lang w:eastAsia="en-US"/>
        </w:rPr>
        <w:t>Na parceli javne zelene površine mogu se graditi spomenici,</w:t>
      </w:r>
      <w:r w:rsidR="00515186">
        <w:rPr>
          <w:szCs w:val="22"/>
          <w:lang w:eastAsia="en-US"/>
        </w:rPr>
        <w:t xml:space="preserve"> kapelice, raspela, pilovi,</w:t>
      </w:r>
      <w:r w:rsidR="00012172">
        <w:rPr>
          <w:szCs w:val="22"/>
          <w:lang w:eastAsia="en-US"/>
        </w:rPr>
        <w:t xml:space="preserve"> reklamni stupovi i panoi.</w:t>
      </w:r>
    </w:p>
    <w:p w:rsidR="00012172" w:rsidRDefault="00012172">
      <w:pPr>
        <w:rPr>
          <w:szCs w:val="22"/>
          <w:lang w:eastAsia="en-US"/>
        </w:rPr>
      </w:pPr>
    </w:p>
    <w:p w:rsidR="00012172" w:rsidRDefault="00012172">
      <w:pPr>
        <w:rPr>
          <w:szCs w:val="22"/>
          <w:lang w:eastAsia="en-US"/>
        </w:rPr>
      </w:pPr>
    </w:p>
    <w:p w:rsidR="00012172" w:rsidRDefault="00B4503D">
      <w:pPr>
        <w:numPr>
          <w:ilvl w:val="2"/>
          <w:numId w:val="0"/>
        </w:numPr>
        <w:tabs>
          <w:tab w:val="num" w:pos="360"/>
        </w:tabs>
        <w:rPr>
          <w:b/>
          <w:bCs/>
          <w:lang w:eastAsia="en-US"/>
        </w:rPr>
      </w:pPr>
      <w:r>
        <w:rPr>
          <w:b/>
          <w:bCs/>
          <w:szCs w:val="22"/>
          <w:lang w:eastAsia="en-US"/>
        </w:rPr>
        <w:t xml:space="preserve">2.2.8. </w:t>
      </w:r>
      <w:r w:rsidR="00012172">
        <w:rPr>
          <w:b/>
          <w:bCs/>
          <w:szCs w:val="22"/>
          <w:lang w:eastAsia="en-US"/>
        </w:rPr>
        <w:t>Groblja</w:t>
      </w:r>
    </w:p>
    <w:p w:rsidR="00012172" w:rsidRDefault="00012172">
      <w:pPr>
        <w:rPr>
          <w:szCs w:val="22"/>
          <w:lang w:eastAsia="en-US"/>
        </w:rPr>
      </w:pPr>
    </w:p>
    <w:p w:rsidR="00012172" w:rsidRDefault="00012172">
      <w:pPr>
        <w:pStyle w:val="xl30"/>
        <w:pBdr>
          <w:left w:val="none" w:sz="0" w:space="0" w:color="auto"/>
          <w:bottom w:val="none" w:sz="0" w:space="0" w:color="auto"/>
        </w:pBdr>
        <w:spacing w:before="0" w:beforeAutospacing="0" w:after="0" w:afterAutospacing="0"/>
        <w:rPr>
          <w:rFonts w:ascii="Times New Roman" w:hAnsi="Times New Roman"/>
          <w:szCs w:val="22"/>
          <w:lang w:eastAsia="en-US"/>
        </w:rPr>
      </w:pPr>
      <w:r>
        <w:rPr>
          <w:rFonts w:ascii="Times New Roman" w:hAnsi="Times New Roman"/>
          <w:szCs w:val="22"/>
        </w:rPr>
        <w:t>Članak</w:t>
      </w:r>
      <w:r w:rsidR="00BD04E2">
        <w:rPr>
          <w:rFonts w:ascii="Times New Roman" w:hAnsi="Times New Roman"/>
          <w:szCs w:val="22"/>
        </w:rPr>
        <w:t xml:space="preserve"> 55</w:t>
      </w:r>
      <w:r w:rsidR="00F02C68">
        <w:rPr>
          <w:rFonts w:ascii="Times New Roman" w:hAnsi="Times New Roman"/>
          <w:szCs w:val="22"/>
        </w:rPr>
        <w:t>.</w:t>
      </w:r>
    </w:p>
    <w:p w:rsidR="00012172" w:rsidRDefault="00012172">
      <w:pPr>
        <w:rPr>
          <w:szCs w:val="22"/>
          <w:lang w:eastAsia="en-US"/>
        </w:rPr>
      </w:pPr>
      <w:r>
        <w:rPr>
          <w:szCs w:val="22"/>
          <w:lang w:eastAsia="en-US"/>
        </w:rPr>
        <w:t xml:space="preserve">Na parceli groblja mogu se graditi grobnice, kapelica, mrtvačnice i spomenici. </w:t>
      </w:r>
    </w:p>
    <w:p w:rsidR="00012172" w:rsidRDefault="00012172">
      <w:pPr>
        <w:rPr>
          <w:szCs w:val="22"/>
          <w:lang w:eastAsia="en-US"/>
        </w:rPr>
      </w:pPr>
    </w:p>
    <w:p w:rsidR="00012172" w:rsidRDefault="00012172">
      <w:pPr>
        <w:ind w:firstLine="708"/>
        <w:rPr>
          <w:szCs w:val="22"/>
          <w:lang w:eastAsia="en-US"/>
        </w:rPr>
      </w:pPr>
    </w:p>
    <w:p w:rsidR="00012172" w:rsidRDefault="00B4503D">
      <w:pPr>
        <w:numPr>
          <w:ilvl w:val="2"/>
          <w:numId w:val="0"/>
        </w:numPr>
        <w:tabs>
          <w:tab w:val="num" w:pos="360"/>
        </w:tabs>
        <w:rPr>
          <w:b/>
          <w:bCs/>
          <w:lang w:eastAsia="en-US"/>
        </w:rPr>
      </w:pPr>
      <w:r>
        <w:rPr>
          <w:b/>
          <w:bCs/>
          <w:szCs w:val="22"/>
          <w:lang w:eastAsia="en-US"/>
        </w:rPr>
        <w:t xml:space="preserve">2.2.9. </w:t>
      </w:r>
      <w:r w:rsidR="00012172">
        <w:rPr>
          <w:b/>
          <w:bCs/>
          <w:szCs w:val="22"/>
          <w:lang w:eastAsia="en-US"/>
        </w:rPr>
        <w:t>Infrastrukturni koridori</w:t>
      </w:r>
    </w:p>
    <w:p w:rsidR="00012172" w:rsidRDefault="00012172">
      <w:pPr>
        <w:ind w:firstLine="708"/>
        <w:rPr>
          <w:szCs w:val="22"/>
          <w:lang w:eastAsia="en-US"/>
        </w:rPr>
      </w:pPr>
    </w:p>
    <w:p w:rsidR="00012172" w:rsidRDefault="00012172">
      <w:pPr>
        <w:pStyle w:val="xl30"/>
        <w:pBdr>
          <w:left w:val="none" w:sz="0" w:space="0" w:color="auto"/>
          <w:bottom w:val="none" w:sz="0" w:space="0" w:color="auto"/>
        </w:pBdr>
        <w:spacing w:before="0" w:beforeAutospacing="0" w:after="0" w:afterAutospacing="0"/>
        <w:rPr>
          <w:rFonts w:ascii="Times New Roman" w:hAnsi="Times New Roman"/>
          <w:szCs w:val="22"/>
          <w:lang w:eastAsia="en-US"/>
        </w:rPr>
      </w:pPr>
      <w:r>
        <w:rPr>
          <w:rFonts w:ascii="Times New Roman" w:hAnsi="Times New Roman"/>
          <w:szCs w:val="22"/>
        </w:rPr>
        <w:t>Članak</w:t>
      </w:r>
      <w:r w:rsidR="00BD04E2">
        <w:rPr>
          <w:rFonts w:ascii="Times New Roman" w:hAnsi="Times New Roman"/>
          <w:szCs w:val="22"/>
        </w:rPr>
        <w:t xml:space="preserve"> 56</w:t>
      </w:r>
      <w:r w:rsidR="00F02C68">
        <w:rPr>
          <w:rFonts w:ascii="Times New Roman" w:hAnsi="Times New Roman"/>
          <w:szCs w:val="22"/>
        </w:rPr>
        <w:t>.</w:t>
      </w:r>
    </w:p>
    <w:p w:rsidR="00012172" w:rsidRDefault="00012172">
      <w:r>
        <w:t>Uvjeti uređenja infrastrukturnih koridora uvrđeni su u točki 5. Odredbi.</w:t>
      </w:r>
    </w:p>
    <w:p w:rsidR="00012172" w:rsidRDefault="00012172"/>
    <w:p w:rsidR="00012172" w:rsidRDefault="00012172"/>
    <w:p w:rsidR="00012172" w:rsidRDefault="00012172">
      <w:pPr>
        <w:pStyle w:val="Naslov2"/>
      </w:pPr>
      <w:bookmarkStart w:id="74" w:name="_Toc49756026"/>
      <w:bookmarkStart w:id="75" w:name="_Toc95140616"/>
      <w:r>
        <w:t>2.3. Izgrađene strukture izvan naselja</w:t>
      </w:r>
      <w:bookmarkEnd w:id="74"/>
      <w:bookmarkEnd w:id="75"/>
      <w:r>
        <w:t xml:space="preserve"> </w:t>
      </w:r>
    </w:p>
    <w:p w:rsidR="00012172" w:rsidRDefault="00012172"/>
    <w:p w:rsidR="00012172" w:rsidRDefault="00257D68">
      <w:pPr>
        <w:numPr>
          <w:ilvl w:val="12"/>
          <w:numId w:val="0"/>
        </w:numPr>
        <w:jc w:val="center"/>
        <w:rPr>
          <w:szCs w:val="22"/>
        </w:rPr>
      </w:pPr>
      <w:r>
        <w:rPr>
          <w:szCs w:val="22"/>
        </w:rPr>
        <w:t>Članak 57</w:t>
      </w:r>
      <w:r w:rsidR="00012172">
        <w:rPr>
          <w:szCs w:val="22"/>
        </w:rPr>
        <w:t>.</w:t>
      </w:r>
    </w:p>
    <w:p w:rsidR="00012172" w:rsidRDefault="00012172">
      <w:pPr>
        <w:numPr>
          <w:ilvl w:val="12"/>
          <w:numId w:val="0"/>
        </w:numPr>
        <w:jc w:val="both"/>
        <w:rPr>
          <w:szCs w:val="22"/>
        </w:rPr>
      </w:pPr>
      <w:r>
        <w:rPr>
          <w:szCs w:val="22"/>
        </w:rPr>
        <w:t>(1) Izvan građevinskog područja, na području općine Gornja Rijeka može se na pojedinačnim lokacijama odobravati gradnja građevina koje po svojoj namjeni zahtijevaju gradnju izvan građevinskog područja, kao što su:</w:t>
      </w:r>
    </w:p>
    <w:p w:rsidR="00012172" w:rsidRDefault="00012172">
      <w:pPr>
        <w:numPr>
          <w:ilvl w:val="12"/>
          <w:numId w:val="0"/>
        </w:numPr>
        <w:ind w:left="720"/>
        <w:rPr>
          <w:szCs w:val="22"/>
          <w:lang w:val="de-DE"/>
        </w:rPr>
      </w:pPr>
      <w:r>
        <w:rPr>
          <w:szCs w:val="22"/>
          <w:lang w:val="de-DE"/>
        </w:rPr>
        <w:t xml:space="preserve">- infrastrukturne građevine (prometne, energetske, komunalne itd.) </w:t>
      </w:r>
    </w:p>
    <w:p w:rsidR="00012172" w:rsidRDefault="00012172">
      <w:pPr>
        <w:numPr>
          <w:ilvl w:val="12"/>
          <w:numId w:val="0"/>
        </w:numPr>
        <w:ind w:left="720"/>
        <w:rPr>
          <w:szCs w:val="22"/>
        </w:rPr>
      </w:pPr>
      <w:r>
        <w:rPr>
          <w:szCs w:val="22"/>
        </w:rPr>
        <w:t>- športsko-rekreacijske i  turističko-ugostiteljske</w:t>
      </w:r>
    </w:p>
    <w:p w:rsidR="00012172" w:rsidRDefault="00012172">
      <w:pPr>
        <w:numPr>
          <w:ilvl w:val="12"/>
          <w:numId w:val="0"/>
        </w:numPr>
        <w:ind w:left="720"/>
        <w:rPr>
          <w:szCs w:val="22"/>
        </w:rPr>
      </w:pPr>
      <w:r>
        <w:rPr>
          <w:szCs w:val="22"/>
        </w:rPr>
        <w:t>- građevine za iskorištavanje mineralnih sirovina</w:t>
      </w:r>
    </w:p>
    <w:p w:rsidR="00012172" w:rsidRDefault="00012172">
      <w:pPr>
        <w:numPr>
          <w:ilvl w:val="12"/>
          <w:numId w:val="0"/>
        </w:numPr>
        <w:ind w:left="720"/>
        <w:rPr>
          <w:szCs w:val="22"/>
        </w:rPr>
      </w:pPr>
      <w:r>
        <w:rPr>
          <w:szCs w:val="22"/>
        </w:rPr>
        <w:t>- stambene i gospodarske građevine u funkciji obavljanja poljoprivrednih djelatnosti :</w:t>
      </w:r>
    </w:p>
    <w:p w:rsidR="00012172" w:rsidRDefault="00012172" w:rsidP="00012172">
      <w:pPr>
        <w:overflowPunct w:val="0"/>
        <w:autoSpaceDE w:val="0"/>
        <w:autoSpaceDN w:val="0"/>
        <w:adjustRightInd w:val="0"/>
        <w:ind w:left="1723" w:hanging="283"/>
        <w:textAlignment w:val="baseline"/>
        <w:rPr>
          <w:szCs w:val="22"/>
        </w:rPr>
      </w:pPr>
      <w:r>
        <w:rPr>
          <w:szCs w:val="22"/>
        </w:rPr>
        <w:t xml:space="preserve">stambeno - gospodarski sklopovi ( farme ) </w:t>
      </w:r>
    </w:p>
    <w:p w:rsidR="00012172" w:rsidRDefault="00012172" w:rsidP="00012172">
      <w:pPr>
        <w:overflowPunct w:val="0"/>
        <w:autoSpaceDE w:val="0"/>
        <w:autoSpaceDN w:val="0"/>
        <w:adjustRightInd w:val="0"/>
        <w:ind w:left="1723" w:hanging="283"/>
        <w:textAlignment w:val="baseline"/>
        <w:rPr>
          <w:szCs w:val="22"/>
        </w:rPr>
      </w:pPr>
      <w:r>
        <w:rPr>
          <w:szCs w:val="22"/>
        </w:rPr>
        <w:t>građevine za uzgoj životinja ( tovilišta )</w:t>
      </w:r>
    </w:p>
    <w:p w:rsidR="00012172" w:rsidRDefault="00012172" w:rsidP="00012172">
      <w:pPr>
        <w:overflowPunct w:val="0"/>
        <w:autoSpaceDE w:val="0"/>
        <w:autoSpaceDN w:val="0"/>
        <w:adjustRightInd w:val="0"/>
        <w:ind w:left="1723" w:hanging="283"/>
        <w:textAlignment w:val="baseline"/>
        <w:rPr>
          <w:szCs w:val="22"/>
        </w:rPr>
      </w:pPr>
      <w:r>
        <w:rPr>
          <w:szCs w:val="22"/>
        </w:rPr>
        <w:t>klijeti u vinogradima i spremišta voća u voćnjacima</w:t>
      </w:r>
    </w:p>
    <w:p w:rsidR="00012172" w:rsidRDefault="00012172" w:rsidP="00012172">
      <w:pPr>
        <w:overflowPunct w:val="0"/>
        <w:autoSpaceDE w:val="0"/>
        <w:autoSpaceDN w:val="0"/>
        <w:adjustRightInd w:val="0"/>
        <w:ind w:left="1723" w:hanging="283"/>
        <w:textAlignment w:val="baseline"/>
        <w:rPr>
          <w:szCs w:val="22"/>
        </w:rPr>
      </w:pPr>
      <w:r>
        <w:rPr>
          <w:szCs w:val="22"/>
        </w:rPr>
        <w:t>pčelinjaci</w:t>
      </w:r>
    </w:p>
    <w:p w:rsidR="00012172" w:rsidRDefault="00012172" w:rsidP="00012172">
      <w:pPr>
        <w:overflowPunct w:val="0"/>
        <w:autoSpaceDE w:val="0"/>
        <w:autoSpaceDN w:val="0"/>
        <w:adjustRightInd w:val="0"/>
        <w:ind w:left="1723" w:hanging="283"/>
        <w:textAlignment w:val="baseline"/>
        <w:rPr>
          <w:szCs w:val="22"/>
        </w:rPr>
      </w:pPr>
      <w:r>
        <w:rPr>
          <w:szCs w:val="22"/>
        </w:rPr>
        <w:t>ostave za alat, oruđe, kultivatore i sl.</w:t>
      </w:r>
    </w:p>
    <w:p w:rsidR="00012172" w:rsidRDefault="00012172" w:rsidP="00012172">
      <w:pPr>
        <w:overflowPunct w:val="0"/>
        <w:autoSpaceDE w:val="0"/>
        <w:autoSpaceDN w:val="0"/>
        <w:adjustRightInd w:val="0"/>
        <w:ind w:left="1723" w:hanging="283"/>
        <w:textAlignment w:val="baseline"/>
        <w:rPr>
          <w:szCs w:val="22"/>
        </w:rPr>
      </w:pPr>
      <w:r>
        <w:rPr>
          <w:szCs w:val="22"/>
        </w:rPr>
        <w:t>spremišta drva u šumama</w:t>
      </w:r>
    </w:p>
    <w:p w:rsidR="00012172" w:rsidRDefault="00012172" w:rsidP="00012172">
      <w:pPr>
        <w:overflowPunct w:val="0"/>
        <w:autoSpaceDE w:val="0"/>
        <w:autoSpaceDN w:val="0"/>
        <w:adjustRightInd w:val="0"/>
        <w:ind w:left="1723" w:hanging="283"/>
        <w:textAlignment w:val="baseline"/>
        <w:rPr>
          <w:szCs w:val="22"/>
        </w:rPr>
      </w:pPr>
      <w:r>
        <w:rPr>
          <w:szCs w:val="22"/>
        </w:rPr>
        <w:t>plastenici i staklenici</w:t>
      </w:r>
    </w:p>
    <w:p w:rsidR="00012172" w:rsidRDefault="00012172" w:rsidP="00012172">
      <w:pPr>
        <w:overflowPunct w:val="0"/>
        <w:autoSpaceDE w:val="0"/>
        <w:autoSpaceDN w:val="0"/>
        <w:adjustRightInd w:val="0"/>
        <w:ind w:left="1723" w:hanging="283"/>
        <w:textAlignment w:val="baseline"/>
        <w:rPr>
          <w:szCs w:val="22"/>
        </w:rPr>
      </w:pPr>
      <w:r>
        <w:rPr>
          <w:szCs w:val="22"/>
        </w:rPr>
        <w:t>pilane</w:t>
      </w:r>
    </w:p>
    <w:p w:rsidR="00012172" w:rsidRDefault="00012172" w:rsidP="00012172">
      <w:pPr>
        <w:overflowPunct w:val="0"/>
        <w:autoSpaceDE w:val="0"/>
        <w:autoSpaceDN w:val="0"/>
        <w:adjustRightInd w:val="0"/>
        <w:ind w:left="1723" w:hanging="283"/>
        <w:textAlignment w:val="baseline"/>
        <w:rPr>
          <w:szCs w:val="22"/>
        </w:rPr>
      </w:pPr>
      <w:r>
        <w:rPr>
          <w:szCs w:val="22"/>
        </w:rPr>
        <w:t xml:space="preserve">ribnjaci </w:t>
      </w:r>
    </w:p>
    <w:p w:rsidR="00012172" w:rsidRDefault="00012172" w:rsidP="00012172">
      <w:pPr>
        <w:overflowPunct w:val="0"/>
        <w:autoSpaceDE w:val="0"/>
        <w:autoSpaceDN w:val="0"/>
        <w:adjustRightInd w:val="0"/>
        <w:ind w:left="1723" w:hanging="283"/>
        <w:textAlignment w:val="baseline"/>
        <w:rPr>
          <w:szCs w:val="22"/>
        </w:rPr>
      </w:pPr>
      <w:r>
        <w:rPr>
          <w:szCs w:val="22"/>
        </w:rPr>
        <w:t>proizvodnja građevinskih materijala i izrada betonske galanterije,</w:t>
      </w:r>
    </w:p>
    <w:p w:rsidR="00012172" w:rsidRDefault="00012172" w:rsidP="00012172">
      <w:pPr>
        <w:overflowPunct w:val="0"/>
        <w:autoSpaceDE w:val="0"/>
        <w:autoSpaceDN w:val="0"/>
        <w:adjustRightInd w:val="0"/>
        <w:ind w:left="1723" w:hanging="283"/>
        <w:textAlignment w:val="baseline"/>
        <w:rPr>
          <w:szCs w:val="22"/>
        </w:rPr>
      </w:pPr>
      <w:r>
        <w:rPr>
          <w:szCs w:val="22"/>
        </w:rPr>
        <w:t>nalazišta mineralnih sirovina (šljunka i pijeska, plin),</w:t>
      </w:r>
    </w:p>
    <w:p w:rsidR="00012172" w:rsidRDefault="00012172" w:rsidP="00012172">
      <w:pPr>
        <w:overflowPunct w:val="0"/>
        <w:autoSpaceDE w:val="0"/>
        <w:autoSpaceDN w:val="0"/>
        <w:adjustRightInd w:val="0"/>
        <w:ind w:left="1723" w:hanging="283"/>
        <w:textAlignment w:val="baseline"/>
        <w:rPr>
          <w:szCs w:val="22"/>
        </w:rPr>
      </w:pPr>
      <w:r>
        <w:rPr>
          <w:szCs w:val="22"/>
        </w:rPr>
        <w:t>separacija šljunka i pijeska,</w:t>
      </w:r>
    </w:p>
    <w:p w:rsidR="00012172" w:rsidRDefault="00012172" w:rsidP="00012172">
      <w:pPr>
        <w:overflowPunct w:val="0"/>
        <w:autoSpaceDE w:val="0"/>
        <w:autoSpaceDN w:val="0"/>
        <w:adjustRightInd w:val="0"/>
        <w:ind w:left="1723" w:hanging="283"/>
        <w:textAlignment w:val="baseline"/>
        <w:rPr>
          <w:szCs w:val="22"/>
        </w:rPr>
      </w:pPr>
      <w:r>
        <w:rPr>
          <w:szCs w:val="22"/>
        </w:rPr>
        <w:t>uzgoj nasada (rasadnici, staklenici, plastenici i sl.)</w:t>
      </w:r>
    </w:p>
    <w:p w:rsidR="00012172" w:rsidRDefault="00012172" w:rsidP="00012172">
      <w:pPr>
        <w:overflowPunct w:val="0"/>
        <w:autoSpaceDE w:val="0"/>
        <w:autoSpaceDN w:val="0"/>
        <w:adjustRightInd w:val="0"/>
        <w:ind w:left="1723" w:hanging="283"/>
        <w:textAlignment w:val="baseline"/>
        <w:rPr>
          <w:szCs w:val="22"/>
        </w:rPr>
      </w:pPr>
      <w:r>
        <w:rPr>
          <w:szCs w:val="22"/>
        </w:rPr>
        <w:t>mlinovi i silosi</w:t>
      </w:r>
    </w:p>
    <w:p w:rsidR="00012172" w:rsidRDefault="00012172">
      <w:pPr>
        <w:numPr>
          <w:ilvl w:val="12"/>
          <w:numId w:val="0"/>
        </w:numPr>
      </w:pPr>
    </w:p>
    <w:p w:rsidR="00012172" w:rsidRDefault="00012172">
      <w:pPr>
        <w:numPr>
          <w:ilvl w:val="12"/>
          <w:numId w:val="0"/>
        </w:numPr>
        <w:jc w:val="both"/>
        <w:rPr>
          <w:szCs w:val="22"/>
        </w:rPr>
      </w:pPr>
      <w:r>
        <w:rPr>
          <w:szCs w:val="22"/>
        </w:rPr>
        <w:t xml:space="preserve"> (2) Na izgrađenim parcelama iz prethodnog stavka ovog članka iznimno je, radi osiguranja potrebe obnavljanja seoskog gospodarstva, moguća i gradnja novih stambenih i gospodarskih građevina. </w:t>
      </w:r>
    </w:p>
    <w:p w:rsidR="00012172" w:rsidRDefault="00012172">
      <w:pPr>
        <w:numPr>
          <w:ilvl w:val="12"/>
          <w:numId w:val="0"/>
        </w:numPr>
        <w:ind w:firstLine="720"/>
        <w:jc w:val="both"/>
      </w:pPr>
    </w:p>
    <w:p w:rsidR="00012172" w:rsidRDefault="00012172">
      <w:pPr>
        <w:numPr>
          <w:ilvl w:val="12"/>
          <w:numId w:val="0"/>
        </w:numPr>
        <w:ind w:firstLine="720"/>
        <w:jc w:val="both"/>
      </w:pPr>
    </w:p>
    <w:p w:rsidR="00012172" w:rsidRPr="00165BAC" w:rsidRDefault="00012172">
      <w:pPr>
        <w:numPr>
          <w:ilvl w:val="12"/>
          <w:numId w:val="0"/>
        </w:numPr>
        <w:rPr>
          <w:b/>
          <w:szCs w:val="22"/>
        </w:rPr>
      </w:pPr>
      <w:r>
        <w:rPr>
          <w:b/>
          <w:szCs w:val="22"/>
          <w:lang w:val="de-DE"/>
        </w:rPr>
        <w:t>Infrastrukturne</w:t>
      </w:r>
      <w:r w:rsidRPr="00165BAC">
        <w:rPr>
          <w:b/>
          <w:szCs w:val="22"/>
        </w:rPr>
        <w:t xml:space="preserve"> </w:t>
      </w:r>
      <w:r>
        <w:rPr>
          <w:b/>
          <w:szCs w:val="22"/>
          <w:lang w:val="de-DE"/>
        </w:rPr>
        <w:t>gra</w:t>
      </w:r>
      <w:r w:rsidRPr="00165BAC">
        <w:rPr>
          <w:b/>
          <w:szCs w:val="22"/>
        </w:rPr>
        <w:t>đ</w:t>
      </w:r>
      <w:r>
        <w:rPr>
          <w:b/>
          <w:szCs w:val="22"/>
          <w:lang w:val="de-DE"/>
        </w:rPr>
        <w:t>evine</w:t>
      </w:r>
    </w:p>
    <w:p w:rsidR="00012172" w:rsidRPr="00165BAC" w:rsidRDefault="00012172">
      <w:pPr>
        <w:numPr>
          <w:ilvl w:val="12"/>
          <w:numId w:val="0"/>
        </w:numPr>
        <w:jc w:val="center"/>
      </w:pPr>
    </w:p>
    <w:p w:rsidR="00012172" w:rsidRPr="00165BAC" w:rsidRDefault="00F02C68">
      <w:pPr>
        <w:numPr>
          <w:ilvl w:val="12"/>
          <w:numId w:val="0"/>
        </w:numPr>
        <w:jc w:val="center"/>
        <w:rPr>
          <w:szCs w:val="22"/>
        </w:rPr>
      </w:pPr>
      <w:r w:rsidRPr="00165BAC">
        <w:rPr>
          <w:szCs w:val="22"/>
        </w:rPr>
        <w:t>Č</w:t>
      </w:r>
      <w:r>
        <w:rPr>
          <w:szCs w:val="22"/>
          <w:lang w:val="de-DE"/>
        </w:rPr>
        <w:t>lanak</w:t>
      </w:r>
      <w:r w:rsidR="00257D68">
        <w:rPr>
          <w:szCs w:val="22"/>
        </w:rPr>
        <w:t xml:space="preserve"> 58</w:t>
      </w:r>
      <w:r w:rsidR="00012172" w:rsidRPr="00165BAC">
        <w:rPr>
          <w:szCs w:val="22"/>
        </w:rPr>
        <w:t>.</w:t>
      </w:r>
    </w:p>
    <w:p w:rsidR="00012172" w:rsidRDefault="00012172">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(1)</w:t>
      </w:r>
      <w:r>
        <w:rPr>
          <w:rFonts w:ascii="Times New Roman" w:hAnsi="Times New Roman"/>
          <w:snapToGrid w:val="0"/>
          <w:sz w:val="24"/>
          <w:szCs w:val="22"/>
          <w:lang w:val="hr-HR" w:eastAsia="en-US"/>
        </w:rPr>
        <w:tab/>
        <w:t>Građevine infrastrukture su vodovi i građevine u funkciji prometnog sustava, sustava veza, sustava vodoopskrbe, odvodnje i sustava energetike, smještene u infrastrukturne koridore.</w:t>
      </w:r>
    </w:p>
    <w:p w:rsidR="00012172" w:rsidRDefault="00012172">
      <w:pPr>
        <w:pStyle w:val="clanak"/>
        <w:rPr>
          <w:rFonts w:ascii="Times New Roman" w:hAnsi="Times New Roman"/>
          <w:snapToGrid w:val="0"/>
          <w:sz w:val="24"/>
          <w:lang w:val="hr-HR" w:eastAsia="en-US"/>
        </w:rPr>
      </w:pPr>
    </w:p>
    <w:p w:rsidR="00012172" w:rsidRDefault="00012172">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(2)</w:t>
      </w:r>
      <w:r>
        <w:rPr>
          <w:rFonts w:ascii="Times New Roman" w:hAnsi="Times New Roman"/>
          <w:snapToGrid w:val="0"/>
          <w:sz w:val="24"/>
          <w:szCs w:val="22"/>
          <w:lang w:val="hr-HR" w:eastAsia="en-US"/>
        </w:rPr>
        <w:tab/>
        <w:t>Pri određivanju površina infrastrukturnih koridora potrebno je uvažavati:</w:t>
      </w:r>
    </w:p>
    <w:p w:rsidR="00012172" w:rsidRDefault="00012172">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w:t>
      </w:r>
      <w:r>
        <w:rPr>
          <w:rFonts w:ascii="Times New Roman" w:hAnsi="Times New Roman"/>
          <w:snapToGrid w:val="0"/>
          <w:sz w:val="24"/>
          <w:szCs w:val="22"/>
          <w:lang w:val="hr-HR" w:eastAsia="en-US"/>
        </w:rPr>
        <w:tab/>
        <w:t>vrednovanje prostora za građenje,</w:t>
      </w:r>
    </w:p>
    <w:p w:rsidR="00012172" w:rsidRDefault="00012172">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w:t>
      </w:r>
      <w:r>
        <w:rPr>
          <w:rFonts w:ascii="Times New Roman" w:hAnsi="Times New Roman"/>
          <w:snapToGrid w:val="0"/>
          <w:sz w:val="24"/>
          <w:szCs w:val="22"/>
          <w:lang w:val="hr-HR" w:eastAsia="en-US"/>
        </w:rPr>
        <w:tab/>
        <w:t>uvjete utvrđivanja prometnih i drugih infrastrukturnih sustava,</w:t>
      </w:r>
    </w:p>
    <w:p w:rsidR="00012172" w:rsidRDefault="00012172">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w:t>
      </w:r>
      <w:r>
        <w:rPr>
          <w:rFonts w:ascii="Times New Roman" w:hAnsi="Times New Roman"/>
          <w:snapToGrid w:val="0"/>
          <w:sz w:val="24"/>
          <w:szCs w:val="22"/>
          <w:lang w:val="hr-HR" w:eastAsia="en-US"/>
        </w:rPr>
        <w:tab/>
        <w:t>mjere očuvanja krajobraznih vrijednosti,</w:t>
      </w:r>
    </w:p>
    <w:p w:rsidR="00012172" w:rsidRDefault="00012172">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w:t>
      </w:r>
      <w:r>
        <w:rPr>
          <w:rFonts w:ascii="Times New Roman" w:hAnsi="Times New Roman"/>
          <w:snapToGrid w:val="0"/>
          <w:sz w:val="24"/>
          <w:szCs w:val="22"/>
          <w:lang w:val="hr-HR" w:eastAsia="en-US"/>
        </w:rPr>
        <w:tab/>
        <w:t>mjere zaštite prirodnih vrijednosti,</w:t>
      </w:r>
    </w:p>
    <w:p w:rsidR="00012172" w:rsidRDefault="00012172">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w:t>
      </w:r>
      <w:r>
        <w:rPr>
          <w:rFonts w:ascii="Times New Roman" w:hAnsi="Times New Roman"/>
          <w:snapToGrid w:val="0"/>
          <w:sz w:val="24"/>
          <w:szCs w:val="22"/>
          <w:lang w:val="hr-HR" w:eastAsia="en-US"/>
        </w:rPr>
        <w:tab/>
        <w:t xml:space="preserve">mjere zaštite kulturno-povijesnog naslijeđa, </w:t>
      </w:r>
    </w:p>
    <w:p w:rsidR="00012172" w:rsidRDefault="00012172">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w:t>
      </w:r>
      <w:r>
        <w:rPr>
          <w:rFonts w:ascii="Times New Roman" w:hAnsi="Times New Roman"/>
          <w:snapToGrid w:val="0"/>
          <w:sz w:val="24"/>
          <w:szCs w:val="22"/>
          <w:lang w:val="hr-HR" w:eastAsia="en-US"/>
        </w:rPr>
        <w:tab/>
        <w:t>mjere sprečavanja nepovoljnog utjecaja na okoliš.</w:t>
      </w:r>
    </w:p>
    <w:p w:rsidR="00012172" w:rsidRDefault="00012172">
      <w:pPr>
        <w:numPr>
          <w:ilvl w:val="12"/>
          <w:numId w:val="0"/>
        </w:numPr>
        <w:ind w:firstLine="709"/>
        <w:jc w:val="both"/>
      </w:pPr>
    </w:p>
    <w:p w:rsidR="00012172" w:rsidRDefault="00012172">
      <w:pPr>
        <w:jc w:val="both"/>
        <w:rPr>
          <w:szCs w:val="22"/>
        </w:rPr>
      </w:pPr>
      <w:r>
        <w:rPr>
          <w:szCs w:val="22"/>
        </w:rPr>
        <w:t xml:space="preserve">(3)  Predviđa se daljnji razvoj telekomunikacija, elektroopskrbe, vodoopskrbe, odvodnje. </w:t>
      </w:r>
    </w:p>
    <w:p w:rsidR="00012172" w:rsidRDefault="00012172">
      <w:pPr>
        <w:numPr>
          <w:ilvl w:val="12"/>
          <w:numId w:val="0"/>
        </w:numPr>
        <w:rPr>
          <w:rFonts w:ascii="Arial" w:hAnsi="Arial" w:cs="Arial"/>
          <w:b/>
          <w:sz w:val="22"/>
          <w:szCs w:val="22"/>
        </w:rPr>
      </w:pPr>
    </w:p>
    <w:p w:rsidR="00012172" w:rsidRDefault="00012172">
      <w:pPr>
        <w:numPr>
          <w:ilvl w:val="12"/>
          <w:numId w:val="0"/>
        </w:numPr>
        <w:rPr>
          <w:rFonts w:ascii="Arial" w:hAnsi="Arial" w:cs="Arial"/>
          <w:b/>
          <w:sz w:val="22"/>
          <w:szCs w:val="22"/>
        </w:rPr>
      </w:pPr>
    </w:p>
    <w:p w:rsidR="00012172" w:rsidRDefault="00012172">
      <w:pPr>
        <w:pStyle w:val="Naslov6"/>
        <w:numPr>
          <w:ilvl w:val="12"/>
          <w:numId w:val="0"/>
        </w:numPr>
      </w:pPr>
      <w:r>
        <w:t>Športsko-rekreacijske i ugostiteljsko-turističke građevine</w:t>
      </w:r>
    </w:p>
    <w:p w:rsidR="00012172" w:rsidRDefault="00012172">
      <w:pPr>
        <w:numPr>
          <w:ilvl w:val="12"/>
          <w:numId w:val="0"/>
        </w:numPr>
        <w:rPr>
          <w:b/>
        </w:rPr>
      </w:pPr>
    </w:p>
    <w:p w:rsidR="00012172" w:rsidRDefault="00257D68">
      <w:pPr>
        <w:numPr>
          <w:ilvl w:val="12"/>
          <w:numId w:val="0"/>
        </w:numPr>
        <w:jc w:val="center"/>
        <w:rPr>
          <w:szCs w:val="22"/>
        </w:rPr>
      </w:pPr>
      <w:r>
        <w:rPr>
          <w:szCs w:val="22"/>
        </w:rPr>
        <w:t>Članak 59</w:t>
      </w:r>
      <w:r w:rsidR="00012172">
        <w:rPr>
          <w:szCs w:val="22"/>
        </w:rPr>
        <w:t>.</w:t>
      </w:r>
    </w:p>
    <w:p w:rsidR="00012172" w:rsidRDefault="00012172">
      <w:pPr>
        <w:pStyle w:val="clanak"/>
        <w:rPr>
          <w:rFonts w:ascii="Times New Roman" w:hAnsi="Times New Roman"/>
          <w:snapToGrid w:val="0"/>
          <w:sz w:val="24"/>
          <w:lang w:val="hr-HR" w:eastAsia="en-US"/>
        </w:rPr>
      </w:pPr>
      <w:r>
        <w:rPr>
          <w:rFonts w:ascii="Times New Roman" w:hAnsi="Times New Roman"/>
          <w:snapToGrid w:val="0"/>
          <w:sz w:val="24"/>
          <w:lang w:val="hr-HR" w:eastAsia="en-US"/>
        </w:rPr>
        <w:t>(1)</w:t>
      </w:r>
      <w:r>
        <w:rPr>
          <w:rFonts w:ascii="Times New Roman" w:hAnsi="Times New Roman"/>
          <w:snapToGrid w:val="0"/>
          <w:sz w:val="24"/>
          <w:lang w:val="hr-HR" w:eastAsia="en-US"/>
        </w:rPr>
        <w:tab/>
        <w:t xml:space="preserve">Ovim planom definirane su športsko-rekreacijska zona Deklešanec (prikazana na karti 4.1.), športsko-rekreacijska zona Mali Kalnik (prikazana na karti 1.), turističko-rekreacijska zona Kostanjevec Riječki (prikazana </w:t>
      </w:r>
      <w:r w:rsidR="00257D68">
        <w:rPr>
          <w:rFonts w:ascii="Times New Roman" w:hAnsi="Times New Roman"/>
          <w:snapToGrid w:val="0"/>
          <w:sz w:val="24"/>
          <w:lang w:val="hr-HR" w:eastAsia="en-US"/>
        </w:rPr>
        <w:t xml:space="preserve">na karti 4.1.), zona za razvoj </w:t>
      </w:r>
      <w:r>
        <w:rPr>
          <w:rFonts w:ascii="Times New Roman" w:hAnsi="Times New Roman"/>
          <w:snapToGrid w:val="0"/>
          <w:sz w:val="24"/>
          <w:lang w:val="hr-HR" w:eastAsia="en-US"/>
        </w:rPr>
        <w:t>turizma u Deklešancu (prikazana na karti 4.1.),</w:t>
      </w:r>
    </w:p>
    <w:p w:rsidR="00012172" w:rsidRDefault="00012172">
      <w:pPr>
        <w:pStyle w:val="clanak"/>
        <w:rPr>
          <w:rFonts w:ascii="Times New Roman" w:hAnsi="Times New Roman"/>
          <w:snapToGrid w:val="0"/>
          <w:sz w:val="24"/>
          <w:lang w:val="hr-HR" w:eastAsia="en-US"/>
        </w:rPr>
      </w:pPr>
    </w:p>
    <w:p w:rsidR="00012172" w:rsidRDefault="00012172">
      <w:pPr>
        <w:pStyle w:val="clanak"/>
        <w:tabs>
          <w:tab w:val="clear" w:pos="426"/>
        </w:tabs>
        <w:rPr>
          <w:rFonts w:ascii="Times New Roman" w:hAnsi="Times New Roman"/>
          <w:snapToGrid w:val="0"/>
          <w:sz w:val="24"/>
          <w:lang w:val="hr-HR" w:eastAsia="en-US"/>
        </w:rPr>
      </w:pPr>
      <w:r>
        <w:rPr>
          <w:rFonts w:ascii="Times New Roman" w:hAnsi="Times New Roman"/>
          <w:snapToGrid w:val="0"/>
          <w:sz w:val="24"/>
          <w:lang w:val="hr-HR" w:eastAsia="en-US"/>
        </w:rPr>
        <w:t>(2) Športsko-rekreacijska zona Deklešanec smještena je oko lovačkog doma i njome se koristi lovačko društvo. Ovim Planom određene su lokacije za razvoj lovnog turizma (prikazane su na karti 1.) koje koriste lovačke udruge, a mogu se nadopunjavati potrebnim pratećim sadržajima i širiti u skladu s potrebama.</w:t>
      </w:r>
    </w:p>
    <w:p w:rsidR="00012172" w:rsidRDefault="00012172">
      <w:pPr>
        <w:pStyle w:val="clanak"/>
        <w:rPr>
          <w:rFonts w:ascii="Times New Roman" w:hAnsi="Times New Roman"/>
          <w:snapToGrid w:val="0"/>
          <w:sz w:val="24"/>
          <w:lang w:val="hr-HR" w:eastAsia="en-US"/>
        </w:rPr>
      </w:pPr>
    </w:p>
    <w:p w:rsidR="00012172" w:rsidRDefault="00012172">
      <w:pPr>
        <w:pStyle w:val="clanak"/>
        <w:tabs>
          <w:tab w:val="clear" w:pos="426"/>
        </w:tabs>
        <w:rPr>
          <w:rFonts w:ascii="Times New Roman" w:hAnsi="Times New Roman"/>
          <w:snapToGrid w:val="0"/>
          <w:sz w:val="24"/>
          <w:lang w:val="hr-HR" w:eastAsia="en-US"/>
        </w:rPr>
      </w:pPr>
      <w:r>
        <w:rPr>
          <w:rFonts w:ascii="Times New Roman" w:hAnsi="Times New Roman"/>
          <w:snapToGrid w:val="0"/>
          <w:sz w:val="24"/>
          <w:lang w:val="hr-HR" w:eastAsia="en-US"/>
        </w:rPr>
        <w:t>(3) Športsko-rekreacijska zona Mali Kalnik se nalazi unutar značajnog krajobraza Kalnika. Izradom Prostornog plana područja posebnih obilježja Kalnika (PPPPO Kalnika) definirat će se režim korištenja ovog prostora, odnosno mjerama zaštite za zaštićeni krajobraz, u skladu sa Zakonom o zaštiti prirode. Do donošenja PPPPO Kalnika dozvoljava se uređivanje površina za šport i rekreaciju. Tu se nalazi planinarska staza i poligon za paraglejdere. Uz planinarsku stazu predviđa se izgradnja planinarskog doma ili skloništa. Zaštita i razvoj prirodnih dobara, te približavanje čovjeka ljepotama prirode, mogući su jedino uz održivo iskorištavanje i uvjetovanu izgradnju (npr. klijeti od prirodnih materijala) koja podrazumijeva potpuno uklapanje i neometanje prirodnih sastavnica okoliša i krajobraza.</w:t>
      </w:r>
    </w:p>
    <w:p w:rsidR="00012172" w:rsidRDefault="00012172">
      <w:pPr>
        <w:pStyle w:val="clanak"/>
        <w:rPr>
          <w:rFonts w:ascii="Times New Roman" w:hAnsi="Times New Roman"/>
          <w:snapToGrid w:val="0"/>
          <w:sz w:val="24"/>
          <w:lang w:val="hr-HR" w:eastAsia="en-US"/>
        </w:rPr>
      </w:pPr>
    </w:p>
    <w:p w:rsidR="00012172" w:rsidRDefault="00012172">
      <w:pPr>
        <w:pStyle w:val="clanak"/>
        <w:rPr>
          <w:rFonts w:ascii="Times New Roman" w:hAnsi="Times New Roman"/>
          <w:snapToGrid w:val="0"/>
          <w:sz w:val="24"/>
          <w:lang w:val="hr-HR" w:eastAsia="en-US"/>
        </w:rPr>
      </w:pPr>
      <w:r>
        <w:rPr>
          <w:rFonts w:ascii="Times New Roman" w:hAnsi="Times New Roman"/>
          <w:snapToGrid w:val="0"/>
          <w:sz w:val="24"/>
          <w:lang w:val="hr-HR" w:eastAsia="en-US"/>
        </w:rPr>
        <w:t>(4)</w:t>
      </w:r>
      <w:r>
        <w:rPr>
          <w:rFonts w:ascii="Times New Roman" w:hAnsi="Times New Roman"/>
          <w:snapToGrid w:val="0"/>
          <w:sz w:val="24"/>
          <w:lang w:val="hr-HR" w:eastAsia="en-US"/>
        </w:rPr>
        <w:tab/>
        <w:t>Turističko-rekreacijska zona Kostanjevec Riječki namjenjena je za rekreaciju i održavanje manifestacija.</w:t>
      </w:r>
    </w:p>
    <w:p w:rsidR="00012172" w:rsidRDefault="00012172">
      <w:pPr>
        <w:pStyle w:val="clanak"/>
        <w:rPr>
          <w:rFonts w:ascii="Times New Roman" w:hAnsi="Times New Roman"/>
          <w:snapToGrid w:val="0"/>
          <w:sz w:val="24"/>
          <w:lang w:val="hr-HR" w:eastAsia="en-US"/>
        </w:rPr>
      </w:pPr>
    </w:p>
    <w:p w:rsidR="00012172" w:rsidRDefault="00012172">
      <w:pPr>
        <w:pStyle w:val="clanak"/>
        <w:rPr>
          <w:rFonts w:ascii="Times New Roman" w:hAnsi="Times New Roman"/>
          <w:snapToGrid w:val="0"/>
          <w:sz w:val="24"/>
          <w:lang w:val="hr-HR" w:eastAsia="en-US"/>
        </w:rPr>
      </w:pPr>
      <w:r>
        <w:rPr>
          <w:rFonts w:ascii="Times New Roman" w:hAnsi="Times New Roman"/>
          <w:snapToGrid w:val="0"/>
          <w:sz w:val="24"/>
          <w:lang w:val="hr-HR" w:eastAsia="en-US"/>
        </w:rPr>
        <w:t>(5) Zona za razvoj turizma u Deklešancu svojom veličinom i funkcijom, te građevinskim materijalom mora biti primjerena krajobrazu, kako se ne bi negativno utjecalo na promjenu njegovih obilježja.</w:t>
      </w:r>
      <w:r w:rsidR="002C36C4">
        <w:rPr>
          <w:rFonts w:ascii="Times New Roman" w:hAnsi="Times New Roman"/>
          <w:snapToGrid w:val="0"/>
          <w:sz w:val="24"/>
          <w:lang w:val="hr-HR" w:eastAsia="en-US"/>
        </w:rPr>
        <w:t xml:space="preserve"> Kako navedena zona graniči sa zonom ekspozicije zaštićenog okoliša Starog grada Malog Kalnika ona se mora ograničiti do kote</w:t>
      </w:r>
      <w:r w:rsidR="003C5A3F">
        <w:rPr>
          <w:rFonts w:ascii="Times New Roman" w:hAnsi="Times New Roman"/>
          <w:snapToGrid w:val="0"/>
          <w:sz w:val="24"/>
          <w:lang w:val="hr-HR" w:eastAsia="en-US"/>
        </w:rPr>
        <w:t xml:space="preserve"> </w:t>
      </w:r>
      <w:smartTag w:uri="urn:schemas-microsoft-com:office:smarttags" w:element="metricconverter">
        <w:smartTagPr>
          <w:attr w:name="ProductID" w:val="285 m"/>
        </w:smartTagPr>
        <w:r w:rsidR="003C5A3F">
          <w:rPr>
            <w:rFonts w:ascii="Times New Roman" w:hAnsi="Times New Roman"/>
            <w:snapToGrid w:val="0"/>
            <w:sz w:val="24"/>
            <w:lang w:val="hr-HR" w:eastAsia="en-US"/>
          </w:rPr>
          <w:t>285 m</w:t>
        </w:r>
      </w:smartTag>
      <w:r w:rsidR="003C5A3F">
        <w:rPr>
          <w:rFonts w:ascii="Times New Roman" w:hAnsi="Times New Roman"/>
          <w:snapToGrid w:val="0"/>
          <w:sz w:val="24"/>
          <w:lang w:val="hr-HR" w:eastAsia="en-US"/>
        </w:rPr>
        <w:t xml:space="preserve"> n/v</w:t>
      </w:r>
      <w:r w:rsidR="002C36C4">
        <w:rPr>
          <w:rFonts w:ascii="Times New Roman" w:hAnsi="Times New Roman"/>
          <w:snapToGrid w:val="0"/>
          <w:sz w:val="24"/>
          <w:lang w:val="hr-HR" w:eastAsia="en-US"/>
        </w:rPr>
        <w:t xml:space="preserve"> </w:t>
      </w:r>
      <w:r w:rsidR="003C5A3F">
        <w:rPr>
          <w:rFonts w:ascii="Times New Roman" w:hAnsi="Times New Roman"/>
          <w:snapToGrid w:val="0"/>
          <w:sz w:val="24"/>
          <w:lang w:val="hr-HR" w:eastAsia="en-US"/>
        </w:rPr>
        <w:t>odnosno prema zoni prikazanoj n</w:t>
      </w:r>
      <w:r w:rsidR="002C36C4">
        <w:rPr>
          <w:rFonts w:ascii="Times New Roman" w:hAnsi="Times New Roman"/>
          <w:snapToGrid w:val="0"/>
          <w:sz w:val="24"/>
          <w:lang w:val="hr-HR" w:eastAsia="en-US"/>
        </w:rPr>
        <w:t>a</w:t>
      </w:r>
      <w:r w:rsidR="003C5A3F">
        <w:rPr>
          <w:rFonts w:ascii="Times New Roman" w:hAnsi="Times New Roman"/>
          <w:snapToGrid w:val="0"/>
          <w:sz w:val="24"/>
          <w:lang w:val="hr-HR" w:eastAsia="en-US"/>
        </w:rPr>
        <w:t xml:space="preserve"> </w:t>
      </w:r>
      <w:r w:rsidR="002C36C4">
        <w:rPr>
          <w:rFonts w:ascii="Times New Roman" w:hAnsi="Times New Roman"/>
          <w:snapToGrid w:val="0"/>
          <w:sz w:val="24"/>
          <w:lang w:val="hr-HR" w:eastAsia="en-US"/>
        </w:rPr>
        <w:t>karti 4.1. (1:5.000).</w:t>
      </w:r>
    </w:p>
    <w:p w:rsidR="002C36C4" w:rsidRDefault="002C36C4">
      <w:pPr>
        <w:pStyle w:val="clanak"/>
        <w:rPr>
          <w:rFonts w:ascii="Arial" w:hAnsi="Arial"/>
          <w:snapToGrid w:val="0"/>
          <w:sz w:val="22"/>
          <w:lang w:val="hr-HR" w:eastAsia="en-US"/>
        </w:rPr>
      </w:pPr>
      <w:r>
        <w:rPr>
          <w:rFonts w:ascii="Times New Roman" w:hAnsi="Times New Roman"/>
          <w:snapToGrid w:val="0"/>
          <w:sz w:val="24"/>
          <w:lang w:val="hr-HR" w:eastAsia="en-US"/>
        </w:rPr>
        <w:tab/>
        <w:t>Planiranom izgradnjom moraju se obnoviti autohtona obilježja tradicijske gradnje na tom prostoru koja se odnose na gabarit (Po+P), materijal (kamen i drvo) te prostornu dispoziciju samih objekata u navedenoj zoni (rahla izgradnja).</w:t>
      </w:r>
    </w:p>
    <w:p w:rsidR="00012172" w:rsidRDefault="00012172">
      <w:pPr>
        <w:pStyle w:val="clanak"/>
        <w:rPr>
          <w:rFonts w:ascii="Arial" w:hAnsi="Arial"/>
          <w:snapToGrid w:val="0"/>
          <w:sz w:val="22"/>
          <w:lang w:val="hr-HR" w:eastAsia="en-US"/>
        </w:rPr>
      </w:pPr>
    </w:p>
    <w:p w:rsidR="00012172" w:rsidRDefault="00012172">
      <w:pPr>
        <w:pStyle w:val="clanak"/>
        <w:rPr>
          <w:rFonts w:ascii="Times New Roman" w:hAnsi="Times New Roman"/>
          <w:snapToGrid w:val="0"/>
          <w:sz w:val="24"/>
          <w:lang w:val="hr-HR" w:eastAsia="en-US"/>
        </w:rPr>
      </w:pPr>
      <w:r>
        <w:rPr>
          <w:rFonts w:ascii="Times New Roman" w:hAnsi="Times New Roman"/>
          <w:snapToGrid w:val="0"/>
          <w:sz w:val="24"/>
          <w:lang w:val="hr-HR" w:eastAsia="en-US"/>
        </w:rPr>
        <w:t>(6) Prostor unutar prvog statističkog kruga (SK 0114553) ima namjenu kao vikend naselje.</w:t>
      </w:r>
    </w:p>
    <w:p w:rsidR="00012172" w:rsidRDefault="00012172">
      <w:pPr>
        <w:pStyle w:val="clanak"/>
        <w:rPr>
          <w:rFonts w:ascii="Arial" w:hAnsi="Arial"/>
          <w:snapToGrid w:val="0"/>
          <w:sz w:val="22"/>
          <w:lang w:val="hr-HR" w:eastAsia="en-US"/>
        </w:rPr>
      </w:pPr>
    </w:p>
    <w:p w:rsidR="00012172" w:rsidRDefault="00012172">
      <w:pPr>
        <w:pStyle w:val="clanak"/>
        <w:rPr>
          <w:rFonts w:ascii="Times New Roman" w:hAnsi="Times New Roman"/>
          <w:snapToGrid w:val="0"/>
          <w:sz w:val="24"/>
          <w:lang w:val="hr-HR" w:eastAsia="en-US"/>
        </w:rPr>
      </w:pPr>
      <w:r>
        <w:rPr>
          <w:rFonts w:ascii="Times New Roman" w:hAnsi="Times New Roman"/>
          <w:snapToGrid w:val="0"/>
          <w:sz w:val="24"/>
          <w:lang w:val="hr-HR" w:eastAsia="en-US"/>
        </w:rPr>
        <w:t>(7) Na području Općine izgradit će se biciklističke staze i vinske ceste u svrhu razvoja turizma.</w:t>
      </w:r>
    </w:p>
    <w:p w:rsidR="00012172" w:rsidRDefault="00012172">
      <w:pPr>
        <w:pStyle w:val="clanak"/>
        <w:rPr>
          <w:rFonts w:ascii="Times New Roman" w:hAnsi="Times New Roman"/>
          <w:snapToGrid w:val="0"/>
          <w:sz w:val="24"/>
          <w:lang w:val="hr-HR" w:eastAsia="en-US"/>
        </w:rPr>
      </w:pPr>
    </w:p>
    <w:p w:rsidR="000A0C3F" w:rsidRDefault="000A0C3F">
      <w:pPr>
        <w:pStyle w:val="clanak"/>
        <w:rPr>
          <w:rFonts w:ascii="Times New Roman" w:hAnsi="Times New Roman"/>
          <w:snapToGrid w:val="0"/>
          <w:sz w:val="24"/>
          <w:lang w:val="hr-HR" w:eastAsia="en-US"/>
        </w:rPr>
      </w:pPr>
      <w:r>
        <w:rPr>
          <w:rFonts w:ascii="Times New Roman" w:hAnsi="Times New Roman"/>
          <w:snapToGrid w:val="0"/>
          <w:sz w:val="24"/>
          <w:lang w:val="hr-HR" w:eastAsia="en-US"/>
        </w:rPr>
        <w:t>(8) Turističko-ugostiteljska, odnosno športsko-rekreacijska zona dvorca Gornja Rijeka (područja T1b i R</w:t>
      </w:r>
      <w:r w:rsidR="00F64D29">
        <w:rPr>
          <w:rFonts w:ascii="Times New Roman" w:hAnsi="Times New Roman"/>
          <w:snapToGrid w:val="0"/>
          <w:sz w:val="24"/>
          <w:lang w:val="hr-HR" w:eastAsia="en-US"/>
        </w:rPr>
        <w:t>2</w:t>
      </w:r>
      <w:r>
        <w:rPr>
          <w:rFonts w:ascii="Times New Roman" w:hAnsi="Times New Roman"/>
          <w:snapToGrid w:val="0"/>
          <w:sz w:val="24"/>
          <w:lang w:val="hr-HR" w:eastAsia="en-US"/>
        </w:rPr>
        <w:t>) namjenjena je mogućem etapnom razvoju osnovne namjene dvorca.</w:t>
      </w:r>
    </w:p>
    <w:p w:rsidR="000A0C3F" w:rsidRDefault="000A0C3F">
      <w:pPr>
        <w:pStyle w:val="clanak"/>
        <w:rPr>
          <w:rFonts w:ascii="Times New Roman" w:hAnsi="Times New Roman"/>
          <w:snapToGrid w:val="0"/>
          <w:sz w:val="24"/>
          <w:lang w:val="hr-HR" w:eastAsia="en-US"/>
        </w:rPr>
      </w:pPr>
    </w:p>
    <w:p w:rsidR="00012172" w:rsidRDefault="000A0C3F">
      <w:pPr>
        <w:pStyle w:val="clanak"/>
        <w:rPr>
          <w:rFonts w:ascii="Times New Roman" w:hAnsi="Times New Roman"/>
          <w:snapToGrid w:val="0"/>
          <w:sz w:val="24"/>
          <w:lang w:val="hr-HR" w:eastAsia="en-US"/>
        </w:rPr>
      </w:pPr>
      <w:r>
        <w:rPr>
          <w:rFonts w:ascii="Times New Roman" w:hAnsi="Times New Roman"/>
          <w:snapToGrid w:val="0"/>
          <w:sz w:val="24"/>
          <w:lang w:val="hr-HR" w:eastAsia="en-US"/>
        </w:rPr>
        <w:t>(9</w:t>
      </w:r>
      <w:r w:rsidR="00012172">
        <w:rPr>
          <w:rFonts w:ascii="Times New Roman" w:hAnsi="Times New Roman"/>
          <w:snapToGrid w:val="0"/>
          <w:sz w:val="24"/>
          <w:lang w:val="hr-HR" w:eastAsia="en-US"/>
        </w:rPr>
        <w:t xml:space="preserve">) Izgradnja nabrojanih i ostalih mogućih </w:t>
      </w:r>
      <w:r w:rsidR="00012172">
        <w:rPr>
          <w:rFonts w:ascii="Times New Roman" w:hAnsi="Times New Roman"/>
          <w:sz w:val="24"/>
          <w:lang w:val="hr-HR"/>
        </w:rPr>
        <w:t>š</w:t>
      </w:r>
      <w:r w:rsidR="00012172">
        <w:rPr>
          <w:rFonts w:ascii="Times New Roman" w:hAnsi="Times New Roman"/>
          <w:sz w:val="24"/>
        </w:rPr>
        <w:t>portsko</w:t>
      </w:r>
      <w:r w:rsidR="00012172">
        <w:rPr>
          <w:rFonts w:ascii="Times New Roman" w:hAnsi="Times New Roman"/>
          <w:sz w:val="24"/>
          <w:lang w:val="hr-HR"/>
        </w:rPr>
        <w:t>-</w:t>
      </w:r>
      <w:r w:rsidR="002E7491">
        <w:rPr>
          <w:rFonts w:ascii="Times New Roman" w:hAnsi="Times New Roman"/>
          <w:sz w:val="24"/>
        </w:rPr>
        <w:t>rekreacijskih</w:t>
      </w:r>
      <w:r w:rsidR="00012172">
        <w:rPr>
          <w:rFonts w:ascii="Times New Roman" w:hAnsi="Times New Roman"/>
          <w:sz w:val="24"/>
          <w:lang w:val="hr-HR"/>
        </w:rPr>
        <w:t xml:space="preserve"> </w:t>
      </w:r>
      <w:r w:rsidR="00012172">
        <w:rPr>
          <w:rFonts w:ascii="Times New Roman" w:hAnsi="Times New Roman"/>
          <w:sz w:val="24"/>
        </w:rPr>
        <w:t>i</w:t>
      </w:r>
      <w:r w:rsidR="00012172">
        <w:rPr>
          <w:rFonts w:ascii="Times New Roman" w:hAnsi="Times New Roman"/>
          <w:sz w:val="24"/>
          <w:lang w:val="hr-HR"/>
        </w:rPr>
        <w:t xml:space="preserve"> </w:t>
      </w:r>
      <w:r w:rsidR="00012172">
        <w:rPr>
          <w:rFonts w:ascii="Times New Roman" w:hAnsi="Times New Roman"/>
          <w:sz w:val="24"/>
        </w:rPr>
        <w:t>ugostiteljsko</w:t>
      </w:r>
      <w:r w:rsidR="00012172">
        <w:rPr>
          <w:rFonts w:ascii="Times New Roman" w:hAnsi="Times New Roman"/>
          <w:sz w:val="24"/>
          <w:lang w:val="hr-HR"/>
        </w:rPr>
        <w:t>-</w:t>
      </w:r>
      <w:r w:rsidR="00012172">
        <w:rPr>
          <w:rFonts w:ascii="Times New Roman" w:hAnsi="Times New Roman"/>
          <w:sz w:val="24"/>
        </w:rPr>
        <w:t>turisti</w:t>
      </w:r>
      <w:r w:rsidR="00012172">
        <w:rPr>
          <w:rFonts w:ascii="Times New Roman" w:hAnsi="Times New Roman"/>
          <w:sz w:val="24"/>
          <w:lang w:val="hr-HR"/>
        </w:rPr>
        <w:t>č</w:t>
      </w:r>
      <w:r w:rsidR="00012172">
        <w:rPr>
          <w:rFonts w:ascii="Times New Roman" w:hAnsi="Times New Roman"/>
          <w:sz w:val="24"/>
        </w:rPr>
        <w:t>k</w:t>
      </w:r>
      <w:r w:rsidR="002E7491">
        <w:rPr>
          <w:rFonts w:ascii="Times New Roman" w:hAnsi="Times New Roman"/>
          <w:sz w:val="24"/>
        </w:rPr>
        <w:t>ih</w:t>
      </w:r>
      <w:r w:rsidR="00012172">
        <w:rPr>
          <w:rFonts w:ascii="Times New Roman" w:hAnsi="Times New Roman"/>
          <w:sz w:val="24"/>
          <w:lang w:val="hr-HR"/>
        </w:rPr>
        <w:t xml:space="preserve"> </w:t>
      </w:r>
      <w:r w:rsidR="00012172">
        <w:rPr>
          <w:rFonts w:ascii="Times New Roman" w:hAnsi="Times New Roman"/>
          <w:sz w:val="24"/>
        </w:rPr>
        <w:t>gra</w:t>
      </w:r>
      <w:r w:rsidR="00012172">
        <w:rPr>
          <w:rFonts w:ascii="Times New Roman" w:hAnsi="Times New Roman"/>
          <w:sz w:val="24"/>
          <w:lang w:val="hr-HR"/>
        </w:rPr>
        <w:t>đ</w:t>
      </w:r>
      <w:r w:rsidR="00012172">
        <w:rPr>
          <w:rFonts w:ascii="Times New Roman" w:hAnsi="Times New Roman"/>
          <w:sz w:val="24"/>
        </w:rPr>
        <w:t>evin</w:t>
      </w:r>
      <w:r w:rsidR="002E7491">
        <w:rPr>
          <w:rFonts w:ascii="Times New Roman" w:hAnsi="Times New Roman"/>
          <w:sz w:val="24"/>
        </w:rPr>
        <w:t>a</w:t>
      </w:r>
      <w:r w:rsidR="00012172">
        <w:rPr>
          <w:rFonts w:ascii="Times New Roman" w:hAnsi="Times New Roman"/>
          <w:sz w:val="24"/>
          <w:lang w:val="hr-HR"/>
        </w:rPr>
        <w:t xml:space="preserve"> </w:t>
      </w:r>
      <w:r w:rsidR="00012172">
        <w:rPr>
          <w:rFonts w:ascii="Times New Roman" w:hAnsi="Times New Roman"/>
          <w:sz w:val="24"/>
        </w:rPr>
        <w:t>izvan</w:t>
      </w:r>
      <w:r w:rsidR="00012172">
        <w:rPr>
          <w:rFonts w:ascii="Times New Roman" w:hAnsi="Times New Roman"/>
          <w:sz w:val="24"/>
          <w:lang w:val="hr-HR"/>
        </w:rPr>
        <w:t xml:space="preserve"> </w:t>
      </w:r>
      <w:r w:rsidR="00012172">
        <w:rPr>
          <w:rFonts w:ascii="Times New Roman" w:hAnsi="Times New Roman"/>
          <w:sz w:val="24"/>
        </w:rPr>
        <w:t>gra</w:t>
      </w:r>
      <w:r w:rsidR="00012172">
        <w:rPr>
          <w:rFonts w:ascii="Times New Roman" w:hAnsi="Times New Roman"/>
          <w:sz w:val="24"/>
          <w:lang w:val="hr-HR"/>
        </w:rPr>
        <w:t>đ</w:t>
      </w:r>
      <w:r w:rsidR="00012172">
        <w:rPr>
          <w:rFonts w:ascii="Times New Roman" w:hAnsi="Times New Roman"/>
          <w:sz w:val="24"/>
        </w:rPr>
        <w:t>evinskog</w:t>
      </w:r>
      <w:r w:rsidR="00012172">
        <w:rPr>
          <w:rFonts w:ascii="Times New Roman" w:hAnsi="Times New Roman"/>
          <w:sz w:val="24"/>
          <w:lang w:val="hr-HR"/>
        </w:rPr>
        <w:t xml:space="preserve"> </w:t>
      </w:r>
      <w:r w:rsidR="00012172">
        <w:rPr>
          <w:rFonts w:ascii="Times New Roman" w:hAnsi="Times New Roman"/>
          <w:sz w:val="24"/>
        </w:rPr>
        <w:t>podru</w:t>
      </w:r>
      <w:r w:rsidR="00012172">
        <w:rPr>
          <w:rFonts w:ascii="Times New Roman" w:hAnsi="Times New Roman"/>
          <w:sz w:val="24"/>
          <w:lang w:val="hr-HR"/>
        </w:rPr>
        <w:t>č</w:t>
      </w:r>
      <w:r w:rsidR="00012172">
        <w:rPr>
          <w:rFonts w:ascii="Times New Roman" w:hAnsi="Times New Roman"/>
          <w:sz w:val="24"/>
        </w:rPr>
        <w:t>ja</w:t>
      </w:r>
      <w:r w:rsidR="00012172">
        <w:rPr>
          <w:rFonts w:ascii="Times New Roman" w:hAnsi="Times New Roman"/>
          <w:sz w:val="24"/>
          <w:lang w:val="hr-HR"/>
        </w:rPr>
        <w:t xml:space="preserve"> </w:t>
      </w:r>
      <w:r w:rsidR="00012172">
        <w:rPr>
          <w:rFonts w:ascii="Times New Roman" w:hAnsi="Times New Roman"/>
          <w:sz w:val="24"/>
        </w:rPr>
        <w:t>mo</w:t>
      </w:r>
      <w:r w:rsidR="00012172">
        <w:rPr>
          <w:rFonts w:ascii="Times New Roman" w:hAnsi="Times New Roman"/>
          <w:sz w:val="24"/>
          <w:lang w:val="hr-HR"/>
        </w:rPr>
        <w:t>ž</w:t>
      </w:r>
      <w:r w:rsidR="00012172">
        <w:rPr>
          <w:rFonts w:ascii="Times New Roman" w:hAnsi="Times New Roman"/>
          <w:sz w:val="24"/>
        </w:rPr>
        <w:t>e</w:t>
      </w:r>
      <w:r w:rsidR="00012172">
        <w:rPr>
          <w:rFonts w:ascii="Times New Roman" w:hAnsi="Times New Roman"/>
          <w:sz w:val="24"/>
          <w:lang w:val="hr-HR"/>
        </w:rPr>
        <w:t xml:space="preserve"> </w:t>
      </w:r>
      <w:r w:rsidR="00012172">
        <w:rPr>
          <w:rFonts w:ascii="Times New Roman" w:hAnsi="Times New Roman"/>
          <w:sz w:val="24"/>
        </w:rPr>
        <w:t>se</w:t>
      </w:r>
      <w:r w:rsidR="00012172">
        <w:rPr>
          <w:rFonts w:ascii="Times New Roman" w:hAnsi="Times New Roman"/>
          <w:sz w:val="24"/>
          <w:lang w:val="hr-HR"/>
        </w:rPr>
        <w:t xml:space="preserve"> </w:t>
      </w:r>
      <w:r w:rsidR="00012172">
        <w:rPr>
          <w:rFonts w:ascii="Times New Roman" w:hAnsi="Times New Roman"/>
          <w:sz w:val="24"/>
        </w:rPr>
        <w:t>vr</w:t>
      </w:r>
      <w:r w:rsidR="00012172">
        <w:rPr>
          <w:rFonts w:ascii="Times New Roman" w:hAnsi="Times New Roman"/>
          <w:sz w:val="24"/>
          <w:lang w:val="hr-HR"/>
        </w:rPr>
        <w:t>š</w:t>
      </w:r>
      <w:r w:rsidR="00012172">
        <w:rPr>
          <w:rFonts w:ascii="Times New Roman" w:hAnsi="Times New Roman"/>
          <w:sz w:val="24"/>
        </w:rPr>
        <w:t>iti</w:t>
      </w:r>
      <w:r w:rsidR="00012172">
        <w:rPr>
          <w:rFonts w:ascii="Times New Roman" w:hAnsi="Times New Roman"/>
          <w:sz w:val="24"/>
          <w:lang w:val="hr-HR"/>
        </w:rPr>
        <w:t xml:space="preserve"> </w:t>
      </w:r>
      <w:r w:rsidR="00012172">
        <w:rPr>
          <w:rFonts w:ascii="Times New Roman" w:hAnsi="Times New Roman"/>
          <w:sz w:val="24"/>
        </w:rPr>
        <w:t>samo</w:t>
      </w:r>
      <w:r w:rsidR="00012172">
        <w:rPr>
          <w:rFonts w:ascii="Times New Roman" w:hAnsi="Times New Roman"/>
          <w:sz w:val="24"/>
          <w:lang w:val="hr-HR"/>
        </w:rPr>
        <w:t xml:space="preserve"> </w:t>
      </w:r>
      <w:r w:rsidR="00012172">
        <w:rPr>
          <w:rFonts w:ascii="Times New Roman" w:hAnsi="Times New Roman"/>
          <w:sz w:val="24"/>
        </w:rPr>
        <w:t>na</w:t>
      </w:r>
      <w:r w:rsidR="00012172">
        <w:rPr>
          <w:rFonts w:ascii="Times New Roman" w:hAnsi="Times New Roman"/>
          <w:sz w:val="24"/>
          <w:lang w:val="hr-HR"/>
        </w:rPr>
        <w:t xml:space="preserve"> </w:t>
      </w:r>
      <w:r w:rsidR="00012172">
        <w:rPr>
          <w:rFonts w:ascii="Times New Roman" w:hAnsi="Times New Roman"/>
          <w:sz w:val="24"/>
        </w:rPr>
        <w:t>temelju</w:t>
      </w:r>
      <w:r w:rsidR="00012172">
        <w:rPr>
          <w:rFonts w:ascii="Times New Roman" w:hAnsi="Times New Roman"/>
          <w:sz w:val="24"/>
          <w:lang w:val="hr-HR"/>
        </w:rPr>
        <w:t xml:space="preserve"> </w:t>
      </w:r>
      <w:r w:rsidR="00012172">
        <w:rPr>
          <w:rFonts w:ascii="Times New Roman" w:hAnsi="Times New Roman"/>
          <w:sz w:val="24"/>
        </w:rPr>
        <w:t>idejnog</w:t>
      </w:r>
      <w:r w:rsidR="00012172">
        <w:rPr>
          <w:rFonts w:ascii="Times New Roman" w:hAnsi="Times New Roman"/>
          <w:sz w:val="24"/>
          <w:lang w:val="hr-HR"/>
        </w:rPr>
        <w:t xml:space="preserve"> urbanističko-arhitektonskog </w:t>
      </w:r>
      <w:r w:rsidR="00012172">
        <w:rPr>
          <w:rFonts w:ascii="Times New Roman" w:hAnsi="Times New Roman"/>
          <w:sz w:val="24"/>
        </w:rPr>
        <w:t>rje</w:t>
      </w:r>
      <w:r w:rsidR="00012172">
        <w:rPr>
          <w:rFonts w:ascii="Times New Roman" w:hAnsi="Times New Roman"/>
          <w:sz w:val="24"/>
          <w:lang w:val="hr-HR"/>
        </w:rPr>
        <w:t>š</w:t>
      </w:r>
      <w:r w:rsidR="00012172">
        <w:rPr>
          <w:rFonts w:ascii="Times New Roman" w:hAnsi="Times New Roman"/>
          <w:sz w:val="24"/>
        </w:rPr>
        <w:t>enja</w:t>
      </w:r>
      <w:r w:rsidR="00012172">
        <w:rPr>
          <w:rFonts w:ascii="Times New Roman" w:hAnsi="Times New Roman"/>
          <w:sz w:val="24"/>
          <w:lang w:val="hr-HR"/>
        </w:rPr>
        <w:t xml:space="preserve"> </w:t>
      </w:r>
      <w:r w:rsidR="00012172">
        <w:rPr>
          <w:rFonts w:ascii="Times New Roman" w:hAnsi="Times New Roman"/>
          <w:sz w:val="24"/>
        </w:rPr>
        <w:t>za</w:t>
      </w:r>
      <w:r w:rsidR="00012172">
        <w:rPr>
          <w:rFonts w:ascii="Times New Roman" w:hAnsi="Times New Roman"/>
          <w:sz w:val="24"/>
          <w:lang w:val="hr-HR"/>
        </w:rPr>
        <w:t xml:space="preserve"> </w:t>
      </w:r>
      <w:r w:rsidR="00012172">
        <w:rPr>
          <w:rFonts w:ascii="Times New Roman" w:hAnsi="Times New Roman"/>
          <w:sz w:val="24"/>
        </w:rPr>
        <w:t>izdavanje</w:t>
      </w:r>
      <w:r w:rsidR="00012172">
        <w:rPr>
          <w:rFonts w:ascii="Times New Roman" w:hAnsi="Times New Roman"/>
          <w:sz w:val="24"/>
          <w:lang w:val="hr-HR"/>
        </w:rPr>
        <w:t xml:space="preserve"> </w:t>
      </w:r>
      <w:r w:rsidR="00012172">
        <w:rPr>
          <w:rFonts w:ascii="Times New Roman" w:hAnsi="Times New Roman"/>
          <w:sz w:val="24"/>
        </w:rPr>
        <w:t>lokacijske</w:t>
      </w:r>
      <w:r w:rsidR="00012172">
        <w:rPr>
          <w:rFonts w:ascii="Times New Roman" w:hAnsi="Times New Roman"/>
          <w:sz w:val="24"/>
          <w:lang w:val="hr-HR"/>
        </w:rPr>
        <w:t xml:space="preserve"> </w:t>
      </w:r>
      <w:r w:rsidR="00012172">
        <w:rPr>
          <w:rFonts w:ascii="Times New Roman" w:hAnsi="Times New Roman"/>
          <w:sz w:val="24"/>
        </w:rPr>
        <w:t>odnosno</w:t>
      </w:r>
      <w:r w:rsidR="00012172">
        <w:rPr>
          <w:rFonts w:ascii="Times New Roman" w:hAnsi="Times New Roman"/>
          <w:sz w:val="24"/>
          <w:lang w:val="hr-HR"/>
        </w:rPr>
        <w:t xml:space="preserve"> </w:t>
      </w:r>
      <w:r w:rsidR="00012172">
        <w:rPr>
          <w:rFonts w:ascii="Times New Roman" w:hAnsi="Times New Roman"/>
          <w:sz w:val="24"/>
        </w:rPr>
        <w:t>gra</w:t>
      </w:r>
      <w:r w:rsidR="00012172">
        <w:rPr>
          <w:rFonts w:ascii="Times New Roman" w:hAnsi="Times New Roman"/>
          <w:sz w:val="24"/>
          <w:lang w:val="hr-HR"/>
        </w:rPr>
        <w:t>đ</w:t>
      </w:r>
      <w:r w:rsidR="00012172">
        <w:rPr>
          <w:rFonts w:ascii="Times New Roman" w:hAnsi="Times New Roman"/>
          <w:sz w:val="24"/>
        </w:rPr>
        <w:t>evinske</w:t>
      </w:r>
      <w:r w:rsidR="00012172">
        <w:rPr>
          <w:rFonts w:ascii="Times New Roman" w:hAnsi="Times New Roman"/>
          <w:sz w:val="24"/>
          <w:lang w:val="hr-HR"/>
        </w:rPr>
        <w:t xml:space="preserve"> </w:t>
      </w:r>
      <w:r w:rsidR="00012172">
        <w:rPr>
          <w:rFonts w:ascii="Times New Roman" w:hAnsi="Times New Roman"/>
          <w:sz w:val="24"/>
        </w:rPr>
        <w:t>dozvole</w:t>
      </w:r>
      <w:r w:rsidRPr="000A0C3F">
        <w:rPr>
          <w:rFonts w:ascii="Times New Roman" w:hAnsi="Times New Roman"/>
          <w:sz w:val="24"/>
          <w:lang w:val="hr-HR"/>
        </w:rPr>
        <w:t xml:space="preserve">, </w:t>
      </w:r>
      <w:r>
        <w:rPr>
          <w:rFonts w:ascii="Times New Roman" w:hAnsi="Times New Roman"/>
          <w:sz w:val="24"/>
        </w:rPr>
        <w:t>ili</w:t>
      </w:r>
      <w:r w:rsidRPr="000A0C3F">
        <w:rPr>
          <w:rFonts w:ascii="Times New Roman" w:hAnsi="Times New Roman"/>
          <w:sz w:val="24"/>
          <w:lang w:val="hr-HR"/>
        </w:rPr>
        <w:t xml:space="preserve"> </w:t>
      </w:r>
      <w:r>
        <w:rPr>
          <w:rFonts w:ascii="Times New Roman" w:hAnsi="Times New Roman"/>
          <w:sz w:val="24"/>
        </w:rPr>
        <w:t>na</w:t>
      </w:r>
      <w:r w:rsidRPr="000A0C3F">
        <w:rPr>
          <w:rFonts w:ascii="Times New Roman" w:hAnsi="Times New Roman"/>
          <w:sz w:val="24"/>
          <w:lang w:val="hr-HR"/>
        </w:rPr>
        <w:t xml:space="preserve"> </w:t>
      </w:r>
      <w:r>
        <w:rPr>
          <w:rFonts w:ascii="Times New Roman" w:hAnsi="Times New Roman"/>
          <w:sz w:val="24"/>
        </w:rPr>
        <w:t>temelju</w:t>
      </w:r>
      <w:r w:rsidRPr="000A0C3F">
        <w:rPr>
          <w:rFonts w:ascii="Times New Roman" w:hAnsi="Times New Roman"/>
          <w:sz w:val="24"/>
          <w:lang w:val="hr-HR"/>
        </w:rPr>
        <w:t xml:space="preserve"> </w:t>
      </w:r>
      <w:r>
        <w:rPr>
          <w:rFonts w:ascii="Times New Roman" w:hAnsi="Times New Roman"/>
          <w:sz w:val="24"/>
        </w:rPr>
        <w:t>DPU</w:t>
      </w:r>
      <w:r w:rsidRPr="000A0C3F">
        <w:rPr>
          <w:rFonts w:ascii="Times New Roman" w:hAnsi="Times New Roman"/>
          <w:sz w:val="24"/>
          <w:lang w:val="hr-HR"/>
        </w:rPr>
        <w:t>-</w:t>
      </w:r>
      <w:r>
        <w:rPr>
          <w:rFonts w:ascii="Times New Roman" w:hAnsi="Times New Roman"/>
          <w:sz w:val="24"/>
        </w:rPr>
        <w:t>a</w:t>
      </w:r>
      <w:r>
        <w:rPr>
          <w:rFonts w:ascii="Times New Roman" w:hAnsi="Times New Roman"/>
          <w:sz w:val="24"/>
          <w:lang w:val="hr-HR"/>
        </w:rPr>
        <w:t>. U slučaju da se radi o jednom vlasniku na području obuhvata moguće je DPU zamjeniti idejnim urbanističko-arhitektonskim rješenjem.</w:t>
      </w:r>
    </w:p>
    <w:p w:rsidR="00012172" w:rsidRDefault="00012172">
      <w:pPr>
        <w:pStyle w:val="clanak"/>
        <w:rPr>
          <w:rFonts w:ascii="Arial" w:hAnsi="Arial"/>
          <w:snapToGrid w:val="0"/>
          <w:sz w:val="22"/>
          <w:lang w:val="hr-HR" w:eastAsia="en-US"/>
        </w:rPr>
      </w:pPr>
    </w:p>
    <w:p w:rsidR="00B4503D" w:rsidRPr="00725F6F" w:rsidRDefault="000A0C3F">
      <w:pPr>
        <w:pStyle w:val="clanak"/>
        <w:rPr>
          <w:rFonts w:ascii="Times New Roman" w:hAnsi="Times New Roman"/>
          <w:sz w:val="24"/>
          <w:lang w:val="hr-HR"/>
        </w:rPr>
      </w:pPr>
      <w:r>
        <w:rPr>
          <w:rFonts w:ascii="Times New Roman" w:hAnsi="Times New Roman"/>
          <w:sz w:val="24"/>
          <w:lang w:val="hr-HR"/>
        </w:rPr>
        <w:t>(10</w:t>
      </w:r>
      <w:r w:rsidR="00B4503D" w:rsidRPr="00725F6F">
        <w:rPr>
          <w:rFonts w:ascii="Times New Roman" w:hAnsi="Times New Roman"/>
          <w:sz w:val="24"/>
          <w:lang w:val="hr-HR"/>
        </w:rPr>
        <w:t xml:space="preserve">) </w:t>
      </w:r>
      <w:r w:rsidR="00B4503D" w:rsidRPr="00B4503D">
        <w:rPr>
          <w:rFonts w:ascii="Times New Roman" w:hAnsi="Times New Roman"/>
          <w:sz w:val="24"/>
        </w:rPr>
        <w:t>U</w:t>
      </w:r>
      <w:r w:rsidR="00B4503D" w:rsidRPr="00725F6F">
        <w:rPr>
          <w:rFonts w:ascii="Times New Roman" w:hAnsi="Times New Roman"/>
          <w:sz w:val="24"/>
          <w:lang w:val="hr-HR"/>
        </w:rPr>
        <w:t xml:space="preserve"> </w:t>
      </w:r>
      <w:r w:rsidR="00B4503D" w:rsidRPr="00B4503D">
        <w:rPr>
          <w:rFonts w:ascii="Times New Roman" w:hAnsi="Times New Roman"/>
          <w:sz w:val="24"/>
        </w:rPr>
        <w:t>pro</w:t>
      </w:r>
      <w:r w:rsidR="00B4503D">
        <w:rPr>
          <w:rFonts w:ascii="Times New Roman" w:hAnsi="Times New Roman"/>
          <w:sz w:val="24"/>
        </w:rPr>
        <w:t>storima</w:t>
      </w:r>
      <w:r w:rsidR="00B4503D" w:rsidRPr="00725F6F">
        <w:rPr>
          <w:rFonts w:ascii="Times New Roman" w:hAnsi="Times New Roman"/>
          <w:sz w:val="24"/>
          <w:lang w:val="hr-HR"/>
        </w:rPr>
        <w:t xml:space="preserve"> </w:t>
      </w:r>
      <w:r w:rsidR="00B4503D">
        <w:rPr>
          <w:rFonts w:ascii="Times New Roman" w:hAnsi="Times New Roman"/>
          <w:sz w:val="24"/>
        </w:rPr>
        <w:t>za</w:t>
      </w:r>
      <w:r w:rsidR="00B4503D" w:rsidRPr="00725F6F">
        <w:rPr>
          <w:rFonts w:ascii="Times New Roman" w:hAnsi="Times New Roman"/>
          <w:sz w:val="24"/>
          <w:lang w:val="hr-HR"/>
        </w:rPr>
        <w:t xml:space="preserve"> š</w:t>
      </w:r>
      <w:r w:rsidR="00B4503D">
        <w:rPr>
          <w:rFonts w:ascii="Times New Roman" w:hAnsi="Times New Roman"/>
          <w:sz w:val="24"/>
        </w:rPr>
        <w:t>portsko</w:t>
      </w:r>
      <w:r w:rsidR="00B4503D" w:rsidRPr="00725F6F">
        <w:rPr>
          <w:rFonts w:ascii="Times New Roman" w:hAnsi="Times New Roman"/>
          <w:sz w:val="24"/>
          <w:lang w:val="hr-HR"/>
        </w:rPr>
        <w:t>-</w:t>
      </w:r>
      <w:r w:rsidR="00B4503D">
        <w:rPr>
          <w:rFonts w:ascii="Times New Roman" w:hAnsi="Times New Roman"/>
          <w:sz w:val="24"/>
        </w:rPr>
        <w:t>rekreacijsku</w:t>
      </w:r>
      <w:r w:rsidR="00B4503D" w:rsidRPr="00725F6F">
        <w:rPr>
          <w:rFonts w:ascii="Times New Roman" w:hAnsi="Times New Roman"/>
          <w:sz w:val="24"/>
          <w:lang w:val="hr-HR"/>
        </w:rPr>
        <w:t xml:space="preserve"> </w:t>
      </w:r>
      <w:r w:rsidR="00B4503D">
        <w:rPr>
          <w:rFonts w:ascii="Times New Roman" w:hAnsi="Times New Roman"/>
          <w:sz w:val="24"/>
        </w:rPr>
        <w:t>namjenu</w:t>
      </w:r>
      <w:r w:rsidR="00B4503D" w:rsidRPr="00725F6F">
        <w:rPr>
          <w:rFonts w:ascii="Times New Roman" w:hAnsi="Times New Roman"/>
          <w:sz w:val="24"/>
          <w:lang w:val="hr-HR"/>
        </w:rPr>
        <w:t xml:space="preserve"> </w:t>
      </w:r>
      <w:r w:rsidR="00B4503D">
        <w:rPr>
          <w:rFonts w:ascii="Times New Roman" w:hAnsi="Times New Roman"/>
          <w:sz w:val="24"/>
        </w:rPr>
        <w:t>mogu</w:t>
      </w:r>
      <w:r w:rsidR="00B4503D" w:rsidRPr="00725F6F">
        <w:rPr>
          <w:rFonts w:ascii="Times New Roman" w:hAnsi="Times New Roman"/>
          <w:sz w:val="24"/>
          <w:lang w:val="hr-HR"/>
        </w:rPr>
        <w:t xml:space="preserve"> </w:t>
      </w:r>
      <w:r w:rsidR="00B4503D">
        <w:rPr>
          <w:rFonts w:ascii="Times New Roman" w:hAnsi="Times New Roman"/>
          <w:sz w:val="24"/>
        </w:rPr>
        <w:t>se</w:t>
      </w:r>
      <w:r w:rsidR="00B4503D" w:rsidRPr="00725F6F">
        <w:rPr>
          <w:rFonts w:ascii="Times New Roman" w:hAnsi="Times New Roman"/>
          <w:sz w:val="24"/>
          <w:lang w:val="hr-HR"/>
        </w:rPr>
        <w:t xml:space="preserve"> </w:t>
      </w:r>
      <w:r w:rsidR="00B4503D">
        <w:rPr>
          <w:rFonts w:ascii="Times New Roman" w:hAnsi="Times New Roman"/>
          <w:sz w:val="24"/>
        </w:rPr>
        <w:t>planirati</w:t>
      </w:r>
      <w:r w:rsidR="00B4503D" w:rsidRPr="00725F6F">
        <w:rPr>
          <w:rFonts w:ascii="Times New Roman" w:hAnsi="Times New Roman"/>
          <w:sz w:val="24"/>
          <w:lang w:val="hr-HR"/>
        </w:rPr>
        <w:t xml:space="preserve"> š</w:t>
      </w:r>
      <w:r w:rsidR="00B4503D">
        <w:rPr>
          <w:rFonts w:ascii="Times New Roman" w:hAnsi="Times New Roman"/>
          <w:sz w:val="24"/>
        </w:rPr>
        <w:t>portsko</w:t>
      </w:r>
      <w:r w:rsidR="00B4503D" w:rsidRPr="00725F6F">
        <w:rPr>
          <w:rFonts w:ascii="Times New Roman" w:hAnsi="Times New Roman"/>
          <w:sz w:val="24"/>
          <w:lang w:val="hr-HR"/>
        </w:rPr>
        <w:t>-</w:t>
      </w:r>
      <w:r w:rsidR="00B4503D">
        <w:rPr>
          <w:rFonts w:ascii="Times New Roman" w:hAnsi="Times New Roman"/>
          <w:sz w:val="24"/>
        </w:rPr>
        <w:t>rekreativne</w:t>
      </w:r>
      <w:r w:rsidR="00B4503D" w:rsidRPr="00725F6F">
        <w:rPr>
          <w:rFonts w:ascii="Times New Roman" w:hAnsi="Times New Roman"/>
          <w:sz w:val="24"/>
          <w:lang w:val="hr-HR"/>
        </w:rPr>
        <w:t xml:space="preserve"> </w:t>
      </w:r>
      <w:r w:rsidR="00B4503D">
        <w:rPr>
          <w:rFonts w:ascii="Times New Roman" w:hAnsi="Times New Roman"/>
          <w:sz w:val="24"/>
        </w:rPr>
        <w:t>gra</w:t>
      </w:r>
      <w:r w:rsidR="00B4503D" w:rsidRPr="00725F6F">
        <w:rPr>
          <w:rFonts w:ascii="Times New Roman" w:hAnsi="Times New Roman"/>
          <w:sz w:val="24"/>
          <w:lang w:val="hr-HR"/>
        </w:rPr>
        <w:t>đ</w:t>
      </w:r>
      <w:r w:rsidR="00B4503D">
        <w:rPr>
          <w:rFonts w:ascii="Times New Roman" w:hAnsi="Times New Roman"/>
          <w:sz w:val="24"/>
        </w:rPr>
        <w:t>evine</w:t>
      </w:r>
      <w:r w:rsidR="00B4503D" w:rsidRPr="00725F6F">
        <w:rPr>
          <w:rFonts w:ascii="Times New Roman" w:hAnsi="Times New Roman"/>
          <w:sz w:val="24"/>
          <w:lang w:val="hr-HR"/>
        </w:rPr>
        <w:t xml:space="preserve"> </w:t>
      </w:r>
      <w:r w:rsidR="00B4503D">
        <w:rPr>
          <w:rFonts w:ascii="Times New Roman" w:hAnsi="Times New Roman"/>
          <w:sz w:val="24"/>
        </w:rPr>
        <w:t>i</w:t>
      </w:r>
      <w:r w:rsidR="00B4503D" w:rsidRPr="00725F6F">
        <w:rPr>
          <w:rFonts w:ascii="Times New Roman" w:hAnsi="Times New Roman"/>
          <w:sz w:val="24"/>
          <w:lang w:val="hr-HR"/>
        </w:rPr>
        <w:t xml:space="preserve"> </w:t>
      </w:r>
      <w:r w:rsidR="00B4503D">
        <w:rPr>
          <w:rFonts w:ascii="Times New Roman" w:hAnsi="Times New Roman"/>
          <w:sz w:val="24"/>
        </w:rPr>
        <w:t>manji</w:t>
      </w:r>
      <w:r w:rsidR="00B4503D" w:rsidRPr="00725F6F">
        <w:rPr>
          <w:rFonts w:ascii="Times New Roman" w:hAnsi="Times New Roman"/>
          <w:sz w:val="24"/>
          <w:lang w:val="hr-HR"/>
        </w:rPr>
        <w:t xml:space="preserve"> </w:t>
      </w:r>
      <w:r w:rsidR="00B4503D">
        <w:rPr>
          <w:rFonts w:ascii="Times New Roman" w:hAnsi="Times New Roman"/>
          <w:sz w:val="24"/>
        </w:rPr>
        <w:t>ugostiteljski</w:t>
      </w:r>
      <w:r w:rsidR="00B4503D" w:rsidRPr="00725F6F">
        <w:rPr>
          <w:rFonts w:ascii="Times New Roman" w:hAnsi="Times New Roman"/>
          <w:sz w:val="24"/>
          <w:lang w:val="hr-HR"/>
        </w:rPr>
        <w:t xml:space="preserve"> </w:t>
      </w:r>
      <w:r w:rsidR="00B4503D">
        <w:rPr>
          <w:rFonts w:ascii="Times New Roman" w:hAnsi="Times New Roman"/>
          <w:sz w:val="24"/>
        </w:rPr>
        <w:t>objekti</w:t>
      </w:r>
      <w:r w:rsidR="00B4503D" w:rsidRPr="00725F6F">
        <w:rPr>
          <w:rFonts w:ascii="Times New Roman" w:hAnsi="Times New Roman"/>
          <w:sz w:val="24"/>
          <w:lang w:val="hr-HR"/>
        </w:rPr>
        <w:t>.</w:t>
      </w:r>
    </w:p>
    <w:p w:rsidR="00012172" w:rsidRDefault="00012172">
      <w:pPr>
        <w:pStyle w:val="StandardWeb"/>
        <w:numPr>
          <w:ilvl w:val="12"/>
          <w:numId w:val="0"/>
        </w:numPr>
        <w:spacing w:before="0" w:beforeAutospacing="0" w:after="0" w:afterAutospacing="0"/>
      </w:pPr>
    </w:p>
    <w:p w:rsidR="00F02C68" w:rsidRDefault="00F02C68">
      <w:pPr>
        <w:pStyle w:val="StandardWeb"/>
        <w:numPr>
          <w:ilvl w:val="12"/>
          <w:numId w:val="0"/>
        </w:numPr>
        <w:spacing w:before="0" w:beforeAutospacing="0" w:after="0" w:afterAutospacing="0"/>
      </w:pPr>
    </w:p>
    <w:p w:rsidR="00012172" w:rsidRPr="00306BCD" w:rsidRDefault="00012172">
      <w:pPr>
        <w:numPr>
          <w:ilvl w:val="12"/>
          <w:numId w:val="0"/>
        </w:numPr>
        <w:rPr>
          <w:b/>
        </w:rPr>
      </w:pPr>
      <w:r w:rsidRPr="00306BCD">
        <w:rPr>
          <w:b/>
        </w:rPr>
        <w:t>Zona specifične namjene - vinogradi</w:t>
      </w:r>
    </w:p>
    <w:p w:rsidR="00012172" w:rsidRDefault="00012172">
      <w:pPr>
        <w:pStyle w:val="Sadraj1"/>
        <w:numPr>
          <w:ilvl w:val="12"/>
          <w:numId w:val="0"/>
        </w:numPr>
        <w:rPr>
          <w:bCs w:val="0"/>
        </w:rPr>
      </w:pPr>
    </w:p>
    <w:p w:rsidR="00012172" w:rsidRDefault="00257D68">
      <w:pPr>
        <w:numPr>
          <w:ilvl w:val="12"/>
          <w:numId w:val="0"/>
        </w:numPr>
        <w:jc w:val="center"/>
        <w:rPr>
          <w:szCs w:val="22"/>
        </w:rPr>
      </w:pPr>
      <w:r>
        <w:rPr>
          <w:szCs w:val="22"/>
        </w:rPr>
        <w:t>Članak 60</w:t>
      </w:r>
      <w:r w:rsidR="00012172">
        <w:rPr>
          <w:szCs w:val="22"/>
        </w:rPr>
        <w:t>.</w:t>
      </w:r>
    </w:p>
    <w:p w:rsidR="00012172" w:rsidRDefault="00012172">
      <w:pPr>
        <w:numPr>
          <w:ilvl w:val="12"/>
          <w:numId w:val="0"/>
        </w:numPr>
        <w:jc w:val="both"/>
        <w:rPr>
          <w:szCs w:val="22"/>
        </w:rPr>
      </w:pPr>
      <w:r>
        <w:rPr>
          <w:szCs w:val="22"/>
        </w:rPr>
        <w:t xml:space="preserve">(1)  </w:t>
      </w:r>
      <w:r w:rsidR="009E0D18">
        <w:rPr>
          <w:szCs w:val="22"/>
        </w:rPr>
        <w:t>Zona M3</w:t>
      </w:r>
      <w:r>
        <w:rPr>
          <w:szCs w:val="22"/>
        </w:rPr>
        <w:t xml:space="preserve"> obuhvaća površine pod vinogradima i tu se mogu graditi isključivo klijeti,</w:t>
      </w:r>
      <w:r w:rsidR="00704E40">
        <w:rPr>
          <w:szCs w:val="22"/>
        </w:rPr>
        <w:t xml:space="preserve"> koje služe i za povremeno stanovanje,</w:t>
      </w:r>
      <w:r>
        <w:rPr>
          <w:szCs w:val="22"/>
        </w:rPr>
        <w:t xml:space="preserve"> spremišta voća i alata</w:t>
      </w:r>
      <w:r w:rsidR="00704E40">
        <w:rPr>
          <w:szCs w:val="22"/>
        </w:rPr>
        <w:t>.</w:t>
      </w:r>
      <w:r>
        <w:rPr>
          <w:szCs w:val="22"/>
        </w:rPr>
        <w:t xml:space="preserve"> </w:t>
      </w:r>
      <w:r w:rsidR="009E0D18">
        <w:rPr>
          <w:szCs w:val="22"/>
        </w:rPr>
        <w:t xml:space="preserve">U toj zoni </w:t>
      </w:r>
      <w:r w:rsidR="00BC311F">
        <w:rPr>
          <w:szCs w:val="22"/>
        </w:rPr>
        <w:t xml:space="preserve">podrazumjeva se održavanje i unaprjeđenje kulture vinograda sa istovremenim održavanjem postojeće izgradnje klijeti te mogučnošću nove ili zamjenske izgradnje novih </w:t>
      </w:r>
      <w:r w:rsidR="00704E40">
        <w:rPr>
          <w:szCs w:val="22"/>
        </w:rPr>
        <w:t>adekvatnih objekata</w:t>
      </w:r>
      <w:r w:rsidR="00BC311F">
        <w:rPr>
          <w:szCs w:val="22"/>
        </w:rPr>
        <w:t xml:space="preserve"> maksimalne visine Po+P, drvene ili kamene građe, dvostrešnog ili poluskošenog krovišta, maksimalnih dimenzija 5x8 metara prema tipologiji sačuvanih autohtonih klijeti </w:t>
      </w:r>
    </w:p>
    <w:p w:rsidR="00012172" w:rsidRDefault="00012172">
      <w:pPr>
        <w:numPr>
          <w:ilvl w:val="12"/>
          <w:numId w:val="0"/>
        </w:numPr>
        <w:jc w:val="both"/>
        <w:rPr>
          <w:szCs w:val="22"/>
        </w:rPr>
      </w:pPr>
    </w:p>
    <w:p w:rsidR="00012172" w:rsidRDefault="00012172" w:rsidP="00DB57EA">
      <w:pPr>
        <w:numPr>
          <w:ilvl w:val="0"/>
          <w:numId w:val="23"/>
        </w:numPr>
        <w:jc w:val="both"/>
        <w:rPr>
          <w:szCs w:val="22"/>
        </w:rPr>
      </w:pPr>
      <w:r>
        <w:rPr>
          <w:szCs w:val="22"/>
        </w:rPr>
        <w:t>Od ostalih građevina u zoni specifične namjene dozvoljava se izgradnja manjih kapelica prizemne etaže i pilova, te građevina prometne i komunalna infrastrukture.</w:t>
      </w:r>
    </w:p>
    <w:p w:rsidR="00DB57EA" w:rsidRDefault="00DB57EA" w:rsidP="00DB57EA">
      <w:pPr>
        <w:jc w:val="both"/>
        <w:rPr>
          <w:szCs w:val="22"/>
        </w:rPr>
      </w:pPr>
    </w:p>
    <w:p w:rsidR="00DB57EA" w:rsidRDefault="00DB57EA" w:rsidP="00DB57EA">
      <w:pPr>
        <w:numPr>
          <w:ilvl w:val="0"/>
          <w:numId w:val="23"/>
        </w:numPr>
        <w:jc w:val="both"/>
        <w:rPr>
          <w:szCs w:val="22"/>
        </w:rPr>
      </w:pPr>
      <w:r>
        <w:rPr>
          <w:szCs w:val="22"/>
        </w:rPr>
        <w:t>Postojeći objekti koji ne zadovoljavaju navedene kriterije uvažavaju se kao stanje u prostoru zatečeno do dana donošenja prostornog plana.</w:t>
      </w:r>
    </w:p>
    <w:p w:rsidR="00012172" w:rsidRDefault="00012172">
      <w:pPr>
        <w:numPr>
          <w:ilvl w:val="12"/>
          <w:numId w:val="0"/>
        </w:numPr>
        <w:jc w:val="both"/>
        <w:rPr>
          <w:szCs w:val="22"/>
        </w:rPr>
      </w:pPr>
    </w:p>
    <w:p w:rsidR="00012172" w:rsidRDefault="00257D68">
      <w:pPr>
        <w:numPr>
          <w:ilvl w:val="12"/>
          <w:numId w:val="0"/>
        </w:numPr>
        <w:jc w:val="center"/>
        <w:rPr>
          <w:szCs w:val="22"/>
        </w:rPr>
      </w:pPr>
      <w:r>
        <w:rPr>
          <w:szCs w:val="22"/>
        </w:rPr>
        <w:t>Članak 61</w:t>
      </w:r>
      <w:r w:rsidR="00012172">
        <w:rPr>
          <w:szCs w:val="22"/>
        </w:rPr>
        <w:t>.</w:t>
      </w:r>
    </w:p>
    <w:p w:rsidR="00012172" w:rsidRDefault="00012172">
      <w:pPr>
        <w:overflowPunct w:val="0"/>
        <w:autoSpaceDE w:val="0"/>
        <w:autoSpaceDN w:val="0"/>
        <w:adjustRightInd w:val="0"/>
        <w:jc w:val="both"/>
        <w:textAlignment w:val="baseline"/>
        <w:rPr>
          <w:szCs w:val="22"/>
        </w:rPr>
      </w:pPr>
      <w:r>
        <w:rPr>
          <w:szCs w:val="22"/>
        </w:rPr>
        <w:t xml:space="preserve">(1) Građevine ili dijelovi građevina iz stavka 1. prethodnog članka (klijeti i građevine za povremeno stanovanje) mogu se koristiti kao građevine ugostiteljsko-turističke namjene za potrebe seoskog turizma. </w:t>
      </w:r>
    </w:p>
    <w:p w:rsidR="007E5C81" w:rsidRDefault="007E5C81">
      <w:pPr>
        <w:numPr>
          <w:ilvl w:val="12"/>
          <w:numId w:val="0"/>
        </w:numPr>
        <w:ind w:firstLine="720"/>
        <w:jc w:val="both"/>
        <w:rPr>
          <w:rFonts w:ascii="Arial" w:hAnsi="Arial" w:cs="Arial"/>
          <w:sz w:val="22"/>
          <w:szCs w:val="22"/>
        </w:rPr>
      </w:pPr>
    </w:p>
    <w:p w:rsidR="00012172" w:rsidRDefault="00257D68">
      <w:pPr>
        <w:pStyle w:val="xl30"/>
        <w:numPr>
          <w:ilvl w:val="12"/>
          <w:numId w:val="0"/>
        </w:numPr>
        <w:pBdr>
          <w:left w:val="none" w:sz="0" w:space="0" w:color="auto"/>
          <w:bottom w:val="none" w:sz="0" w:space="0" w:color="auto"/>
        </w:pBdr>
        <w:spacing w:before="0" w:beforeAutospacing="0" w:after="0" w:afterAutospacing="0"/>
        <w:rPr>
          <w:rFonts w:ascii="Times New Roman" w:hAnsi="Times New Roman"/>
          <w:szCs w:val="22"/>
        </w:rPr>
      </w:pPr>
      <w:r>
        <w:rPr>
          <w:rFonts w:ascii="Times New Roman" w:hAnsi="Times New Roman"/>
          <w:szCs w:val="22"/>
        </w:rPr>
        <w:t>Članak 62</w:t>
      </w:r>
      <w:r w:rsidR="00012172">
        <w:rPr>
          <w:rFonts w:ascii="Times New Roman" w:hAnsi="Times New Roman"/>
          <w:szCs w:val="22"/>
        </w:rPr>
        <w:t>.</w:t>
      </w:r>
    </w:p>
    <w:p w:rsidR="00012172" w:rsidRDefault="00012172">
      <w:pPr>
        <w:numPr>
          <w:ilvl w:val="12"/>
          <w:numId w:val="0"/>
        </w:numPr>
        <w:jc w:val="both"/>
        <w:rPr>
          <w:szCs w:val="22"/>
        </w:rPr>
      </w:pPr>
      <w:r>
        <w:rPr>
          <w:szCs w:val="22"/>
        </w:rPr>
        <w:t xml:space="preserve">(1) Veličina građevne čestice određuje se na način tako da dubina čestice mora biti najmanje </w:t>
      </w:r>
      <w:smartTag w:uri="urn:schemas-microsoft-com:office:smarttags" w:element="metricconverter">
        <w:smartTagPr>
          <w:attr w:name="ProductID" w:val="20,0 m"/>
        </w:smartTagPr>
        <w:r>
          <w:rPr>
            <w:szCs w:val="22"/>
          </w:rPr>
          <w:t>20,0 m</w:t>
        </w:r>
      </w:smartTag>
      <w:r>
        <w:rPr>
          <w:szCs w:val="22"/>
        </w:rPr>
        <w:t xml:space="preserve">, a širina najmanje </w:t>
      </w:r>
      <w:smartTag w:uri="urn:schemas-microsoft-com:office:smarttags" w:element="metricconverter">
        <w:smartTagPr>
          <w:attr w:name="ProductID" w:val="8,0 m"/>
        </w:smartTagPr>
        <w:r>
          <w:rPr>
            <w:szCs w:val="22"/>
          </w:rPr>
          <w:t>8,0 m</w:t>
        </w:r>
      </w:smartTag>
      <w:r>
        <w:rPr>
          <w:szCs w:val="22"/>
        </w:rPr>
        <w:t>..</w:t>
      </w:r>
    </w:p>
    <w:p w:rsidR="00012172" w:rsidRDefault="00012172">
      <w:pPr>
        <w:numPr>
          <w:ilvl w:val="12"/>
          <w:numId w:val="0"/>
        </w:numPr>
        <w:jc w:val="both"/>
        <w:rPr>
          <w:szCs w:val="22"/>
        </w:rPr>
      </w:pPr>
    </w:p>
    <w:p w:rsidR="00012172" w:rsidRDefault="00012172">
      <w:pPr>
        <w:numPr>
          <w:ilvl w:val="12"/>
          <w:numId w:val="0"/>
        </w:numPr>
        <w:jc w:val="both"/>
        <w:rPr>
          <w:szCs w:val="22"/>
        </w:rPr>
      </w:pPr>
      <w:r>
        <w:rPr>
          <w:szCs w:val="22"/>
        </w:rPr>
        <w:t xml:space="preserve">(2) Unutar zone specifične namjene </w:t>
      </w:r>
      <w:r w:rsidR="00323E05">
        <w:rPr>
          <w:szCs w:val="22"/>
        </w:rPr>
        <w:t>n</w:t>
      </w:r>
      <w:r>
        <w:rPr>
          <w:szCs w:val="22"/>
        </w:rPr>
        <w:t>ije dozvoljena izgradnja g</w:t>
      </w:r>
      <w:r w:rsidR="00323E05">
        <w:rPr>
          <w:szCs w:val="22"/>
        </w:rPr>
        <w:t>rađevina na poluugrađeni način.</w:t>
      </w:r>
      <w:r>
        <w:rPr>
          <w:szCs w:val="22"/>
        </w:rPr>
        <w:t xml:space="preserve"> </w:t>
      </w:r>
    </w:p>
    <w:p w:rsidR="00012172" w:rsidRDefault="00012172">
      <w:pPr>
        <w:numPr>
          <w:ilvl w:val="12"/>
          <w:numId w:val="0"/>
        </w:numPr>
      </w:pPr>
    </w:p>
    <w:p w:rsidR="00012172" w:rsidRDefault="00012172">
      <w:pPr>
        <w:numPr>
          <w:ilvl w:val="12"/>
          <w:numId w:val="0"/>
        </w:numPr>
      </w:pPr>
    </w:p>
    <w:p w:rsidR="00012172" w:rsidRDefault="00012172">
      <w:pPr>
        <w:numPr>
          <w:ilvl w:val="12"/>
          <w:numId w:val="0"/>
        </w:numPr>
        <w:jc w:val="both"/>
        <w:rPr>
          <w:b/>
          <w:szCs w:val="22"/>
        </w:rPr>
      </w:pPr>
      <w:r>
        <w:rPr>
          <w:b/>
          <w:szCs w:val="22"/>
        </w:rPr>
        <w:t>Građevine u funkciji obavljanja poljoprivredne djelatnosti :</w:t>
      </w:r>
    </w:p>
    <w:p w:rsidR="00012172" w:rsidRDefault="00012172">
      <w:pPr>
        <w:numPr>
          <w:ilvl w:val="12"/>
          <w:numId w:val="0"/>
        </w:numPr>
        <w:rPr>
          <w:b/>
          <w:szCs w:val="22"/>
        </w:rPr>
      </w:pPr>
      <w:r>
        <w:rPr>
          <w:b/>
          <w:szCs w:val="22"/>
        </w:rPr>
        <w:t>Stambeno-gospodarski sklopovi (farme) :</w:t>
      </w:r>
    </w:p>
    <w:p w:rsidR="00012172" w:rsidRDefault="00012172">
      <w:pPr>
        <w:numPr>
          <w:ilvl w:val="12"/>
          <w:numId w:val="0"/>
        </w:numPr>
      </w:pPr>
    </w:p>
    <w:p w:rsidR="00012172" w:rsidRDefault="00257D68">
      <w:pPr>
        <w:numPr>
          <w:ilvl w:val="12"/>
          <w:numId w:val="0"/>
        </w:numPr>
        <w:jc w:val="center"/>
        <w:rPr>
          <w:szCs w:val="22"/>
        </w:rPr>
      </w:pPr>
      <w:r>
        <w:rPr>
          <w:szCs w:val="22"/>
        </w:rPr>
        <w:t>Članak 63</w:t>
      </w:r>
      <w:r w:rsidR="00012172">
        <w:rPr>
          <w:szCs w:val="22"/>
        </w:rPr>
        <w:t>.</w:t>
      </w:r>
    </w:p>
    <w:p w:rsidR="00012172" w:rsidRDefault="00012172">
      <w:pPr>
        <w:numPr>
          <w:ilvl w:val="12"/>
          <w:numId w:val="0"/>
        </w:numPr>
        <w:jc w:val="both"/>
        <w:rPr>
          <w:szCs w:val="22"/>
        </w:rPr>
      </w:pPr>
      <w:r>
        <w:rPr>
          <w:szCs w:val="22"/>
        </w:rPr>
        <w:t xml:space="preserve">(1) Farmom se smatra funkcionalno povezana grupa zgrada s pripadajućim poljoprivrednim zemljištem, koja se u pravilu izgrađuje izvan građevinskog područja. </w:t>
      </w:r>
    </w:p>
    <w:p w:rsidR="00012172" w:rsidRDefault="00012172">
      <w:pPr>
        <w:numPr>
          <w:ilvl w:val="12"/>
          <w:numId w:val="0"/>
        </w:numPr>
        <w:jc w:val="both"/>
        <w:rPr>
          <w:rFonts w:ascii="Arial" w:hAnsi="Arial" w:cs="Arial"/>
          <w:sz w:val="22"/>
          <w:szCs w:val="22"/>
        </w:rPr>
      </w:pPr>
    </w:p>
    <w:p w:rsidR="00012172" w:rsidRDefault="00257D68">
      <w:pPr>
        <w:numPr>
          <w:ilvl w:val="12"/>
          <w:numId w:val="0"/>
        </w:numPr>
        <w:jc w:val="center"/>
        <w:rPr>
          <w:szCs w:val="22"/>
          <w:lang w:val="de-DE"/>
        </w:rPr>
      </w:pPr>
      <w:r>
        <w:rPr>
          <w:szCs w:val="22"/>
          <w:lang w:val="de-DE"/>
        </w:rPr>
        <w:t>Članak 64</w:t>
      </w:r>
      <w:r w:rsidR="00012172">
        <w:rPr>
          <w:szCs w:val="22"/>
          <w:lang w:val="de-DE"/>
        </w:rPr>
        <w:t>.</w:t>
      </w:r>
    </w:p>
    <w:p w:rsidR="00012172" w:rsidRDefault="00012172">
      <w:pPr>
        <w:numPr>
          <w:ilvl w:val="12"/>
          <w:numId w:val="0"/>
        </w:numPr>
        <w:jc w:val="both"/>
        <w:rPr>
          <w:szCs w:val="22"/>
          <w:lang w:val="de-DE"/>
        </w:rPr>
      </w:pPr>
      <w:r>
        <w:rPr>
          <w:szCs w:val="22"/>
        </w:rPr>
        <w:t xml:space="preserve">(1) </w:t>
      </w:r>
      <w:r>
        <w:rPr>
          <w:szCs w:val="22"/>
          <w:lang w:val="de-DE"/>
        </w:rPr>
        <w:t>Zgrade koje se mogu graditi u sklopu farme su :</w:t>
      </w:r>
    </w:p>
    <w:p w:rsidR="00012172" w:rsidRDefault="00012172" w:rsidP="00012172">
      <w:pPr>
        <w:overflowPunct w:val="0"/>
        <w:autoSpaceDE w:val="0"/>
        <w:autoSpaceDN w:val="0"/>
        <w:adjustRightInd w:val="0"/>
        <w:ind w:left="1003" w:hanging="283"/>
        <w:jc w:val="both"/>
        <w:textAlignment w:val="baseline"/>
        <w:rPr>
          <w:szCs w:val="22"/>
          <w:lang w:val="de-DE"/>
        </w:rPr>
      </w:pPr>
      <w:r>
        <w:rPr>
          <w:szCs w:val="22"/>
          <w:lang w:val="de-DE"/>
        </w:rPr>
        <w:t>stambene građevine za potrebe stanovanja vlasnika i uposlenih djelatnika</w:t>
      </w:r>
    </w:p>
    <w:p w:rsidR="00012172" w:rsidRDefault="00012172" w:rsidP="00012172">
      <w:pPr>
        <w:overflowPunct w:val="0"/>
        <w:autoSpaceDE w:val="0"/>
        <w:autoSpaceDN w:val="0"/>
        <w:adjustRightInd w:val="0"/>
        <w:ind w:left="1003" w:hanging="283"/>
        <w:jc w:val="both"/>
        <w:textAlignment w:val="baseline"/>
        <w:rPr>
          <w:szCs w:val="22"/>
          <w:lang w:val="de-DE"/>
        </w:rPr>
      </w:pPr>
      <w:r>
        <w:rPr>
          <w:szCs w:val="22"/>
          <w:lang w:val="de-DE"/>
        </w:rPr>
        <w:t>gospodarske građevine za potrebe biljne i stočarske proizvodnje</w:t>
      </w:r>
    </w:p>
    <w:p w:rsidR="00012172" w:rsidRDefault="00012172" w:rsidP="00012172">
      <w:pPr>
        <w:overflowPunct w:val="0"/>
        <w:autoSpaceDE w:val="0"/>
        <w:autoSpaceDN w:val="0"/>
        <w:adjustRightInd w:val="0"/>
        <w:ind w:left="1003" w:hanging="283"/>
        <w:jc w:val="both"/>
        <w:textAlignment w:val="baseline"/>
        <w:rPr>
          <w:szCs w:val="22"/>
          <w:lang w:val="de-DE"/>
        </w:rPr>
      </w:pPr>
      <w:r>
        <w:rPr>
          <w:szCs w:val="22"/>
          <w:lang w:val="de-DE"/>
        </w:rPr>
        <w:t>poslovno turističke građevine za potrebe seoskog turizma</w:t>
      </w:r>
    </w:p>
    <w:p w:rsidR="00012172" w:rsidRDefault="00012172" w:rsidP="00012172">
      <w:pPr>
        <w:overflowPunct w:val="0"/>
        <w:autoSpaceDE w:val="0"/>
        <w:autoSpaceDN w:val="0"/>
        <w:adjustRightInd w:val="0"/>
        <w:ind w:left="1003" w:hanging="283"/>
        <w:jc w:val="both"/>
        <w:textAlignment w:val="baseline"/>
        <w:rPr>
          <w:szCs w:val="22"/>
          <w:lang w:val="de-DE"/>
        </w:rPr>
      </w:pPr>
      <w:r>
        <w:rPr>
          <w:szCs w:val="22"/>
          <w:lang w:val="de-DE"/>
        </w:rPr>
        <w:t>industrijske građevine za potrebe prerade i pakiranja poljoprivrednih proizvoda koji su u cijelosti ili pretežno proizvedeni na farmi.</w:t>
      </w:r>
    </w:p>
    <w:p w:rsidR="00012172" w:rsidRDefault="00012172">
      <w:pPr>
        <w:numPr>
          <w:ilvl w:val="12"/>
          <w:numId w:val="0"/>
        </w:numPr>
        <w:jc w:val="both"/>
        <w:rPr>
          <w:rFonts w:ascii="Arial" w:hAnsi="Arial" w:cs="Arial"/>
          <w:sz w:val="22"/>
          <w:szCs w:val="22"/>
          <w:lang w:val="de-DE"/>
        </w:rPr>
      </w:pPr>
    </w:p>
    <w:p w:rsidR="00012172" w:rsidRDefault="00012172">
      <w:pPr>
        <w:numPr>
          <w:ilvl w:val="12"/>
          <w:numId w:val="0"/>
        </w:numPr>
        <w:jc w:val="both"/>
        <w:rPr>
          <w:szCs w:val="22"/>
          <w:lang w:val="de-DE"/>
        </w:rPr>
      </w:pPr>
      <w:r>
        <w:rPr>
          <w:szCs w:val="22"/>
        </w:rPr>
        <w:t xml:space="preserve">(2) </w:t>
      </w:r>
      <w:r>
        <w:rPr>
          <w:szCs w:val="22"/>
          <w:lang w:val="de-DE"/>
        </w:rPr>
        <w:t>Površina i raspored građevina iz stavka 1. ovog članka utvrđuju se lokacijskom dozvolom u skladu s potrebama tehnologije pojedine vrste poljoprivredne djelatnosti.</w:t>
      </w:r>
    </w:p>
    <w:p w:rsidR="00012172" w:rsidRDefault="00012172">
      <w:pPr>
        <w:numPr>
          <w:ilvl w:val="12"/>
          <w:numId w:val="0"/>
        </w:numPr>
        <w:jc w:val="both"/>
        <w:rPr>
          <w:szCs w:val="22"/>
          <w:lang w:val="de-DE"/>
        </w:rPr>
      </w:pPr>
    </w:p>
    <w:p w:rsidR="00012172" w:rsidRDefault="00012172">
      <w:pPr>
        <w:numPr>
          <w:ilvl w:val="12"/>
          <w:numId w:val="0"/>
        </w:numPr>
        <w:jc w:val="both"/>
        <w:rPr>
          <w:szCs w:val="22"/>
          <w:lang w:val="de-DE"/>
        </w:rPr>
      </w:pPr>
      <w:r>
        <w:rPr>
          <w:szCs w:val="22"/>
        </w:rPr>
        <w:t xml:space="preserve">(3) </w:t>
      </w:r>
      <w:r>
        <w:rPr>
          <w:szCs w:val="22"/>
          <w:lang w:val="de-DE"/>
        </w:rPr>
        <w:t>Za gradnju pojedinih vrsta građevina iz stavk</w:t>
      </w:r>
      <w:r w:rsidR="0089144D">
        <w:rPr>
          <w:szCs w:val="22"/>
          <w:lang w:val="de-DE"/>
        </w:rPr>
        <w:t>a</w:t>
      </w:r>
      <w:r>
        <w:rPr>
          <w:szCs w:val="22"/>
          <w:lang w:val="de-DE"/>
        </w:rPr>
        <w:t xml:space="preserve"> 1. ovog članka primjenjuju se odredbe za visinu gradnje, najveću brutto izgrađenost parcele, minimalne udaljenosti od javne prometne površine, susjedne parcele i drugih građevina kao i za gradnju u sklopu građevinskih područja.</w:t>
      </w:r>
    </w:p>
    <w:p w:rsidR="00012172" w:rsidRDefault="00012172">
      <w:pPr>
        <w:numPr>
          <w:ilvl w:val="12"/>
          <w:numId w:val="0"/>
        </w:numPr>
        <w:rPr>
          <w:lang w:val="de-DE"/>
        </w:rPr>
      </w:pPr>
    </w:p>
    <w:p w:rsidR="00012172" w:rsidRDefault="00012172">
      <w:pPr>
        <w:numPr>
          <w:ilvl w:val="12"/>
          <w:numId w:val="0"/>
        </w:numPr>
        <w:rPr>
          <w:lang w:val="de-DE"/>
        </w:rPr>
      </w:pPr>
    </w:p>
    <w:p w:rsidR="00012172" w:rsidRDefault="00012172">
      <w:pPr>
        <w:numPr>
          <w:ilvl w:val="12"/>
          <w:numId w:val="0"/>
        </w:numPr>
        <w:rPr>
          <w:b/>
          <w:szCs w:val="22"/>
          <w:lang w:val="de-DE"/>
        </w:rPr>
      </w:pPr>
      <w:r>
        <w:rPr>
          <w:b/>
          <w:szCs w:val="22"/>
          <w:lang w:val="de-DE"/>
        </w:rPr>
        <w:t>Gospodarske građevine za uzgoj životinja (tovilišta)</w:t>
      </w:r>
    </w:p>
    <w:p w:rsidR="00012172" w:rsidRDefault="00012172">
      <w:pPr>
        <w:numPr>
          <w:ilvl w:val="12"/>
          <w:numId w:val="0"/>
        </w:numPr>
        <w:rPr>
          <w:lang w:val="de-DE"/>
        </w:rPr>
      </w:pPr>
    </w:p>
    <w:p w:rsidR="00012172" w:rsidRDefault="00012172">
      <w:pPr>
        <w:pStyle w:val="xl30"/>
        <w:numPr>
          <w:ilvl w:val="12"/>
          <w:numId w:val="0"/>
        </w:numPr>
        <w:pBdr>
          <w:left w:val="none" w:sz="0" w:space="0" w:color="auto"/>
          <w:bottom w:val="none" w:sz="0" w:space="0" w:color="auto"/>
        </w:pBdr>
        <w:spacing w:before="0" w:beforeAutospacing="0" w:after="0" w:afterAutospacing="0"/>
        <w:rPr>
          <w:rFonts w:ascii="Times New Roman" w:hAnsi="Times New Roman"/>
          <w:szCs w:val="22"/>
          <w:lang w:val="de-DE"/>
        </w:rPr>
      </w:pPr>
      <w:r>
        <w:rPr>
          <w:rFonts w:ascii="Times New Roman" w:hAnsi="Times New Roman"/>
          <w:szCs w:val="22"/>
          <w:lang w:val="de-DE"/>
        </w:rPr>
        <w:t>Član</w:t>
      </w:r>
      <w:r w:rsidR="00257D68">
        <w:rPr>
          <w:rFonts w:ascii="Times New Roman" w:hAnsi="Times New Roman"/>
          <w:szCs w:val="22"/>
          <w:lang w:val="de-DE"/>
        </w:rPr>
        <w:t>ak 65</w:t>
      </w:r>
      <w:r>
        <w:rPr>
          <w:rFonts w:ascii="Times New Roman" w:hAnsi="Times New Roman"/>
          <w:szCs w:val="22"/>
          <w:lang w:val="de-DE"/>
        </w:rPr>
        <w:t>.</w:t>
      </w:r>
    </w:p>
    <w:p w:rsidR="00012172" w:rsidRDefault="00012172">
      <w:pPr>
        <w:numPr>
          <w:ilvl w:val="12"/>
          <w:numId w:val="0"/>
        </w:numPr>
        <w:jc w:val="both"/>
        <w:rPr>
          <w:szCs w:val="22"/>
          <w:lang w:val="de-DE"/>
        </w:rPr>
      </w:pPr>
      <w:r>
        <w:rPr>
          <w:szCs w:val="22"/>
        </w:rPr>
        <w:t xml:space="preserve">(1) </w:t>
      </w:r>
      <w:r>
        <w:rPr>
          <w:szCs w:val="22"/>
          <w:lang w:val="de-DE"/>
        </w:rPr>
        <w:t>Izvan građevinskog područja može se dozvoliti gradnja gospodarskih građevina za uzgoj životinja (stoke i peradi), kada njihov broj premašuje broj od 10 uvjetnih grla, dok unutar naselja maksimalan broj uvjetnih grla iznosi 50. Unutar građevinskog područja dozvoljeno je najviše 120 svinja, 10.000 peradi, 100 komada junadi.</w:t>
      </w:r>
    </w:p>
    <w:p w:rsidR="00012172" w:rsidRDefault="00012172">
      <w:pPr>
        <w:numPr>
          <w:ilvl w:val="12"/>
          <w:numId w:val="0"/>
        </w:numPr>
        <w:jc w:val="both"/>
        <w:rPr>
          <w:rFonts w:ascii="Arial" w:hAnsi="Arial" w:cs="Arial"/>
          <w:sz w:val="22"/>
          <w:szCs w:val="22"/>
          <w:lang w:val="de-DE"/>
        </w:rPr>
      </w:pPr>
    </w:p>
    <w:p w:rsidR="00012172" w:rsidRDefault="00012172">
      <w:pPr>
        <w:numPr>
          <w:ilvl w:val="12"/>
          <w:numId w:val="0"/>
        </w:numPr>
        <w:jc w:val="both"/>
        <w:rPr>
          <w:szCs w:val="22"/>
          <w:lang w:val="de-DE"/>
        </w:rPr>
      </w:pPr>
      <w:r>
        <w:rPr>
          <w:szCs w:val="22"/>
        </w:rPr>
        <w:t xml:space="preserve">(2) </w:t>
      </w:r>
      <w:r>
        <w:rPr>
          <w:szCs w:val="22"/>
          <w:lang w:val="de-DE"/>
        </w:rPr>
        <w:t xml:space="preserve">Površina građevinske parcele za građevine iz stavka 1 ovog članka ne može biti manja od </w:t>
      </w:r>
      <w:smartTag w:uri="urn:schemas-microsoft-com:office:smarttags" w:element="metricconverter">
        <w:smartTagPr>
          <w:attr w:name="ProductID" w:val="2.000 m2"/>
        </w:smartTagPr>
        <w:r>
          <w:rPr>
            <w:szCs w:val="22"/>
            <w:lang w:val="de-DE"/>
          </w:rPr>
          <w:t>2.000 m</w:t>
        </w:r>
        <w:r>
          <w:rPr>
            <w:szCs w:val="22"/>
            <w:vertAlign w:val="superscript"/>
            <w:lang w:val="de-DE"/>
          </w:rPr>
          <w:t>2</w:t>
        </w:r>
      </w:smartTag>
      <w:r>
        <w:rPr>
          <w:szCs w:val="22"/>
          <w:lang w:val="de-DE"/>
        </w:rPr>
        <w:t xml:space="preserve">, s najvećom izgrađenošću do 40%. </w:t>
      </w:r>
    </w:p>
    <w:p w:rsidR="000A0C3F" w:rsidRDefault="000A0C3F" w:rsidP="000A0C3F">
      <w:pPr>
        <w:numPr>
          <w:ilvl w:val="12"/>
          <w:numId w:val="0"/>
        </w:numPr>
        <w:rPr>
          <w:lang w:val="de-DE"/>
        </w:rPr>
      </w:pPr>
    </w:p>
    <w:p w:rsidR="000A0C3F" w:rsidRDefault="000A0C3F" w:rsidP="00170AE6">
      <w:pPr>
        <w:numPr>
          <w:ilvl w:val="12"/>
          <w:numId w:val="0"/>
        </w:numPr>
        <w:jc w:val="both"/>
        <w:rPr>
          <w:lang w:val="de-DE"/>
        </w:rPr>
      </w:pPr>
      <w:r>
        <w:rPr>
          <w:lang w:val="de-DE"/>
        </w:rPr>
        <w:t>(3) Postojeća površina označena namjenom I3 smještena uz zapadni rub područja ekspozicije dvorca Gornja Rijeka smatra se nekompatibilnom sa turističkom namjenom p</w:t>
      </w:r>
      <w:r w:rsidR="003C5A3F">
        <w:rPr>
          <w:lang w:val="de-DE"/>
        </w:rPr>
        <w:t>redviđenom unutar obuhvata DPU-a</w:t>
      </w:r>
      <w:r>
        <w:rPr>
          <w:lang w:val="de-DE"/>
        </w:rPr>
        <w:t>. Na toj se parceli sugerira uzgoj konja.</w:t>
      </w:r>
    </w:p>
    <w:p w:rsidR="00012172" w:rsidRDefault="00012172">
      <w:pPr>
        <w:numPr>
          <w:ilvl w:val="12"/>
          <w:numId w:val="0"/>
        </w:numPr>
        <w:rPr>
          <w:rFonts w:ascii="Arial" w:hAnsi="Arial" w:cs="Arial"/>
          <w:sz w:val="22"/>
          <w:szCs w:val="22"/>
          <w:lang w:val="de-DE"/>
        </w:rPr>
      </w:pPr>
    </w:p>
    <w:p w:rsidR="00012172" w:rsidRDefault="000A0C3F" w:rsidP="00170AE6">
      <w:pPr>
        <w:numPr>
          <w:ilvl w:val="12"/>
          <w:numId w:val="0"/>
        </w:numPr>
        <w:jc w:val="both"/>
        <w:rPr>
          <w:lang w:val="de-DE"/>
        </w:rPr>
      </w:pPr>
      <w:r w:rsidRPr="000A0C3F">
        <w:rPr>
          <w:lang w:val="de-DE"/>
        </w:rPr>
        <w:t>(4) Mogućnost ove vrste gradnje</w:t>
      </w:r>
      <w:r>
        <w:rPr>
          <w:lang w:val="de-DE"/>
        </w:rPr>
        <w:t xml:space="preserve"> isključuje se</w:t>
      </w:r>
      <w:r w:rsidR="00DB57EA">
        <w:rPr>
          <w:lang w:val="de-DE"/>
        </w:rPr>
        <w:t xml:space="preserve"> </w:t>
      </w:r>
      <w:r>
        <w:rPr>
          <w:lang w:val="de-DE"/>
        </w:rPr>
        <w:t>u kontaktnom području zone zaštite i ekspozicije dvorca Gornja Rijeka.</w:t>
      </w:r>
    </w:p>
    <w:p w:rsidR="000A0C3F" w:rsidRPr="000A0C3F" w:rsidRDefault="000A0C3F">
      <w:pPr>
        <w:numPr>
          <w:ilvl w:val="12"/>
          <w:numId w:val="0"/>
        </w:numPr>
        <w:rPr>
          <w:lang w:val="de-DE"/>
        </w:rPr>
      </w:pPr>
    </w:p>
    <w:p w:rsidR="00012172" w:rsidRDefault="000A0C3F">
      <w:pPr>
        <w:numPr>
          <w:ilvl w:val="12"/>
          <w:numId w:val="0"/>
        </w:numPr>
        <w:jc w:val="both"/>
        <w:rPr>
          <w:szCs w:val="22"/>
          <w:lang w:val="de-DE"/>
        </w:rPr>
      </w:pPr>
      <w:r>
        <w:rPr>
          <w:szCs w:val="22"/>
        </w:rPr>
        <w:t>(5</w:t>
      </w:r>
      <w:r w:rsidR="00012172">
        <w:rPr>
          <w:szCs w:val="22"/>
        </w:rPr>
        <w:t xml:space="preserve">) </w:t>
      </w:r>
      <w:r w:rsidR="00012172">
        <w:rPr>
          <w:szCs w:val="22"/>
          <w:lang w:val="de-DE"/>
        </w:rPr>
        <w:t>Gospodarske građevine za uzgoj životinja izvan građevinskog područja mogu se graditi na slijedećim minimalnim udaljenostima od građevinskog područja, te državnih, županijskih i lokalnih cesta:</w:t>
      </w:r>
    </w:p>
    <w:p w:rsidR="00012172" w:rsidRDefault="00012172">
      <w:pPr>
        <w:numPr>
          <w:ilvl w:val="12"/>
          <w:numId w:val="0"/>
        </w:numPr>
        <w:ind w:firstLine="720"/>
        <w:rPr>
          <w:lang w:val="de-DE"/>
        </w:rPr>
      </w:pPr>
    </w:p>
    <w:p w:rsidR="00012172" w:rsidRDefault="00012172">
      <w:pPr>
        <w:numPr>
          <w:ilvl w:val="12"/>
          <w:numId w:val="0"/>
        </w:numPr>
        <w:ind w:firstLine="720"/>
        <w:rPr>
          <w:lang w:val="de-DE"/>
        </w:rPr>
      </w:pPr>
    </w:p>
    <w:tbl>
      <w:tblPr>
        <w:tblW w:w="9639" w:type="dxa"/>
        <w:tblInd w:w="10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080"/>
        <w:gridCol w:w="1260"/>
        <w:gridCol w:w="1260"/>
        <w:gridCol w:w="1260"/>
        <w:gridCol w:w="1018"/>
        <w:gridCol w:w="1142"/>
        <w:gridCol w:w="900"/>
        <w:gridCol w:w="900"/>
        <w:gridCol w:w="819"/>
      </w:tblGrid>
      <w:tr w:rsidR="00012172">
        <w:tblPrEx>
          <w:tblCellMar>
            <w:top w:w="0" w:type="dxa"/>
            <w:bottom w:w="0" w:type="dxa"/>
          </w:tblCellMar>
        </w:tblPrEx>
        <w:tc>
          <w:tcPr>
            <w:tcW w:w="1080" w:type="dxa"/>
          </w:tcPr>
          <w:p w:rsidR="00012172" w:rsidRDefault="00012172">
            <w:pPr>
              <w:numPr>
                <w:ilvl w:val="12"/>
                <w:numId w:val="0"/>
              </w:numPr>
              <w:jc w:val="center"/>
              <w:rPr>
                <w:rFonts w:ascii="Arial" w:hAnsi="Arial" w:cs="Arial"/>
                <w:sz w:val="18"/>
                <w:szCs w:val="20"/>
              </w:rPr>
            </w:pPr>
            <w:r>
              <w:rPr>
                <w:rFonts w:ascii="Arial" w:hAnsi="Arial" w:cs="Arial"/>
                <w:sz w:val="18"/>
                <w:szCs w:val="20"/>
              </w:rPr>
              <w:t>goveda</w:t>
            </w:r>
          </w:p>
        </w:tc>
        <w:tc>
          <w:tcPr>
            <w:tcW w:w="1260" w:type="dxa"/>
            <w:tcBorders>
              <w:bottom w:val="nil"/>
            </w:tcBorders>
          </w:tcPr>
          <w:p w:rsidR="00012172" w:rsidRDefault="00012172">
            <w:pPr>
              <w:numPr>
                <w:ilvl w:val="12"/>
                <w:numId w:val="0"/>
              </w:numPr>
              <w:jc w:val="center"/>
              <w:rPr>
                <w:rFonts w:ascii="Arial" w:hAnsi="Arial" w:cs="Arial"/>
                <w:sz w:val="18"/>
                <w:szCs w:val="20"/>
              </w:rPr>
            </w:pPr>
            <w:r>
              <w:rPr>
                <w:rFonts w:ascii="Arial" w:hAnsi="Arial" w:cs="Arial"/>
                <w:sz w:val="18"/>
                <w:szCs w:val="20"/>
              </w:rPr>
              <w:t>junad</w:t>
            </w:r>
          </w:p>
        </w:tc>
        <w:tc>
          <w:tcPr>
            <w:tcW w:w="1260" w:type="dxa"/>
            <w:tcBorders>
              <w:bottom w:val="nil"/>
            </w:tcBorders>
          </w:tcPr>
          <w:p w:rsidR="00012172" w:rsidRDefault="00012172">
            <w:pPr>
              <w:numPr>
                <w:ilvl w:val="12"/>
                <w:numId w:val="0"/>
              </w:numPr>
              <w:jc w:val="center"/>
              <w:rPr>
                <w:rFonts w:ascii="Arial" w:hAnsi="Arial" w:cs="Arial"/>
                <w:sz w:val="18"/>
                <w:szCs w:val="20"/>
              </w:rPr>
            </w:pPr>
            <w:r>
              <w:rPr>
                <w:rFonts w:ascii="Arial" w:hAnsi="Arial" w:cs="Arial"/>
                <w:sz w:val="18"/>
                <w:szCs w:val="20"/>
              </w:rPr>
              <w:t>svinje</w:t>
            </w:r>
          </w:p>
        </w:tc>
        <w:tc>
          <w:tcPr>
            <w:tcW w:w="1260" w:type="dxa"/>
            <w:tcBorders>
              <w:bottom w:val="nil"/>
              <w:right w:val="single" w:sz="4" w:space="0" w:color="auto"/>
            </w:tcBorders>
          </w:tcPr>
          <w:p w:rsidR="00012172" w:rsidRDefault="00012172">
            <w:pPr>
              <w:numPr>
                <w:ilvl w:val="12"/>
                <w:numId w:val="0"/>
              </w:numPr>
              <w:jc w:val="center"/>
              <w:rPr>
                <w:rFonts w:ascii="Arial" w:hAnsi="Arial" w:cs="Arial"/>
                <w:sz w:val="18"/>
                <w:szCs w:val="20"/>
                <w:lang w:val="de-DE"/>
              </w:rPr>
            </w:pPr>
            <w:r>
              <w:rPr>
                <w:rFonts w:ascii="Arial" w:hAnsi="Arial" w:cs="Arial"/>
                <w:sz w:val="18"/>
                <w:szCs w:val="20"/>
                <w:lang w:val="de-DE"/>
              </w:rPr>
              <w:t>perad</w:t>
            </w:r>
          </w:p>
        </w:tc>
        <w:tc>
          <w:tcPr>
            <w:tcW w:w="1018" w:type="dxa"/>
            <w:tcBorders>
              <w:left w:val="single" w:sz="4" w:space="0" w:color="auto"/>
              <w:bottom w:val="nil"/>
            </w:tcBorders>
          </w:tcPr>
          <w:p w:rsidR="00012172" w:rsidRDefault="00012172">
            <w:pPr>
              <w:numPr>
                <w:ilvl w:val="12"/>
                <w:numId w:val="0"/>
              </w:numPr>
              <w:jc w:val="center"/>
              <w:rPr>
                <w:rFonts w:ascii="Arial" w:hAnsi="Arial" w:cs="Arial"/>
                <w:sz w:val="18"/>
                <w:szCs w:val="20"/>
                <w:lang w:val="de-DE"/>
              </w:rPr>
            </w:pPr>
            <w:r>
              <w:rPr>
                <w:rFonts w:ascii="Arial" w:hAnsi="Arial" w:cs="Arial"/>
                <w:sz w:val="18"/>
                <w:szCs w:val="20"/>
                <w:lang w:val="de-DE"/>
              </w:rPr>
              <w:t>koze</w:t>
            </w:r>
          </w:p>
        </w:tc>
        <w:tc>
          <w:tcPr>
            <w:tcW w:w="3761" w:type="dxa"/>
            <w:gridSpan w:val="4"/>
          </w:tcPr>
          <w:p w:rsidR="00012172" w:rsidRDefault="00012172">
            <w:pPr>
              <w:numPr>
                <w:ilvl w:val="12"/>
                <w:numId w:val="0"/>
              </w:numPr>
              <w:jc w:val="center"/>
              <w:rPr>
                <w:rFonts w:ascii="Arial" w:hAnsi="Arial" w:cs="Arial"/>
                <w:sz w:val="18"/>
                <w:szCs w:val="20"/>
                <w:lang w:val="de-DE"/>
              </w:rPr>
            </w:pPr>
            <w:r>
              <w:rPr>
                <w:rFonts w:ascii="Arial" w:hAnsi="Arial" w:cs="Arial"/>
                <w:sz w:val="18"/>
                <w:szCs w:val="20"/>
                <w:lang w:val="de-DE"/>
              </w:rPr>
              <w:t>udaljenost od (m)</w:t>
            </w:r>
          </w:p>
        </w:tc>
      </w:tr>
      <w:tr w:rsidR="00012172">
        <w:tblPrEx>
          <w:tblCellMar>
            <w:top w:w="0" w:type="dxa"/>
            <w:bottom w:w="0" w:type="dxa"/>
          </w:tblCellMar>
        </w:tblPrEx>
        <w:trPr>
          <w:cantSplit/>
          <w:trHeight w:val="1415"/>
        </w:trPr>
        <w:tc>
          <w:tcPr>
            <w:tcW w:w="1080" w:type="dxa"/>
          </w:tcPr>
          <w:p w:rsidR="00012172" w:rsidRDefault="00012172">
            <w:pPr>
              <w:numPr>
                <w:ilvl w:val="12"/>
                <w:numId w:val="0"/>
              </w:numPr>
              <w:jc w:val="center"/>
              <w:rPr>
                <w:rFonts w:ascii="Arial" w:hAnsi="Arial" w:cs="Arial"/>
                <w:sz w:val="18"/>
                <w:szCs w:val="20"/>
                <w:lang w:val="de-DE"/>
              </w:rPr>
            </w:pPr>
          </w:p>
          <w:p w:rsidR="00012172" w:rsidRDefault="00012172">
            <w:pPr>
              <w:numPr>
                <w:ilvl w:val="12"/>
                <w:numId w:val="0"/>
              </w:numPr>
              <w:jc w:val="center"/>
              <w:rPr>
                <w:rFonts w:ascii="Arial" w:hAnsi="Arial" w:cs="Arial"/>
                <w:sz w:val="18"/>
                <w:szCs w:val="20"/>
                <w:lang w:val="de-DE"/>
              </w:rPr>
            </w:pPr>
            <w:r>
              <w:rPr>
                <w:rFonts w:ascii="Arial" w:hAnsi="Arial" w:cs="Arial"/>
                <w:sz w:val="18"/>
                <w:szCs w:val="20"/>
                <w:lang w:val="de-DE"/>
              </w:rPr>
              <w:t>kom</w:t>
            </w:r>
          </w:p>
        </w:tc>
        <w:tc>
          <w:tcPr>
            <w:tcW w:w="1260" w:type="dxa"/>
          </w:tcPr>
          <w:p w:rsidR="00012172" w:rsidRDefault="00012172">
            <w:pPr>
              <w:numPr>
                <w:ilvl w:val="12"/>
                <w:numId w:val="0"/>
              </w:numPr>
              <w:jc w:val="center"/>
              <w:rPr>
                <w:rFonts w:ascii="Arial" w:hAnsi="Arial" w:cs="Arial"/>
                <w:sz w:val="18"/>
                <w:szCs w:val="20"/>
                <w:lang w:val="de-DE"/>
              </w:rPr>
            </w:pPr>
          </w:p>
          <w:p w:rsidR="00012172" w:rsidRDefault="00012172">
            <w:pPr>
              <w:numPr>
                <w:ilvl w:val="12"/>
                <w:numId w:val="0"/>
              </w:numPr>
              <w:jc w:val="center"/>
              <w:rPr>
                <w:rFonts w:ascii="Arial" w:hAnsi="Arial" w:cs="Arial"/>
                <w:sz w:val="18"/>
                <w:szCs w:val="20"/>
                <w:lang w:val="de-DE"/>
              </w:rPr>
            </w:pPr>
            <w:r>
              <w:rPr>
                <w:rFonts w:ascii="Arial" w:hAnsi="Arial" w:cs="Arial"/>
                <w:sz w:val="18"/>
                <w:szCs w:val="20"/>
                <w:lang w:val="de-DE"/>
              </w:rPr>
              <w:t>kom</w:t>
            </w:r>
          </w:p>
        </w:tc>
        <w:tc>
          <w:tcPr>
            <w:tcW w:w="1260" w:type="dxa"/>
          </w:tcPr>
          <w:p w:rsidR="00012172" w:rsidRDefault="00012172">
            <w:pPr>
              <w:numPr>
                <w:ilvl w:val="12"/>
                <w:numId w:val="0"/>
              </w:numPr>
              <w:jc w:val="center"/>
              <w:rPr>
                <w:rFonts w:ascii="Arial" w:hAnsi="Arial" w:cs="Arial"/>
                <w:sz w:val="18"/>
                <w:szCs w:val="20"/>
                <w:lang w:val="de-DE"/>
              </w:rPr>
            </w:pPr>
          </w:p>
          <w:p w:rsidR="00012172" w:rsidRDefault="00012172">
            <w:pPr>
              <w:numPr>
                <w:ilvl w:val="12"/>
                <w:numId w:val="0"/>
              </w:numPr>
              <w:jc w:val="center"/>
              <w:rPr>
                <w:rFonts w:ascii="Arial" w:hAnsi="Arial" w:cs="Arial"/>
                <w:sz w:val="18"/>
                <w:szCs w:val="20"/>
                <w:lang w:val="de-DE"/>
              </w:rPr>
            </w:pPr>
            <w:r>
              <w:rPr>
                <w:rFonts w:ascii="Arial" w:hAnsi="Arial" w:cs="Arial"/>
                <w:sz w:val="18"/>
                <w:szCs w:val="20"/>
                <w:lang w:val="de-DE"/>
              </w:rPr>
              <w:t>kom</w:t>
            </w:r>
          </w:p>
        </w:tc>
        <w:tc>
          <w:tcPr>
            <w:tcW w:w="1260" w:type="dxa"/>
            <w:tcBorders>
              <w:right w:val="single" w:sz="4" w:space="0" w:color="auto"/>
            </w:tcBorders>
          </w:tcPr>
          <w:p w:rsidR="00012172" w:rsidRDefault="00012172">
            <w:pPr>
              <w:numPr>
                <w:ilvl w:val="12"/>
                <w:numId w:val="0"/>
              </w:numPr>
              <w:jc w:val="center"/>
              <w:rPr>
                <w:rFonts w:ascii="Arial" w:hAnsi="Arial" w:cs="Arial"/>
                <w:sz w:val="18"/>
                <w:szCs w:val="20"/>
                <w:lang w:val="de-DE"/>
              </w:rPr>
            </w:pPr>
          </w:p>
          <w:p w:rsidR="00012172" w:rsidRDefault="00012172">
            <w:pPr>
              <w:numPr>
                <w:ilvl w:val="12"/>
                <w:numId w:val="0"/>
              </w:numPr>
              <w:jc w:val="center"/>
              <w:rPr>
                <w:rFonts w:ascii="Arial" w:hAnsi="Arial" w:cs="Arial"/>
                <w:sz w:val="18"/>
                <w:szCs w:val="20"/>
                <w:lang w:val="de-DE"/>
              </w:rPr>
            </w:pPr>
            <w:r>
              <w:rPr>
                <w:rFonts w:ascii="Arial" w:hAnsi="Arial" w:cs="Arial"/>
                <w:sz w:val="18"/>
                <w:szCs w:val="20"/>
                <w:lang w:val="de-DE"/>
              </w:rPr>
              <w:t>kom</w:t>
            </w:r>
          </w:p>
        </w:tc>
        <w:tc>
          <w:tcPr>
            <w:tcW w:w="1018" w:type="dxa"/>
            <w:tcBorders>
              <w:left w:val="single" w:sz="4" w:space="0" w:color="auto"/>
            </w:tcBorders>
          </w:tcPr>
          <w:p w:rsidR="00012172" w:rsidRDefault="00012172">
            <w:pPr>
              <w:numPr>
                <w:ilvl w:val="12"/>
                <w:numId w:val="0"/>
              </w:numPr>
              <w:jc w:val="center"/>
              <w:rPr>
                <w:rFonts w:ascii="Arial" w:hAnsi="Arial" w:cs="Arial"/>
                <w:sz w:val="18"/>
                <w:szCs w:val="20"/>
                <w:lang w:val="de-DE"/>
              </w:rPr>
            </w:pPr>
          </w:p>
          <w:p w:rsidR="00012172" w:rsidRDefault="00012172">
            <w:pPr>
              <w:numPr>
                <w:ilvl w:val="12"/>
                <w:numId w:val="0"/>
              </w:numPr>
              <w:jc w:val="center"/>
              <w:rPr>
                <w:rFonts w:ascii="Arial" w:hAnsi="Arial" w:cs="Arial"/>
                <w:sz w:val="18"/>
                <w:szCs w:val="20"/>
                <w:lang w:val="de-DE"/>
              </w:rPr>
            </w:pPr>
            <w:r>
              <w:rPr>
                <w:rFonts w:ascii="Arial" w:hAnsi="Arial" w:cs="Arial"/>
                <w:sz w:val="18"/>
                <w:szCs w:val="20"/>
                <w:lang w:val="de-DE"/>
              </w:rPr>
              <w:t>kom</w:t>
            </w:r>
          </w:p>
        </w:tc>
        <w:tc>
          <w:tcPr>
            <w:tcW w:w="1142" w:type="dxa"/>
            <w:textDirection w:val="btLr"/>
            <w:vAlign w:val="center"/>
          </w:tcPr>
          <w:p w:rsidR="00012172" w:rsidRDefault="00012172">
            <w:pPr>
              <w:numPr>
                <w:ilvl w:val="12"/>
                <w:numId w:val="0"/>
              </w:numPr>
              <w:ind w:left="113" w:right="113"/>
              <w:jc w:val="center"/>
              <w:rPr>
                <w:rFonts w:ascii="Arial" w:hAnsi="Arial" w:cs="Arial"/>
                <w:sz w:val="18"/>
                <w:szCs w:val="20"/>
                <w:lang w:val="de-DE"/>
              </w:rPr>
            </w:pPr>
            <w:r>
              <w:rPr>
                <w:rFonts w:ascii="Arial" w:hAnsi="Arial" w:cs="Arial"/>
                <w:sz w:val="18"/>
                <w:szCs w:val="20"/>
                <w:lang w:val="de-DE"/>
              </w:rPr>
              <w:t>građevinskog</w:t>
            </w:r>
          </w:p>
          <w:p w:rsidR="00012172" w:rsidRDefault="00012172">
            <w:pPr>
              <w:numPr>
                <w:ilvl w:val="12"/>
                <w:numId w:val="0"/>
              </w:numPr>
              <w:ind w:left="113" w:right="113"/>
              <w:jc w:val="center"/>
              <w:rPr>
                <w:rFonts w:cs="Arial"/>
                <w:sz w:val="18"/>
                <w:szCs w:val="20"/>
                <w:lang w:val="de-DE"/>
              </w:rPr>
            </w:pPr>
            <w:r>
              <w:rPr>
                <w:rFonts w:ascii="Arial" w:hAnsi="Arial" w:cs="Arial"/>
                <w:sz w:val="18"/>
                <w:szCs w:val="20"/>
                <w:lang w:val="de-DE"/>
              </w:rPr>
              <w:t>podrucja</w:t>
            </w:r>
          </w:p>
        </w:tc>
        <w:tc>
          <w:tcPr>
            <w:tcW w:w="900" w:type="dxa"/>
            <w:tcBorders>
              <w:right w:val="single" w:sz="4" w:space="0" w:color="auto"/>
            </w:tcBorders>
            <w:textDirection w:val="btLr"/>
            <w:vAlign w:val="center"/>
          </w:tcPr>
          <w:p w:rsidR="00012172" w:rsidRDefault="00012172">
            <w:pPr>
              <w:numPr>
                <w:ilvl w:val="12"/>
                <w:numId w:val="0"/>
              </w:numPr>
              <w:ind w:left="113" w:right="113"/>
              <w:jc w:val="center"/>
              <w:rPr>
                <w:rFonts w:ascii="Arial" w:hAnsi="Arial" w:cs="Arial"/>
                <w:sz w:val="18"/>
                <w:szCs w:val="20"/>
              </w:rPr>
            </w:pPr>
            <w:r>
              <w:rPr>
                <w:rFonts w:ascii="Arial" w:hAnsi="Arial" w:cs="Arial"/>
                <w:sz w:val="18"/>
                <w:szCs w:val="20"/>
              </w:rPr>
              <w:t>državne</w:t>
            </w:r>
          </w:p>
          <w:p w:rsidR="00012172" w:rsidRDefault="00012172">
            <w:pPr>
              <w:numPr>
                <w:ilvl w:val="12"/>
                <w:numId w:val="0"/>
              </w:numPr>
              <w:ind w:left="113" w:right="113"/>
              <w:jc w:val="center"/>
              <w:rPr>
                <w:rFonts w:ascii="Arial" w:hAnsi="Arial" w:cs="Arial"/>
                <w:sz w:val="18"/>
                <w:szCs w:val="20"/>
              </w:rPr>
            </w:pPr>
            <w:r>
              <w:rPr>
                <w:rFonts w:ascii="Arial" w:hAnsi="Arial" w:cs="Arial"/>
                <w:sz w:val="18"/>
                <w:szCs w:val="20"/>
              </w:rPr>
              <w:t>ceste</w:t>
            </w:r>
          </w:p>
        </w:tc>
        <w:tc>
          <w:tcPr>
            <w:tcW w:w="900" w:type="dxa"/>
            <w:tcBorders>
              <w:left w:val="single" w:sz="4" w:space="0" w:color="auto"/>
            </w:tcBorders>
            <w:textDirection w:val="btLr"/>
            <w:vAlign w:val="center"/>
          </w:tcPr>
          <w:p w:rsidR="00012172" w:rsidRDefault="00012172">
            <w:pPr>
              <w:numPr>
                <w:ilvl w:val="12"/>
                <w:numId w:val="0"/>
              </w:numPr>
              <w:ind w:left="113" w:right="113"/>
              <w:jc w:val="center"/>
              <w:rPr>
                <w:rFonts w:ascii="Arial" w:hAnsi="Arial" w:cs="Arial"/>
                <w:sz w:val="18"/>
                <w:szCs w:val="20"/>
              </w:rPr>
            </w:pPr>
            <w:r>
              <w:rPr>
                <w:rFonts w:ascii="Arial" w:hAnsi="Arial" w:cs="Arial"/>
                <w:sz w:val="18"/>
                <w:szCs w:val="20"/>
              </w:rPr>
              <w:t>županiske ceste</w:t>
            </w:r>
          </w:p>
        </w:tc>
        <w:tc>
          <w:tcPr>
            <w:tcW w:w="819" w:type="dxa"/>
            <w:textDirection w:val="btLr"/>
            <w:vAlign w:val="center"/>
          </w:tcPr>
          <w:p w:rsidR="00012172" w:rsidRDefault="00012172">
            <w:pPr>
              <w:numPr>
                <w:ilvl w:val="12"/>
                <w:numId w:val="0"/>
              </w:numPr>
              <w:ind w:left="-249" w:right="-105"/>
              <w:jc w:val="center"/>
              <w:rPr>
                <w:rFonts w:ascii="Arial" w:hAnsi="Arial" w:cs="Arial"/>
                <w:sz w:val="18"/>
                <w:szCs w:val="20"/>
                <w:lang w:val="en-AU"/>
              </w:rPr>
            </w:pPr>
            <w:r>
              <w:rPr>
                <w:rFonts w:ascii="Arial" w:hAnsi="Arial" w:cs="Arial"/>
                <w:sz w:val="18"/>
                <w:szCs w:val="20"/>
                <w:lang w:val="en-AU"/>
              </w:rPr>
              <w:t>lokalne</w:t>
            </w:r>
          </w:p>
          <w:p w:rsidR="00012172" w:rsidRDefault="00012172">
            <w:pPr>
              <w:numPr>
                <w:ilvl w:val="12"/>
                <w:numId w:val="0"/>
              </w:numPr>
              <w:ind w:left="-249" w:right="-105"/>
              <w:jc w:val="center"/>
              <w:rPr>
                <w:rFonts w:ascii="Arial" w:hAnsi="Arial" w:cs="Arial"/>
                <w:sz w:val="18"/>
                <w:szCs w:val="20"/>
                <w:lang w:val="en-AU"/>
              </w:rPr>
            </w:pPr>
            <w:r>
              <w:rPr>
                <w:rFonts w:ascii="Arial" w:hAnsi="Arial" w:cs="Arial"/>
                <w:sz w:val="18"/>
                <w:szCs w:val="20"/>
                <w:lang w:val="en-AU"/>
              </w:rPr>
              <w:t>ceste</w:t>
            </w:r>
          </w:p>
        </w:tc>
      </w:tr>
      <w:tr w:rsidR="00012172">
        <w:tblPrEx>
          <w:tblCellMar>
            <w:top w:w="0" w:type="dxa"/>
            <w:bottom w:w="0" w:type="dxa"/>
          </w:tblCellMar>
        </w:tblPrEx>
        <w:tc>
          <w:tcPr>
            <w:tcW w:w="1080" w:type="dxa"/>
            <w:tcBorders>
              <w:top w:val="nil"/>
            </w:tcBorders>
          </w:tcPr>
          <w:p w:rsidR="00012172" w:rsidRDefault="00012172">
            <w:pPr>
              <w:numPr>
                <w:ilvl w:val="12"/>
                <w:numId w:val="0"/>
              </w:numPr>
              <w:jc w:val="center"/>
              <w:rPr>
                <w:rFonts w:ascii="Arial" w:hAnsi="Arial" w:cs="Arial"/>
                <w:sz w:val="18"/>
                <w:szCs w:val="20"/>
                <w:lang w:val="en-AU"/>
              </w:rPr>
            </w:pPr>
            <w:r>
              <w:rPr>
                <w:rFonts w:ascii="Arial" w:hAnsi="Arial" w:cs="Arial"/>
                <w:sz w:val="18"/>
                <w:szCs w:val="20"/>
                <w:lang w:val="en-AU"/>
              </w:rPr>
              <w:t xml:space="preserve"> do 100</w:t>
            </w:r>
          </w:p>
        </w:tc>
        <w:tc>
          <w:tcPr>
            <w:tcW w:w="1260" w:type="dxa"/>
            <w:tcBorders>
              <w:top w:val="nil"/>
            </w:tcBorders>
          </w:tcPr>
          <w:p w:rsidR="00012172" w:rsidRDefault="00012172">
            <w:pPr>
              <w:numPr>
                <w:ilvl w:val="12"/>
                <w:numId w:val="0"/>
              </w:numPr>
              <w:jc w:val="center"/>
              <w:rPr>
                <w:rFonts w:ascii="Arial" w:hAnsi="Arial" w:cs="Arial"/>
                <w:sz w:val="18"/>
                <w:szCs w:val="20"/>
                <w:lang w:val="en-AU"/>
              </w:rPr>
            </w:pPr>
            <w:r>
              <w:rPr>
                <w:rFonts w:ascii="Arial" w:hAnsi="Arial" w:cs="Arial"/>
                <w:sz w:val="18"/>
                <w:szCs w:val="20"/>
                <w:lang w:val="en-AU"/>
              </w:rPr>
              <w:t>do 200</w:t>
            </w:r>
          </w:p>
        </w:tc>
        <w:tc>
          <w:tcPr>
            <w:tcW w:w="1260" w:type="dxa"/>
            <w:tcBorders>
              <w:top w:val="nil"/>
            </w:tcBorders>
          </w:tcPr>
          <w:p w:rsidR="00012172" w:rsidRDefault="00012172">
            <w:pPr>
              <w:numPr>
                <w:ilvl w:val="12"/>
                <w:numId w:val="0"/>
              </w:numPr>
              <w:jc w:val="center"/>
              <w:rPr>
                <w:rFonts w:ascii="Arial" w:hAnsi="Arial" w:cs="Arial"/>
                <w:sz w:val="18"/>
                <w:szCs w:val="20"/>
                <w:lang w:val="en-AU"/>
              </w:rPr>
            </w:pPr>
            <w:r>
              <w:rPr>
                <w:rFonts w:ascii="Arial" w:hAnsi="Arial" w:cs="Arial"/>
                <w:sz w:val="18"/>
                <w:szCs w:val="20"/>
                <w:lang w:val="en-AU"/>
              </w:rPr>
              <w:t>do 200</w:t>
            </w:r>
          </w:p>
        </w:tc>
        <w:tc>
          <w:tcPr>
            <w:tcW w:w="1260" w:type="dxa"/>
            <w:tcBorders>
              <w:top w:val="nil"/>
              <w:right w:val="single" w:sz="4" w:space="0" w:color="auto"/>
            </w:tcBorders>
          </w:tcPr>
          <w:p w:rsidR="00012172" w:rsidRDefault="00012172">
            <w:pPr>
              <w:numPr>
                <w:ilvl w:val="12"/>
                <w:numId w:val="0"/>
              </w:numPr>
              <w:jc w:val="center"/>
              <w:rPr>
                <w:rFonts w:ascii="Arial" w:hAnsi="Arial" w:cs="Arial"/>
                <w:sz w:val="18"/>
                <w:szCs w:val="20"/>
                <w:lang w:val="en-AU"/>
              </w:rPr>
            </w:pPr>
            <w:r>
              <w:rPr>
                <w:rFonts w:ascii="Arial" w:hAnsi="Arial" w:cs="Arial"/>
                <w:sz w:val="18"/>
                <w:szCs w:val="20"/>
                <w:lang w:val="en-AU"/>
              </w:rPr>
              <w:t>do 30 000</w:t>
            </w:r>
          </w:p>
        </w:tc>
        <w:tc>
          <w:tcPr>
            <w:tcW w:w="1018" w:type="dxa"/>
            <w:tcBorders>
              <w:top w:val="nil"/>
              <w:left w:val="single" w:sz="4" w:space="0" w:color="auto"/>
            </w:tcBorders>
          </w:tcPr>
          <w:p w:rsidR="00012172" w:rsidRDefault="00012172">
            <w:pPr>
              <w:numPr>
                <w:ilvl w:val="12"/>
                <w:numId w:val="0"/>
              </w:numPr>
              <w:jc w:val="center"/>
              <w:rPr>
                <w:rFonts w:ascii="Arial" w:hAnsi="Arial" w:cs="Arial"/>
                <w:sz w:val="18"/>
                <w:szCs w:val="20"/>
                <w:lang w:val="en-AU"/>
              </w:rPr>
            </w:pPr>
            <w:r>
              <w:rPr>
                <w:rFonts w:ascii="Arial" w:hAnsi="Arial" w:cs="Arial"/>
                <w:sz w:val="18"/>
                <w:szCs w:val="20"/>
                <w:lang w:val="en-AU"/>
              </w:rPr>
              <w:t>200-3.000</w:t>
            </w:r>
          </w:p>
        </w:tc>
        <w:tc>
          <w:tcPr>
            <w:tcW w:w="1142" w:type="dxa"/>
            <w:tcBorders>
              <w:top w:val="nil"/>
            </w:tcBorders>
          </w:tcPr>
          <w:p w:rsidR="00012172" w:rsidRDefault="00012172">
            <w:pPr>
              <w:numPr>
                <w:ilvl w:val="12"/>
                <w:numId w:val="0"/>
              </w:numPr>
              <w:ind w:right="269"/>
              <w:jc w:val="right"/>
              <w:rPr>
                <w:rFonts w:ascii="Arial" w:hAnsi="Arial" w:cs="Arial"/>
                <w:sz w:val="18"/>
                <w:szCs w:val="20"/>
                <w:lang w:val="en-AU"/>
              </w:rPr>
            </w:pPr>
            <w:r>
              <w:rPr>
                <w:rFonts w:ascii="Arial" w:hAnsi="Arial" w:cs="Arial"/>
                <w:sz w:val="18"/>
                <w:szCs w:val="20"/>
                <w:lang w:val="en-AU"/>
              </w:rPr>
              <w:t xml:space="preserve">  </w:t>
            </w:r>
            <w:smartTag w:uri="urn:schemas-microsoft-com:office:smarttags" w:element="metricconverter">
              <w:smartTagPr>
                <w:attr w:name="ProductID" w:val="20 m"/>
              </w:smartTagPr>
              <w:r>
                <w:rPr>
                  <w:rFonts w:ascii="Arial" w:hAnsi="Arial" w:cs="Arial"/>
                  <w:sz w:val="18"/>
                  <w:szCs w:val="20"/>
                  <w:lang w:val="en-AU"/>
                </w:rPr>
                <w:t>20 m</w:t>
              </w:r>
            </w:smartTag>
          </w:p>
        </w:tc>
        <w:tc>
          <w:tcPr>
            <w:tcW w:w="900" w:type="dxa"/>
            <w:tcBorders>
              <w:top w:val="nil"/>
              <w:right w:val="single" w:sz="4" w:space="0" w:color="auto"/>
            </w:tcBorders>
          </w:tcPr>
          <w:p w:rsidR="00012172" w:rsidRDefault="00012172">
            <w:pPr>
              <w:numPr>
                <w:ilvl w:val="12"/>
                <w:numId w:val="0"/>
              </w:numPr>
              <w:jc w:val="center"/>
              <w:rPr>
                <w:rFonts w:ascii="Arial" w:hAnsi="Arial" w:cs="Arial"/>
                <w:sz w:val="18"/>
                <w:szCs w:val="20"/>
                <w:lang w:val="en-AU"/>
              </w:rPr>
            </w:pPr>
            <w:smartTag w:uri="urn:schemas-microsoft-com:office:smarttags" w:element="metricconverter">
              <w:smartTagPr>
                <w:attr w:name="ProductID" w:val="50 m"/>
              </w:smartTagPr>
              <w:r>
                <w:rPr>
                  <w:rFonts w:ascii="Arial" w:hAnsi="Arial" w:cs="Arial"/>
                  <w:sz w:val="18"/>
                  <w:szCs w:val="20"/>
                  <w:lang w:val="en-AU"/>
                </w:rPr>
                <w:t>50 m</w:t>
              </w:r>
            </w:smartTag>
          </w:p>
        </w:tc>
        <w:tc>
          <w:tcPr>
            <w:tcW w:w="900" w:type="dxa"/>
            <w:tcBorders>
              <w:top w:val="nil"/>
              <w:left w:val="single" w:sz="4" w:space="0" w:color="auto"/>
            </w:tcBorders>
          </w:tcPr>
          <w:p w:rsidR="00012172" w:rsidRDefault="00012172">
            <w:pPr>
              <w:numPr>
                <w:ilvl w:val="12"/>
                <w:numId w:val="0"/>
              </w:numPr>
              <w:jc w:val="center"/>
              <w:rPr>
                <w:rFonts w:ascii="Arial" w:hAnsi="Arial" w:cs="Arial"/>
                <w:sz w:val="18"/>
                <w:szCs w:val="20"/>
                <w:lang w:val="en-AU"/>
              </w:rPr>
            </w:pPr>
            <w:r>
              <w:rPr>
                <w:rFonts w:ascii="Arial" w:hAnsi="Arial" w:cs="Arial"/>
                <w:sz w:val="18"/>
                <w:szCs w:val="20"/>
                <w:lang w:val="en-AU"/>
              </w:rPr>
              <w:t>25</w:t>
            </w:r>
          </w:p>
        </w:tc>
        <w:tc>
          <w:tcPr>
            <w:tcW w:w="819" w:type="dxa"/>
            <w:tcBorders>
              <w:top w:val="nil"/>
            </w:tcBorders>
          </w:tcPr>
          <w:p w:rsidR="00012172" w:rsidRDefault="00012172">
            <w:pPr>
              <w:numPr>
                <w:ilvl w:val="12"/>
                <w:numId w:val="0"/>
              </w:numPr>
              <w:ind w:right="34"/>
              <w:jc w:val="right"/>
              <w:rPr>
                <w:rFonts w:ascii="Arial" w:hAnsi="Arial" w:cs="Arial"/>
                <w:sz w:val="18"/>
                <w:szCs w:val="20"/>
                <w:lang w:val="en-AU"/>
              </w:rPr>
            </w:pPr>
            <w:smartTag w:uri="urn:schemas-microsoft-com:office:smarttags" w:element="metricconverter">
              <w:smartTagPr>
                <w:attr w:name="ProductID" w:val="10 m"/>
              </w:smartTagPr>
              <w:r>
                <w:rPr>
                  <w:rFonts w:ascii="Arial" w:hAnsi="Arial" w:cs="Arial"/>
                  <w:sz w:val="18"/>
                  <w:szCs w:val="20"/>
                  <w:lang w:val="en-AU"/>
                </w:rPr>
                <w:t>10 m</w:t>
              </w:r>
            </w:smartTag>
          </w:p>
        </w:tc>
      </w:tr>
      <w:tr w:rsidR="00012172">
        <w:tblPrEx>
          <w:tblCellMar>
            <w:top w:w="0" w:type="dxa"/>
            <w:bottom w:w="0" w:type="dxa"/>
          </w:tblCellMar>
        </w:tblPrEx>
        <w:tc>
          <w:tcPr>
            <w:tcW w:w="1080" w:type="dxa"/>
          </w:tcPr>
          <w:p w:rsidR="00012172" w:rsidRDefault="00012172">
            <w:pPr>
              <w:numPr>
                <w:ilvl w:val="12"/>
                <w:numId w:val="0"/>
              </w:numPr>
              <w:jc w:val="center"/>
              <w:rPr>
                <w:rFonts w:ascii="Arial" w:hAnsi="Arial" w:cs="Arial"/>
                <w:sz w:val="18"/>
                <w:szCs w:val="20"/>
                <w:lang w:val="en-AU"/>
              </w:rPr>
            </w:pPr>
            <w:r>
              <w:rPr>
                <w:rFonts w:ascii="Arial" w:hAnsi="Arial" w:cs="Arial"/>
                <w:sz w:val="18"/>
                <w:szCs w:val="20"/>
                <w:lang w:val="en-AU"/>
              </w:rPr>
              <w:t>100-1.000</w:t>
            </w:r>
          </w:p>
        </w:tc>
        <w:tc>
          <w:tcPr>
            <w:tcW w:w="1260" w:type="dxa"/>
          </w:tcPr>
          <w:p w:rsidR="00012172" w:rsidRDefault="00012172">
            <w:pPr>
              <w:numPr>
                <w:ilvl w:val="12"/>
                <w:numId w:val="0"/>
              </w:numPr>
              <w:jc w:val="center"/>
              <w:rPr>
                <w:rFonts w:ascii="Arial" w:hAnsi="Arial" w:cs="Arial"/>
                <w:sz w:val="18"/>
                <w:szCs w:val="20"/>
                <w:lang w:val="en-AU"/>
              </w:rPr>
            </w:pPr>
            <w:r>
              <w:rPr>
                <w:rFonts w:ascii="Arial" w:hAnsi="Arial" w:cs="Arial"/>
                <w:sz w:val="18"/>
                <w:szCs w:val="20"/>
                <w:lang w:val="en-AU"/>
              </w:rPr>
              <w:t>200-2.000</w:t>
            </w:r>
          </w:p>
        </w:tc>
        <w:tc>
          <w:tcPr>
            <w:tcW w:w="1260" w:type="dxa"/>
          </w:tcPr>
          <w:p w:rsidR="00012172" w:rsidRDefault="00012172">
            <w:pPr>
              <w:numPr>
                <w:ilvl w:val="12"/>
                <w:numId w:val="0"/>
              </w:numPr>
              <w:jc w:val="center"/>
              <w:rPr>
                <w:rFonts w:ascii="Arial" w:hAnsi="Arial" w:cs="Arial"/>
                <w:sz w:val="18"/>
                <w:szCs w:val="20"/>
                <w:lang w:val="en-AU"/>
              </w:rPr>
            </w:pPr>
            <w:r>
              <w:rPr>
                <w:rFonts w:ascii="Arial" w:hAnsi="Arial" w:cs="Arial"/>
                <w:sz w:val="18"/>
                <w:szCs w:val="20"/>
                <w:lang w:val="en-AU"/>
              </w:rPr>
              <w:t>1.200-4.000</w:t>
            </w:r>
          </w:p>
        </w:tc>
        <w:tc>
          <w:tcPr>
            <w:tcW w:w="1260" w:type="dxa"/>
            <w:tcBorders>
              <w:right w:val="single" w:sz="4" w:space="0" w:color="auto"/>
            </w:tcBorders>
          </w:tcPr>
          <w:p w:rsidR="00012172" w:rsidRDefault="00012172">
            <w:pPr>
              <w:numPr>
                <w:ilvl w:val="12"/>
                <w:numId w:val="0"/>
              </w:numPr>
              <w:jc w:val="center"/>
              <w:rPr>
                <w:rFonts w:ascii="Arial" w:hAnsi="Arial" w:cs="Arial"/>
                <w:sz w:val="18"/>
                <w:szCs w:val="20"/>
                <w:lang w:val="en-AU"/>
              </w:rPr>
            </w:pPr>
            <w:r>
              <w:rPr>
                <w:rFonts w:ascii="Arial" w:hAnsi="Arial" w:cs="Arial"/>
                <w:sz w:val="18"/>
                <w:szCs w:val="20"/>
                <w:lang w:val="en-AU"/>
              </w:rPr>
              <w:t>-</w:t>
            </w:r>
          </w:p>
        </w:tc>
        <w:tc>
          <w:tcPr>
            <w:tcW w:w="1018" w:type="dxa"/>
            <w:tcBorders>
              <w:left w:val="single" w:sz="4" w:space="0" w:color="auto"/>
            </w:tcBorders>
          </w:tcPr>
          <w:p w:rsidR="00012172" w:rsidRDefault="00012172">
            <w:pPr>
              <w:numPr>
                <w:ilvl w:val="12"/>
                <w:numId w:val="0"/>
              </w:numPr>
              <w:jc w:val="center"/>
              <w:rPr>
                <w:rFonts w:ascii="Arial" w:hAnsi="Arial" w:cs="Arial"/>
                <w:sz w:val="18"/>
                <w:szCs w:val="20"/>
                <w:lang w:val="en-AU"/>
              </w:rPr>
            </w:pPr>
            <w:r>
              <w:rPr>
                <w:rFonts w:ascii="Arial" w:hAnsi="Arial" w:cs="Arial"/>
                <w:sz w:val="18"/>
                <w:szCs w:val="20"/>
                <w:lang w:val="en-AU"/>
              </w:rPr>
              <w:t>3.000-10.000</w:t>
            </w:r>
          </w:p>
        </w:tc>
        <w:tc>
          <w:tcPr>
            <w:tcW w:w="1142" w:type="dxa"/>
          </w:tcPr>
          <w:p w:rsidR="00012172" w:rsidRDefault="00012172">
            <w:pPr>
              <w:numPr>
                <w:ilvl w:val="12"/>
                <w:numId w:val="0"/>
              </w:numPr>
              <w:ind w:right="269"/>
              <w:jc w:val="right"/>
              <w:rPr>
                <w:rFonts w:ascii="Arial" w:hAnsi="Arial" w:cs="Arial"/>
                <w:sz w:val="18"/>
                <w:szCs w:val="20"/>
                <w:lang w:val="en-AU"/>
              </w:rPr>
            </w:pPr>
            <w:r>
              <w:rPr>
                <w:rFonts w:ascii="Arial" w:hAnsi="Arial" w:cs="Arial"/>
                <w:sz w:val="18"/>
                <w:szCs w:val="20"/>
                <w:lang w:val="en-AU"/>
              </w:rPr>
              <w:t xml:space="preserve"> </w:t>
            </w:r>
            <w:smartTag w:uri="urn:schemas-microsoft-com:office:smarttags" w:element="metricconverter">
              <w:smartTagPr>
                <w:attr w:name="ProductID" w:val="100 m"/>
              </w:smartTagPr>
              <w:r>
                <w:rPr>
                  <w:rFonts w:ascii="Arial" w:hAnsi="Arial" w:cs="Arial"/>
                  <w:sz w:val="18"/>
                  <w:szCs w:val="20"/>
                  <w:lang w:val="en-AU"/>
                </w:rPr>
                <w:t>100 m</w:t>
              </w:r>
            </w:smartTag>
          </w:p>
        </w:tc>
        <w:tc>
          <w:tcPr>
            <w:tcW w:w="900" w:type="dxa"/>
            <w:tcBorders>
              <w:right w:val="single" w:sz="4" w:space="0" w:color="auto"/>
            </w:tcBorders>
          </w:tcPr>
          <w:p w:rsidR="00012172" w:rsidRDefault="00012172">
            <w:pPr>
              <w:numPr>
                <w:ilvl w:val="12"/>
                <w:numId w:val="0"/>
              </w:numPr>
              <w:jc w:val="center"/>
              <w:rPr>
                <w:rFonts w:ascii="Arial" w:hAnsi="Arial" w:cs="Arial"/>
                <w:sz w:val="18"/>
                <w:szCs w:val="20"/>
                <w:lang w:val="de-DE"/>
              </w:rPr>
            </w:pPr>
            <w:smartTag w:uri="urn:schemas-microsoft-com:office:smarttags" w:element="metricconverter">
              <w:smartTagPr>
                <w:attr w:name="ProductID" w:val="100 m"/>
              </w:smartTagPr>
              <w:r>
                <w:rPr>
                  <w:rFonts w:ascii="Arial" w:hAnsi="Arial" w:cs="Arial"/>
                  <w:sz w:val="18"/>
                  <w:szCs w:val="20"/>
                  <w:lang w:val="de-DE"/>
                </w:rPr>
                <w:t>100 m</w:t>
              </w:r>
            </w:smartTag>
          </w:p>
        </w:tc>
        <w:tc>
          <w:tcPr>
            <w:tcW w:w="900" w:type="dxa"/>
            <w:tcBorders>
              <w:left w:val="single" w:sz="4" w:space="0" w:color="auto"/>
            </w:tcBorders>
          </w:tcPr>
          <w:p w:rsidR="00012172" w:rsidRDefault="00012172">
            <w:pPr>
              <w:numPr>
                <w:ilvl w:val="12"/>
                <w:numId w:val="0"/>
              </w:numPr>
              <w:jc w:val="center"/>
              <w:rPr>
                <w:rFonts w:ascii="Arial" w:hAnsi="Arial" w:cs="Arial"/>
                <w:sz w:val="18"/>
                <w:szCs w:val="20"/>
                <w:lang w:val="de-DE"/>
              </w:rPr>
            </w:pPr>
            <w:r>
              <w:rPr>
                <w:rFonts w:ascii="Arial" w:hAnsi="Arial" w:cs="Arial"/>
                <w:sz w:val="18"/>
                <w:szCs w:val="20"/>
                <w:lang w:val="de-DE"/>
              </w:rPr>
              <w:t>100</w:t>
            </w:r>
          </w:p>
        </w:tc>
        <w:tc>
          <w:tcPr>
            <w:tcW w:w="819" w:type="dxa"/>
          </w:tcPr>
          <w:p w:rsidR="00012172" w:rsidRDefault="00012172">
            <w:pPr>
              <w:numPr>
                <w:ilvl w:val="12"/>
                <w:numId w:val="0"/>
              </w:numPr>
              <w:ind w:right="34"/>
              <w:jc w:val="right"/>
              <w:rPr>
                <w:rFonts w:ascii="Arial" w:hAnsi="Arial" w:cs="Arial"/>
                <w:sz w:val="18"/>
                <w:szCs w:val="20"/>
                <w:lang w:val="de-DE"/>
              </w:rPr>
            </w:pPr>
            <w:smartTag w:uri="urn:schemas-microsoft-com:office:smarttags" w:element="metricconverter">
              <w:smartTagPr>
                <w:attr w:name="ProductID" w:val="50 m"/>
              </w:smartTagPr>
              <w:r>
                <w:rPr>
                  <w:rFonts w:ascii="Arial" w:hAnsi="Arial" w:cs="Arial"/>
                  <w:sz w:val="18"/>
                  <w:szCs w:val="20"/>
                  <w:lang w:val="de-DE"/>
                </w:rPr>
                <w:t>50 m</w:t>
              </w:r>
            </w:smartTag>
          </w:p>
        </w:tc>
      </w:tr>
      <w:tr w:rsidR="00012172">
        <w:tblPrEx>
          <w:tblCellMar>
            <w:top w:w="0" w:type="dxa"/>
            <w:bottom w:w="0" w:type="dxa"/>
          </w:tblCellMar>
        </w:tblPrEx>
        <w:tc>
          <w:tcPr>
            <w:tcW w:w="1080" w:type="dxa"/>
          </w:tcPr>
          <w:p w:rsidR="00012172" w:rsidRDefault="00012172">
            <w:pPr>
              <w:numPr>
                <w:ilvl w:val="12"/>
                <w:numId w:val="0"/>
              </w:numPr>
              <w:jc w:val="center"/>
              <w:rPr>
                <w:rFonts w:ascii="Arial" w:hAnsi="Arial" w:cs="Arial"/>
                <w:sz w:val="18"/>
                <w:szCs w:val="20"/>
                <w:lang w:val="de-DE"/>
              </w:rPr>
            </w:pPr>
            <w:r>
              <w:rPr>
                <w:rFonts w:ascii="Arial" w:hAnsi="Arial" w:cs="Arial"/>
                <w:sz w:val="18"/>
                <w:szCs w:val="20"/>
                <w:lang w:val="de-DE"/>
              </w:rPr>
              <w:t>preko 1.000</w:t>
            </w:r>
          </w:p>
        </w:tc>
        <w:tc>
          <w:tcPr>
            <w:tcW w:w="1260" w:type="dxa"/>
          </w:tcPr>
          <w:p w:rsidR="00012172" w:rsidRDefault="00012172">
            <w:pPr>
              <w:numPr>
                <w:ilvl w:val="12"/>
                <w:numId w:val="0"/>
              </w:numPr>
              <w:jc w:val="center"/>
              <w:rPr>
                <w:rFonts w:ascii="Arial" w:hAnsi="Arial" w:cs="Arial"/>
                <w:sz w:val="18"/>
                <w:szCs w:val="20"/>
                <w:lang w:val="de-DE"/>
              </w:rPr>
            </w:pPr>
            <w:r>
              <w:rPr>
                <w:rFonts w:ascii="Arial" w:hAnsi="Arial" w:cs="Arial"/>
                <w:sz w:val="18"/>
                <w:szCs w:val="20"/>
                <w:lang w:val="de-DE"/>
              </w:rPr>
              <w:t>preko</w:t>
            </w:r>
          </w:p>
          <w:p w:rsidR="00012172" w:rsidRDefault="00012172">
            <w:pPr>
              <w:numPr>
                <w:ilvl w:val="12"/>
                <w:numId w:val="0"/>
              </w:numPr>
              <w:jc w:val="center"/>
              <w:rPr>
                <w:rFonts w:ascii="Arial" w:hAnsi="Arial" w:cs="Arial"/>
                <w:sz w:val="18"/>
                <w:szCs w:val="20"/>
                <w:lang w:val="de-DE"/>
              </w:rPr>
            </w:pPr>
            <w:r>
              <w:rPr>
                <w:rFonts w:ascii="Arial" w:hAnsi="Arial" w:cs="Arial"/>
                <w:sz w:val="18"/>
                <w:szCs w:val="20"/>
                <w:lang w:val="de-DE"/>
              </w:rPr>
              <w:t>2.000</w:t>
            </w:r>
          </w:p>
        </w:tc>
        <w:tc>
          <w:tcPr>
            <w:tcW w:w="1260" w:type="dxa"/>
          </w:tcPr>
          <w:p w:rsidR="00012172" w:rsidRDefault="00012172">
            <w:pPr>
              <w:numPr>
                <w:ilvl w:val="12"/>
                <w:numId w:val="0"/>
              </w:numPr>
              <w:jc w:val="center"/>
              <w:rPr>
                <w:rFonts w:ascii="Arial" w:hAnsi="Arial" w:cs="Arial"/>
                <w:sz w:val="18"/>
                <w:szCs w:val="20"/>
                <w:lang w:val="de-DE"/>
              </w:rPr>
            </w:pPr>
            <w:r>
              <w:rPr>
                <w:rFonts w:ascii="Arial" w:hAnsi="Arial" w:cs="Arial"/>
                <w:sz w:val="18"/>
                <w:szCs w:val="20"/>
                <w:lang w:val="de-DE"/>
              </w:rPr>
              <w:t>preko</w:t>
            </w:r>
          </w:p>
          <w:p w:rsidR="00012172" w:rsidRDefault="00012172">
            <w:pPr>
              <w:numPr>
                <w:ilvl w:val="12"/>
                <w:numId w:val="0"/>
              </w:numPr>
              <w:jc w:val="center"/>
              <w:rPr>
                <w:rFonts w:ascii="Arial" w:hAnsi="Arial" w:cs="Arial"/>
                <w:sz w:val="18"/>
                <w:szCs w:val="20"/>
                <w:lang w:val="de-DE"/>
              </w:rPr>
            </w:pPr>
            <w:r>
              <w:rPr>
                <w:rFonts w:ascii="Arial" w:hAnsi="Arial" w:cs="Arial"/>
                <w:sz w:val="18"/>
                <w:szCs w:val="20"/>
                <w:lang w:val="de-DE"/>
              </w:rPr>
              <w:t>4.000</w:t>
            </w:r>
          </w:p>
        </w:tc>
        <w:tc>
          <w:tcPr>
            <w:tcW w:w="1260" w:type="dxa"/>
            <w:tcBorders>
              <w:right w:val="single" w:sz="4" w:space="0" w:color="auto"/>
            </w:tcBorders>
          </w:tcPr>
          <w:p w:rsidR="00012172" w:rsidRDefault="00012172">
            <w:pPr>
              <w:numPr>
                <w:ilvl w:val="12"/>
                <w:numId w:val="0"/>
              </w:numPr>
              <w:jc w:val="center"/>
              <w:rPr>
                <w:rFonts w:ascii="Arial" w:hAnsi="Arial" w:cs="Arial"/>
                <w:sz w:val="18"/>
                <w:szCs w:val="20"/>
                <w:lang w:val="de-DE"/>
              </w:rPr>
            </w:pPr>
            <w:r>
              <w:rPr>
                <w:rFonts w:ascii="Arial" w:hAnsi="Arial" w:cs="Arial"/>
                <w:sz w:val="18"/>
                <w:szCs w:val="20"/>
                <w:lang w:val="de-DE"/>
              </w:rPr>
              <w:t>-</w:t>
            </w:r>
          </w:p>
        </w:tc>
        <w:tc>
          <w:tcPr>
            <w:tcW w:w="1018" w:type="dxa"/>
            <w:tcBorders>
              <w:left w:val="single" w:sz="4" w:space="0" w:color="auto"/>
            </w:tcBorders>
          </w:tcPr>
          <w:p w:rsidR="00012172" w:rsidRDefault="00012172">
            <w:pPr>
              <w:numPr>
                <w:ilvl w:val="12"/>
                <w:numId w:val="0"/>
              </w:numPr>
              <w:jc w:val="center"/>
              <w:rPr>
                <w:rFonts w:ascii="Arial" w:hAnsi="Arial" w:cs="Arial"/>
                <w:sz w:val="18"/>
                <w:szCs w:val="20"/>
                <w:lang w:val="de-DE"/>
              </w:rPr>
            </w:pPr>
            <w:r>
              <w:rPr>
                <w:rFonts w:ascii="Arial" w:hAnsi="Arial" w:cs="Arial"/>
                <w:sz w:val="18"/>
                <w:szCs w:val="20"/>
                <w:lang w:val="de-DE"/>
              </w:rPr>
              <w:t>Preko</w:t>
            </w:r>
          </w:p>
          <w:p w:rsidR="00012172" w:rsidRDefault="00012172">
            <w:pPr>
              <w:numPr>
                <w:ilvl w:val="12"/>
                <w:numId w:val="0"/>
              </w:numPr>
              <w:jc w:val="center"/>
              <w:rPr>
                <w:rFonts w:ascii="Arial" w:hAnsi="Arial" w:cs="Arial"/>
                <w:sz w:val="18"/>
                <w:szCs w:val="20"/>
                <w:lang w:val="de-DE"/>
              </w:rPr>
            </w:pPr>
            <w:r>
              <w:rPr>
                <w:rFonts w:ascii="Arial" w:hAnsi="Arial" w:cs="Arial"/>
                <w:sz w:val="18"/>
                <w:szCs w:val="20"/>
                <w:lang w:val="de-DE"/>
              </w:rPr>
              <w:t>10.000</w:t>
            </w:r>
          </w:p>
        </w:tc>
        <w:tc>
          <w:tcPr>
            <w:tcW w:w="1142" w:type="dxa"/>
          </w:tcPr>
          <w:p w:rsidR="00012172" w:rsidRDefault="00012172">
            <w:pPr>
              <w:numPr>
                <w:ilvl w:val="12"/>
                <w:numId w:val="0"/>
              </w:numPr>
              <w:ind w:right="269"/>
              <w:jc w:val="right"/>
              <w:rPr>
                <w:rFonts w:ascii="Arial" w:hAnsi="Arial" w:cs="Arial"/>
                <w:sz w:val="18"/>
                <w:szCs w:val="20"/>
                <w:lang w:val="de-DE"/>
              </w:rPr>
            </w:pPr>
            <w:smartTag w:uri="urn:schemas-microsoft-com:office:smarttags" w:element="metricconverter">
              <w:smartTagPr>
                <w:attr w:name="ProductID" w:val="200 m"/>
              </w:smartTagPr>
              <w:r>
                <w:rPr>
                  <w:rFonts w:ascii="Arial" w:hAnsi="Arial" w:cs="Arial"/>
                  <w:sz w:val="18"/>
                  <w:szCs w:val="20"/>
                  <w:lang w:val="de-DE"/>
                </w:rPr>
                <w:t>200 m</w:t>
              </w:r>
            </w:smartTag>
          </w:p>
        </w:tc>
        <w:tc>
          <w:tcPr>
            <w:tcW w:w="900" w:type="dxa"/>
            <w:tcBorders>
              <w:right w:val="single" w:sz="4" w:space="0" w:color="auto"/>
            </w:tcBorders>
          </w:tcPr>
          <w:p w:rsidR="00012172" w:rsidRDefault="00012172">
            <w:pPr>
              <w:numPr>
                <w:ilvl w:val="12"/>
                <w:numId w:val="0"/>
              </w:numPr>
              <w:jc w:val="center"/>
              <w:rPr>
                <w:rFonts w:ascii="Arial" w:hAnsi="Arial" w:cs="Arial"/>
                <w:sz w:val="18"/>
                <w:szCs w:val="20"/>
                <w:lang w:val="de-DE"/>
              </w:rPr>
            </w:pPr>
            <w:smartTag w:uri="urn:schemas-microsoft-com:office:smarttags" w:element="metricconverter">
              <w:smartTagPr>
                <w:attr w:name="ProductID" w:val="200 m"/>
              </w:smartTagPr>
              <w:r>
                <w:rPr>
                  <w:rFonts w:ascii="Arial" w:hAnsi="Arial" w:cs="Arial"/>
                  <w:sz w:val="18"/>
                  <w:szCs w:val="20"/>
                  <w:lang w:val="de-DE"/>
                </w:rPr>
                <w:t>200 m</w:t>
              </w:r>
            </w:smartTag>
          </w:p>
        </w:tc>
        <w:tc>
          <w:tcPr>
            <w:tcW w:w="900" w:type="dxa"/>
            <w:tcBorders>
              <w:left w:val="single" w:sz="4" w:space="0" w:color="auto"/>
            </w:tcBorders>
          </w:tcPr>
          <w:p w:rsidR="00012172" w:rsidRDefault="00012172">
            <w:pPr>
              <w:numPr>
                <w:ilvl w:val="12"/>
                <w:numId w:val="0"/>
              </w:numPr>
              <w:jc w:val="center"/>
              <w:rPr>
                <w:rFonts w:ascii="Arial" w:hAnsi="Arial" w:cs="Arial"/>
                <w:sz w:val="18"/>
                <w:szCs w:val="20"/>
                <w:lang w:val="de-DE"/>
              </w:rPr>
            </w:pPr>
            <w:r>
              <w:rPr>
                <w:rFonts w:ascii="Arial" w:hAnsi="Arial" w:cs="Arial"/>
                <w:sz w:val="18"/>
                <w:szCs w:val="20"/>
                <w:lang w:val="de-DE"/>
              </w:rPr>
              <w:t>150</w:t>
            </w:r>
          </w:p>
        </w:tc>
        <w:tc>
          <w:tcPr>
            <w:tcW w:w="819" w:type="dxa"/>
          </w:tcPr>
          <w:p w:rsidR="00012172" w:rsidRDefault="00012172">
            <w:pPr>
              <w:numPr>
                <w:ilvl w:val="12"/>
                <w:numId w:val="0"/>
              </w:numPr>
              <w:ind w:right="34"/>
              <w:jc w:val="right"/>
              <w:rPr>
                <w:rFonts w:ascii="Arial" w:hAnsi="Arial" w:cs="Arial"/>
                <w:sz w:val="18"/>
                <w:szCs w:val="20"/>
                <w:lang w:val="de-DE"/>
              </w:rPr>
            </w:pPr>
            <w:smartTag w:uri="urn:schemas-microsoft-com:office:smarttags" w:element="metricconverter">
              <w:smartTagPr>
                <w:attr w:name="ProductID" w:val="100 m"/>
              </w:smartTagPr>
              <w:r>
                <w:rPr>
                  <w:rFonts w:ascii="Arial" w:hAnsi="Arial" w:cs="Arial"/>
                  <w:sz w:val="18"/>
                  <w:szCs w:val="20"/>
                  <w:lang w:val="de-DE"/>
                </w:rPr>
                <w:t>100 m</w:t>
              </w:r>
            </w:smartTag>
          </w:p>
        </w:tc>
      </w:tr>
    </w:tbl>
    <w:p w:rsidR="00012172" w:rsidRDefault="00012172">
      <w:pPr>
        <w:numPr>
          <w:ilvl w:val="12"/>
          <w:numId w:val="0"/>
        </w:numPr>
        <w:jc w:val="both"/>
        <w:rPr>
          <w:b/>
          <w:i/>
          <w:lang w:val="de-DE"/>
        </w:rPr>
      </w:pPr>
    </w:p>
    <w:p w:rsidR="00012172" w:rsidRDefault="000A0C3F">
      <w:pPr>
        <w:numPr>
          <w:ilvl w:val="12"/>
          <w:numId w:val="0"/>
        </w:numPr>
        <w:jc w:val="both"/>
        <w:rPr>
          <w:szCs w:val="22"/>
          <w:lang w:val="de-DE"/>
        </w:rPr>
      </w:pPr>
      <w:r>
        <w:rPr>
          <w:szCs w:val="22"/>
        </w:rPr>
        <w:t>(6</w:t>
      </w:r>
      <w:r w:rsidR="00012172">
        <w:rPr>
          <w:szCs w:val="22"/>
        </w:rPr>
        <w:t xml:space="preserve">) </w:t>
      </w:r>
      <w:r w:rsidR="00012172">
        <w:rPr>
          <w:szCs w:val="22"/>
          <w:lang w:val="de-DE"/>
        </w:rPr>
        <w:t>Izuzetno, udaljenost tovilišta od stambene građevine na usamljenoj izgrađenoj građevinskoj parceli može biti i manja ukoliko je o tome suglasan vlasnik građevine na navedenom građevinskom području, pod uvjetom da je tovilište propisno udaljeno od drugih građevinskih područja.</w:t>
      </w:r>
    </w:p>
    <w:p w:rsidR="00012172" w:rsidRDefault="00012172">
      <w:pPr>
        <w:numPr>
          <w:ilvl w:val="12"/>
          <w:numId w:val="0"/>
        </w:numPr>
        <w:jc w:val="both"/>
        <w:rPr>
          <w:rFonts w:ascii="Arial" w:hAnsi="Arial" w:cs="Arial"/>
          <w:sz w:val="22"/>
          <w:szCs w:val="22"/>
          <w:lang w:val="de-DE"/>
        </w:rPr>
      </w:pPr>
    </w:p>
    <w:p w:rsidR="00012172" w:rsidRDefault="000A0C3F">
      <w:pPr>
        <w:numPr>
          <w:ilvl w:val="12"/>
          <w:numId w:val="0"/>
        </w:numPr>
        <w:jc w:val="both"/>
        <w:rPr>
          <w:szCs w:val="22"/>
          <w:lang w:val="de-DE"/>
        </w:rPr>
      </w:pPr>
      <w:r>
        <w:rPr>
          <w:szCs w:val="22"/>
        </w:rPr>
        <w:t>(7</w:t>
      </w:r>
      <w:r w:rsidR="00012172">
        <w:rPr>
          <w:szCs w:val="22"/>
        </w:rPr>
        <w:t xml:space="preserve">) </w:t>
      </w:r>
      <w:r w:rsidR="00012172">
        <w:rPr>
          <w:szCs w:val="22"/>
          <w:lang w:val="de-DE"/>
        </w:rPr>
        <w:t xml:space="preserve">Za gospodarske građevine za uzgoj životinja, što će se graditi na parceli zatečenog gospodarstva, udaljenost od stambene zgrade tog gospodarstva ne smije biti manja od </w:t>
      </w:r>
      <w:smartTag w:uri="urn:schemas-microsoft-com:office:smarttags" w:element="metricconverter">
        <w:smartTagPr>
          <w:attr w:name="ProductID" w:val="10 m"/>
        </w:smartTagPr>
        <w:r w:rsidR="00012172">
          <w:rPr>
            <w:szCs w:val="22"/>
            <w:lang w:val="de-DE"/>
          </w:rPr>
          <w:t>10 m</w:t>
        </w:r>
      </w:smartTag>
      <w:r w:rsidR="00012172">
        <w:rPr>
          <w:szCs w:val="22"/>
          <w:lang w:val="de-DE"/>
        </w:rPr>
        <w:t>, uz uvjet da su propisno udaljene od ostalih lokaliteta utvrđenih u tablici iz stavka 3. ovoga članka.</w:t>
      </w:r>
    </w:p>
    <w:p w:rsidR="00012172" w:rsidRDefault="00012172">
      <w:pPr>
        <w:numPr>
          <w:ilvl w:val="12"/>
          <w:numId w:val="0"/>
        </w:numPr>
        <w:rPr>
          <w:rFonts w:ascii="Arial" w:hAnsi="Arial" w:cs="Arial"/>
          <w:b/>
          <w:sz w:val="22"/>
          <w:szCs w:val="22"/>
        </w:rPr>
      </w:pPr>
    </w:p>
    <w:p w:rsidR="00012172" w:rsidRDefault="00012172">
      <w:pPr>
        <w:numPr>
          <w:ilvl w:val="12"/>
          <w:numId w:val="0"/>
        </w:numPr>
        <w:rPr>
          <w:rFonts w:ascii="Arial" w:hAnsi="Arial" w:cs="Arial"/>
          <w:b/>
          <w:sz w:val="22"/>
          <w:szCs w:val="22"/>
        </w:rPr>
      </w:pPr>
    </w:p>
    <w:p w:rsidR="00012172" w:rsidRDefault="00012172">
      <w:pPr>
        <w:numPr>
          <w:ilvl w:val="12"/>
          <w:numId w:val="0"/>
        </w:numPr>
        <w:rPr>
          <w:b/>
          <w:szCs w:val="22"/>
        </w:rPr>
      </w:pPr>
      <w:r>
        <w:rPr>
          <w:b/>
          <w:szCs w:val="22"/>
          <w:lang w:val="de-DE"/>
        </w:rPr>
        <w:t>Ostale</w:t>
      </w:r>
      <w:r>
        <w:rPr>
          <w:b/>
          <w:szCs w:val="22"/>
        </w:rPr>
        <w:t xml:space="preserve"> </w:t>
      </w:r>
      <w:r>
        <w:rPr>
          <w:b/>
          <w:szCs w:val="22"/>
          <w:lang w:val="de-DE"/>
        </w:rPr>
        <w:t>poljoprivredne</w:t>
      </w:r>
      <w:r>
        <w:rPr>
          <w:b/>
          <w:szCs w:val="22"/>
        </w:rPr>
        <w:t xml:space="preserve"> </w:t>
      </w:r>
      <w:r>
        <w:rPr>
          <w:b/>
          <w:szCs w:val="22"/>
          <w:lang w:val="de-DE"/>
        </w:rPr>
        <w:t>i</w:t>
      </w:r>
      <w:r>
        <w:rPr>
          <w:b/>
          <w:szCs w:val="22"/>
        </w:rPr>
        <w:t xml:space="preserve"> </w:t>
      </w:r>
      <w:r>
        <w:rPr>
          <w:b/>
          <w:szCs w:val="22"/>
          <w:lang w:val="de-DE"/>
        </w:rPr>
        <w:t>gospodarske</w:t>
      </w:r>
      <w:r>
        <w:rPr>
          <w:b/>
          <w:szCs w:val="22"/>
        </w:rPr>
        <w:t xml:space="preserve"> </w:t>
      </w:r>
      <w:r>
        <w:rPr>
          <w:b/>
          <w:szCs w:val="22"/>
          <w:lang w:val="de-DE"/>
        </w:rPr>
        <w:t>gra</w:t>
      </w:r>
      <w:r>
        <w:rPr>
          <w:b/>
          <w:szCs w:val="22"/>
        </w:rPr>
        <w:t>đ</w:t>
      </w:r>
      <w:r>
        <w:rPr>
          <w:b/>
          <w:szCs w:val="22"/>
          <w:lang w:val="de-DE"/>
        </w:rPr>
        <w:t>evine</w:t>
      </w:r>
      <w:r>
        <w:rPr>
          <w:b/>
          <w:szCs w:val="22"/>
        </w:rPr>
        <w:t>:</w:t>
      </w:r>
    </w:p>
    <w:p w:rsidR="00012172" w:rsidRDefault="00012172">
      <w:pPr>
        <w:pStyle w:val="StandardWeb"/>
        <w:numPr>
          <w:ilvl w:val="12"/>
          <w:numId w:val="0"/>
        </w:numPr>
        <w:spacing w:before="0" w:beforeAutospacing="0" w:after="0" w:afterAutospacing="0"/>
      </w:pPr>
    </w:p>
    <w:p w:rsidR="00012172" w:rsidRDefault="00012172">
      <w:pPr>
        <w:numPr>
          <w:ilvl w:val="12"/>
          <w:numId w:val="0"/>
        </w:numPr>
        <w:jc w:val="center"/>
        <w:rPr>
          <w:szCs w:val="22"/>
        </w:rPr>
      </w:pPr>
      <w:r>
        <w:rPr>
          <w:szCs w:val="22"/>
        </w:rPr>
        <w:t>Č</w:t>
      </w:r>
      <w:r>
        <w:rPr>
          <w:szCs w:val="22"/>
          <w:lang w:val="de-DE"/>
        </w:rPr>
        <w:t>lanak</w:t>
      </w:r>
      <w:r w:rsidR="00257D68">
        <w:rPr>
          <w:szCs w:val="22"/>
        </w:rPr>
        <w:t xml:space="preserve"> 66</w:t>
      </w:r>
      <w:r>
        <w:rPr>
          <w:szCs w:val="22"/>
        </w:rPr>
        <w:t>.</w:t>
      </w:r>
    </w:p>
    <w:p w:rsidR="00012172" w:rsidRDefault="00012172">
      <w:pPr>
        <w:numPr>
          <w:ilvl w:val="12"/>
          <w:numId w:val="0"/>
        </w:numPr>
        <w:jc w:val="both"/>
        <w:rPr>
          <w:szCs w:val="22"/>
        </w:rPr>
      </w:pPr>
      <w:r>
        <w:rPr>
          <w:szCs w:val="22"/>
        </w:rPr>
        <w:t xml:space="preserve">(1) </w:t>
      </w:r>
      <w:r>
        <w:rPr>
          <w:szCs w:val="22"/>
          <w:lang w:val="de-DE"/>
        </w:rPr>
        <w:t>Ukoliko</w:t>
      </w:r>
      <w:r>
        <w:rPr>
          <w:szCs w:val="22"/>
        </w:rPr>
        <w:t xml:space="preserve"> </w:t>
      </w:r>
      <w:r>
        <w:rPr>
          <w:szCs w:val="22"/>
          <w:lang w:val="de-DE"/>
        </w:rPr>
        <w:t>se</w:t>
      </w:r>
      <w:r>
        <w:rPr>
          <w:szCs w:val="22"/>
        </w:rPr>
        <w:t xml:space="preserve"> </w:t>
      </w:r>
      <w:r>
        <w:rPr>
          <w:szCs w:val="22"/>
          <w:lang w:val="de-DE"/>
        </w:rPr>
        <w:t>izgra</w:t>
      </w:r>
      <w:r>
        <w:rPr>
          <w:szCs w:val="22"/>
        </w:rPr>
        <w:t>đ</w:t>
      </w:r>
      <w:r>
        <w:rPr>
          <w:szCs w:val="22"/>
          <w:lang w:val="de-DE"/>
        </w:rPr>
        <w:t>uju</w:t>
      </w:r>
      <w:r>
        <w:rPr>
          <w:szCs w:val="22"/>
        </w:rPr>
        <w:t xml:space="preserve"> </w:t>
      </w:r>
      <w:r>
        <w:rPr>
          <w:szCs w:val="22"/>
          <w:lang w:val="de-DE"/>
        </w:rPr>
        <w:t>izvan</w:t>
      </w:r>
      <w:r>
        <w:rPr>
          <w:szCs w:val="22"/>
        </w:rPr>
        <w:t xml:space="preserve"> </w:t>
      </w:r>
      <w:r>
        <w:rPr>
          <w:szCs w:val="22"/>
          <w:lang w:val="de-DE"/>
        </w:rPr>
        <w:t>gra</w:t>
      </w:r>
      <w:r>
        <w:rPr>
          <w:szCs w:val="22"/>
        </w:rPr>
        <w:t>đ</w:t>
      </w:r>
      <w:r>
        <w:rPr>
          <w:szCs w:val="22"/>
          <w:lang w:val="de-DE"/>
        </w:rPr>
        <w:t>evinskog</w:t>
      </w:r>
      <w:r>
        <w:rPr>
          <w:szCs w:val="22"/>
        </w:rPr>
        <w:t xml:space="preserve"> </w:t>
      </w:r>
      <w:r>
        <w:rPr>
          <w:szCs w:val="22"/>
          <w:lang w:val="de-DE"/>
        </w:rPr>
        <w:t>podru</w:t>
      </w:r>
      <w:r>
        <w:rPr>
          <w:szCs w:val="22"/>
        </w:rPr>
        <w:t>č</w:t>
      </w:r>
      <w:r>
        <w:rPr>
          <w:szCs w:val="22"/>
          <w:lang w:val="de-DE"/>
        </w:rPr>
        <w:t>ja</w:t>
      </w:r>
      <w:r>
        <w:rPr>
          <w:szCs w:val="22"/>
        </w:rPr>
        <w:t xml:space="preserve"> </w:t>
      </w:r>
      <w:r>
        <w:rPr>
          <w:szCs w:val="22"/>
          <w:lang w:val="de-DE"/>
        </w:rPr>
        <w:t>naselja</w:t>
      </w:r>
      <w:r>
        <w:rPr>
          <w:szCs w:val="22"/>
        </w:rPr>
        <w:t xml:space="preserve">, </w:t>
      </w:r>
      <w:r>
        <w:rPr>
          <w:szCs w:val="22"/>
          <w:lang w:val="de-DE"/>
        </w:rPr>
        <w:t>poljoprivredne</w:t>
      </w:r>
      <w:r>
        <w:rPr>
          <w:szCs w:val="22"/>
        </w:rPr>
        <w:t xml:space="preserve"> </w:t>
      </w:r>
      <w:r>
        <w:rPr>
          <w:szCs w:val="22"/>
          <w:lang w:val="de-DE"/>
        </w:rPr>
        <w:t>gospodarske</w:t>
      </w:r>
      <w:r>
        <w:rPr>
          <w:szCs w:val="22"/>
        </w:rPr>
        <w:t xml:space="preserve"> </w:t>
      </w:r>
      <w:r>
        <w:rPr>
          <w:szCs w:val="22"/>
          <w:lang w:val="de-DE"/>
        </w:rPr>
        <w:t>gra</w:t>
      </w:r>
      <w:r>
        <w:rPr>
          <w:szCs w:val="22"/>
        </w:rPr>
        <w:t>đ</w:t>
      </w:r>
      <w:r>
        <w:rPr>
          <w:szCs w:val="22"/>
          <w:lang w:val="de-DE"/>
        </w:rPr>
        <w:t>evine</w:t>
      </w:r>
      <w:r>
        <w:rPr>
          <w:szCs w:val="22"/>
        </w:rPr>
        <w:t xml:space="preserve"> </w:t>
      </w:r>
      <w:r>
        <w:rPr>
          <w:szCs w:val="22"/>
          <w:lang w:val="de-DE"/>
        </w:rPr>
        <w:t>mogu</w:t>
      </w:r>
      <w:r>
        <w:rPr>
          <w:szCs w:val="22"/>
        </w:rPr>
        <w:t xml:space="preserve"> </w:t>
      </w:r>
      <w:r>
        <w:rPr>
          <w:szCs w:val="22"/>
          <w:lang w:val="de-DE"/>
        </w:rPr>
        <w:t>se</w:t>
      </w:r>
      <w:r>
        <w:rPr>
          <w:szCs w:val="22"/>
        </w:rPr>
        <w:t xml:space="preserve"> </w:t>
      </w:r>
      <w:r>
        <w:rPr>
          <w:szCs w:val="22"/>
          <w:lang w:val="de-DE"/>
        </w:rPr>
        <w:t>graditi</w:t>
      </w:r>
      <w:r>
        <w:rPr>
          <w:szCs w:val="22"/>
        </w:rPr>
        <w:t xml:space="preserve"> </w:t>
      </w:r>
      <w:r>
        <w:rPr>
          <w:szCs w:val="22"/>
          <w:lang w:val="de-DE"/>
        </w:rPr>
        <w:t>samo</w:t>
      </w:r>
      <w:r>
        <w:rPr>
          <w:szCs w:val="22"/>
        </w:rPr>
        <w:t xml:space="preserve"> </w:t>
      </w:r>
      <w:r>
        <w:rPr>
          <w:szCs w:val="22"/>
          <w:lang w:val="de-DE"/>
        </w:rPr>
        <w:t>na</w:t>
      </w:r>
      <w:r>
        <w:rPr>
          <w:szCs w:val="22"/>
        </w:rPr>
        <w:t xml:space="preserve"> </w:t>
      </w:r>
      <w:r>
        <w:rPr>
          <w:szCs w:val="22"/>
          <w:lang w:val="de-DE"/>
        </w:rPr>
        <w:t>poljoprivrednim</w:t>
      </w:r>
      <w:r>
        <w:rPr>
          <w:szCs w:val="22"/>
        </w:rPr>
        <w:t xml:space="preserve"> </w:t>
      </w:r>
      <w:r>
        <w:rPr>
          <w:szCs w:val="22"/>
          <w:lang w:val="de-DE"/>
        </w:rPr>
        <w:t>parcelama</w:t>
      </w:r>
      <w:r>
        <w:rPr>
          <w:szCs w:val="22"/>
        </w:rPr>
        <w:t xml:space="preserve"> č</w:t>
      </w:r>
      <w:r>
        <w:rPr>
          <w:szCs w:val="22"/>
          <w:lang w:val="de-DE"/>
        </w:rPr>
        <w:t>ija</w:t>
      </w:r>
      <w:r>
        <w:rPr>
          <w:szCs w:val="22"/>
        </w:rPr>
        <w:t xml:space="preserve"> </w:t>
      </w:r>
      <w:r>
        <w:rPr>
          <w:szCs w:val="22"/>
          <w:lang w:val="de-DE"/>
        </w:rPr>
        <w:t>povr</w:t>
      </w:r>
      <w:r>
        <w:rPr>
          <w:szCs w:val="22"/>
        </w:rPr>
        <w:t>š</w:t>
      </w:r>
      <w:r>
        <w:rPr>
          <w:szCs w:val="22"/>
          <w:lang w:val="de-DE"/>
        </w:rPr>
        <w:t>ina</w:t>
      </w:r>
      <w:r>
        <w:rPr>
          <w:szCs w:val="22"/>
        </w:rPr>
        <w:t xml:space="preserve"> </w:t>
      </w:r>
      <w:r>
        <w:rPr>
          <w:szCs w:val="22"/>
          <w:lang w:val="de-DE"/>
        </w:rPr>
        <w:t>nije</w:t>
      </w:r>
      <w:r>
        <w:rPr>
          <w:szCs w:val="22"/>
        </w:rPr>
        <w:t xml:space="preserve"> </w:t>
      </w:r>
      <w:r>
        <w:rPr>
          <w:szCs w:val="22"/>
          <w:lang w:val="de-DE"/>
        </w:rPr>
        <w:t>manja</w:t>
      </w:r>
      <w:r>
        <w:rPr>
          <w:szCs w:val="22"/>
        </w:rPr>
        <w:t xml:space="preserve"> </w:t>
      </w:r>
      <w:r>
        <w:rPr>
          <w:szCs w:val="22"/>
          <w:lang w:val="de-DE"/>
        </w:rPr>
        <w:t>od</w:t>
      </w:r>
      <w:r>
        <w:rPr>
          <w:szCs w:val="22"/>
        </w:rPr>
        <w:t xml:space="preserve"> </w:t>
      </w:r>
      <w:smartTag w:uri="urn:schemas-microsoft-com:office:smarttags" w:element="metricconverter">
        <w:smartTagPr>
          <w:attr w:name="ProductID" w:val="2.000 m2"/>
        </w:smartTagPr>
        <w:r>
          <w:rPr>
            <w:szCs w:val="22"/>
          </w:rPr>
          <w:t xml:space="preserve">2.000 </w:t>
        </w:r>
        <w:r>
          <w:rPr>
            <w:szCs w:val="22"/>
            <w:lang w:val="de-DE"/>
          </w:rPr>
          <w:t>m</w:t>
        </w:r>
        <w:r>
          <w:rPr>
            <w:szCs w:val="22"/>
            <w:vertAlign w:val="superscript"/>
          </w:rPr>
          <w:t>2</w:t>
        </w:r>
      </w:smartTag>
      <w:r>
        <w:rPr>
          <w:szCs w:val="22"/>
        </w:rPr>
        <w:t>.</w:t>
      </w:r>
    </w:p>
    <w:p w:rsidR="00012172" w:rsidRDefault="00012172">
      <w:pPr>
        <w:numPr>
          <w:ilvl w:val="12"/>
          <w:numId w:val="0"/>
        </w:numPr>
        <w:jc w:val="both"/>
        <w:rPr>
          <w:szCs w:val="22"/>
        </w:rPr>
      </w:pPr>
    </w:p>
    <w:p w:rsidR="00012172" w:rsidRDefault="00012172">
      <w:pPr>
        <w:numPr>
          <w:ilvl w:val="12"/>
          <w:numId w:val="0"/>
        </w:numPr>
        <w:jc w:val="both"/>
        <w:rPr>
          <w:szCs w:val="22"/>
        </w:rPr>
      </w:pPr>
      <w:r>
        <w:rPr>
          <w:szCs w:val="22"/>
        </w:rPr>
        <w:t xml:space="preserve">(2) </w:t>
      </w:r>
      <w:r>
        <w:rPr>
          <w:szCs w:val="22"/>
          <w:lang w:val="de-DE"/>
        </w:rPr>
        <w:t>Poljoprivredno</w:t>
      </w:r>
      <w:r>
        <w:rPr>
          <w:szCs w:val="22"/>
        </w:rPr>
        <w:t xml:space="preserve"> </w:t>
      </w:r>
      <w:r>
        <w:rPr>
          <w:szCs w:val="22"/>
          <w:lang w:val="de-DE"/>
        </w:rPr>
        <w:t>zemlji</w:t>
      </w:r>
      <w:r>
        <w:rPr>
          <w:szCs w:val="22"/>
        </w:rPr>
        <w:t>š</w:t>
      </w:r>
      <w:r>
        <w:rPr>
          <w:szCs w:val="22"/>
          <w:lang w:val="de-DE"/>
        </w:rPr>
        <w:t>te</w:t>
      </w:r>
      <w:r>
        <w:rPr>
          <w:szCs w:val="22"/>
        </w:rPr>
        <w:t xml:space="preserve"> </w:t>
      </w:r>
      <w:r>
        <w:rPr>
          <w:szCs w:val="22"/>
          <w:lang w:val="de-DE"/>
        </w:rPr>
        <w:t>na</w:t>
      </w:r>
      <w:r>
        <w:rPr>
          <w:szCs w:val="22"/>
        </w:rPr>
        <w:t xml:space="preserve"> </w:t>
      </w:r>
      <w:r>
        <w:rPr>
          <w:szCs w:val="22"/>
          <w:lang w:val="de-DE"/>
        </w:rPr>
        <w:t>kojem</w:t>
      </w:r>
      <w:r>
        <w:rPr>
          <w:szCs w:val="22"/>
        </w:rPr>
        <w:t xml:space="preserve"> </w:t>
      </w:r>
      <w:r>
        <w:rPr>
          <w:szCs w:val="22"/>
          <w:lang w:val="de-DE"/>
        </w:rPr>
        <w:t>postoji</w:t>
      </w:r>
      <w:r>
        <w:rPr>
          <w:szCs w:val="22"/>
        </w:rPr>
        <w:t xml:space="preserve"> </w:t>
      </w:r>
      <w:r>
        <w:rPr>
          <w:szCs w:val="22"/>
          <w:lang w:val="de-DE"/>
        </w:rPr>
        <w:t>pojedina</w:t>
      </w:r>
      <w:r>
        <w:rPr>
          <w:szCs w:val="22"/>
        </w:rPr>
        <w:t>č</w:t>
      </w:r>
      <w:r>
        <w:rPr>
          <w:szCs w:val="22"/>
          <w:lang w:val="de-DE"/>
        </w:rPr>
        <w:t>na</w:t>
      </w:r>
      <w:r>
        <w:rPr>
          <w:szCs w:val="22"/>
        </w:rPr>
        <w:t xml:space="preserve"> </w:t>
      </w:r>
      <w:r>
        <w:rPr>
          <w:szCs w:val="22"/>
          <w:lang w:val="de-DE"/>
        </w:rPr>
        <w:t>gospodarska</w:t>
      </w:r>
      <w:r>
        <w:rPr>
          <w:szCs w:val="22"/>
        </w:rPr>
        <w:t xml:space="preserve"> </w:t>
      </w:r>
      <w:r>
        <w:rPr>
          <w:szCs w:val="22"/>
          <w:lang w:val="de-DE"/>
        </w:rPr>
        <w:t>gra</w:t>
      </w:r>
      <w:r>
        <w:rPr>
          <w:szCs w:val="22"/>
        </w:rPr>
        <w:t>đ</w:t>
      </w:r>
      <w:r>
        <w:rPr>
          <w:szCs w:val="22"/>
          <w:lang w:val="de-DE"/>
        </w:rPr>
        <w:t>evina</w:t>
      </w:r>
      <w:r>
        <w:rPr>
          <w:szCs w:val="22"/>
        </w:rPr>
        <w:t>, č</w:t>
      </w:r>
      <w:r>
        <w:rPr>
          <w:szCs w:val="22"/>
          <w:lang w:val="de-DE"/>
        </w:rPr>
        <w:t>ija</w:t>
      </w:r>
      <w:r>
        <w:rPr>
          <w:szCs w:val="22"/>
        </w:rPr>
        <w:t xml:space="preserve"> </w:t>
      </w:r>
      <w:r>
        <w:rPr>
          <w:szCs w:val="22"/>
          <w:lang w:val="de-DE"/>
        </w:rPr>
        <w:t>je</w:t>
      </w:r>
      <w:r>
        <w:rPr>
          <w:szCs w:val="22"/>
        </w:rPr>
        <w:t xml:space="preserve"> </w:t>
      </w:r>
      <w:r>
        <w:rPr>
          <w:szCs w:val="22"/>
          <w:lang w:val="de-DE"/>
        </w:rPr>
        <w:t>veli</w:t>
      </w:r>
      <w:r>
        <w:rPr>
          <w:szCs w:val="22"/>
        </w:rPr>
        <w:t>č</w:t>
      </w:r>
      <w:r>
        <w:rPr>
          <w:szCs w:val="22"/>
          <w:lang w:val="de-DE"/>
        </w:rPr>
        <w:t>ina</w:t>
      </w:r>
      <w:r>
        <w:rPr>
          <w:szCs w:val="22"/>
        </w:rPr>
        <w:t xml:space="preserve"> </w:t>
      </w:r>
      <w:r>
        <w:rPr>
          <w:szCs w:val="22"/>
          <w:lang w:val="de-DE"/>
        </w:rPr>
        <w:t>i</w:t>
      </w:r>
      <w:r>
        <w:rPr>
          <w:szCs w:val="22"/>
        </w:rPr>
        <w:t xml:space="preserve"> </w:t>
      </w:r>
      <w:r>
        <w:rPr>
          <w:szCs w:val="22"/>
          <w:lang w:val="de-DE"/>
        </w:rPr>
        <w:t>vrsta</w:t>
      </w:r>
      <w:r>
        <w:rPr>
          <w:szCs w:val="22"/>
        </w:rPr>
        <w:t xml:space="preserve"> </w:t>
      </w:r>
      <w:r>
        <w:rPr>
          <w:szCs w:val="22"/>
          <w:lang w:val="de-DE"/>
        </w:rPr>
        <w:t>takva</w:t>
      </w:r>
      <w:r>
        <w:rPr>
          <w:szCs w:val="22"/>
        </w:rPr>
        <w:t xml:space="preserve"> </w:t>
      </w:r>
      <w:r>
        <w:rPr>
          <w:szCs w:val="22"/>
          <w:lang w:val="de-DE"/>
        </w:rPr>
        <w:t>da</w:t>
      </w:r>
      <w:r>
        <w:rPr>
          <w:szCs w:val="22"/>
        </w:rPr>
        <w:t xml:space="preserve"> </w:t>
      </w:r>
      <w:r>
        <w:rPr>
          <w:szCs w:val="22"/>
          <w:lang w:val="de-DE"/>
        </w:rPr>
        <w:t>to</w:t>
      </w:r>
      <w:r>
        <w:rPr>
          <w:szCs w:val="22"/>
        </w:rPr>
        <w:t xml:space="preserve"> </w:t>
      </w:r>
      <w:r>
        <w:rPr>
          <w:szCs w:val="22"/>
          <w:lang w:val="de-DE"/>
        </w:rPr>
        <w:t>zemlji</w:t>
      </w:r>
      <w:r>
        <w:rPr>
          <w:szCs w:val="22"/>
        </w:rPr>
        <w:t>š</w:t>
      </w:r>
      <w:r>
        <w:rPr>
          <w:szCs w:val="22"/>
          <w:lang w:val="de-DE"/>
        </w:rPr>
        <w:t>te</w:t>
      </w:r>
      <w:r>
        <w:rPr>
          <w:szCs w:val="22"/>
        </w:rPr>
        <w:t xml:space="preserve">, </w:t>
      </w:r>
      <w:r>
        <w:rPr>
          <w:szCs w:val="22"/>
          <w:lang w:val="de-DE"/>
        </w:rPr>
        <w:t>u</w:t>
      </w:r>
      <w:r>
        <w:rPr>
          <w:szCs w:val="22"/>
        </w:rPr>
        <w:t xml:space="preserve"> </w:t>
      </w:r>
      <w:r>
        <w:rPr>
          <w:szCs w:val="22"/>
          <w:lang w:val="de-DE"/>
        </w:rPr>
        <w:t>smislu</w:t>
      </w:r>
      <w:r>
        <w:rPr>
          <w:szCs w:val="22"/>
        </w:rPr>
        <w:t xml:space="preserve"> </w:t>
      </w:r>
      <w:r>
        <w:rPr>
          <w:szCs w:val="22"/>
          <w:lang w:val="de-DE"/>
        </w:rPr>
        <w:t>odredaba</w:t>
      </w:r>
      <w:r>
        <w:rPr>
          <w:szCs w:val="22"/>
        </w:rPr>
        <w:t xml:space="preserve"> </w:t>
      </w:r>
      <w:r>
        <w:rPr>
          <w:szCs w:val="22"/>
          <w:lang w:val="de-DE"/>
        </w:rPr>
        <w:t>za</w:t>
      </w:r>
      <w:r>
        <w:rPr>
          <w:szCs w:val="22"/>
        </w:rPr>
        <w:t xml:space="preserve"> </w:t>
      </w:r>
      <w:r>
        <w:rPr>
          <w:szCs w:val="22"/>
          <w:lang w:val="de-DE"/>
        </w:rPr>
        <w:t>provo</w:t>
      </w:r>
      <w:r>
        <w:rPr>
          <w:szCs w:val="22"/>
        </w:rPr>
        <w:t>ð</w:t>
      </w:r>
      <w:r>
        <w:rPr>
          <w:szCs w:val="22"/>
          <w:lang w:val="de-DE"/>
        </w:rPr>
        <w:t>enje</w:t>
      </w:r>
      <w:r>
        <w:rPr>
          <w:szCs w:val="22"/>
        </w:rPr>
        <w:t xml:space="preserve">, </w:t>
      </w:r>
      <w:r>
        <w:rPr>
          <w:szCs w:val="22"/>
          <w:lang w:val="de-DE"/>
        </w:rPr>
        <w:t>ne</w:t>
      </w:r>
      <w:r>
        <w:rPr>
          <w:szCs w:val="22"/>
        </w:rPr>
        <w:t xml:space="preserve"> </w:t>
      </w:r>
      <w:r>
        <w:rPr>
          <w:szCs w:val="22"/>
          <w:lang w:val="de-DE"/>
        </w:rPr>
        <w:t>bi</w:t>
      </w:r>
      <w:r>
        <w:rPr>
          <w:szCs w:val="22"/>
        </w:rPr>
        <w:t xml:space="preserve"> </w:t>
      </w:r>
      <w:r>
        <w:rPr>
          <w:szCs w:val="22"/>
          <w:lang w:val="de-DE"/>
        </w:rPr>
        <w:t>bilo</w:t>
      </w:r>
      <w:r>
        <w:rPr>
          <w:szCs w:val="22"/>
        </w:rPr>
        <w:t xml:space="preserve"> </w:t>
      </w:r>
      <w:r>
        <w:rPr>
          <w:szCs w:val="22"/>
          <w:lang w:val="de-DE"/>
        </w:rPr>
        <w:t>dovoljno</w:t>
      </w:r>
      <w:r>
        <w:rPr>
          <w:szCs w:val="22"/>
        </w:rPr>
        <w:t xml:space="preserve"> </w:t>
      </w:r>
      <w:r>
        <w:rPr>
          <w:szCs w:val="22"/>
          <w:lang w:val="de-DE"/>
        </w:rPr>
        <w:t>veliko</w:t>
      </w:r>
      <w:r>
        <w:rPr>
          <w:szCs w:val="22"/>
        </w:rPr>
        <w:t xml:space="preserve"> </w:t>
      </w:r>
      <w:r>
        <w:rPr>
          <w:szCs w:val="22"/>
          <w:lang w:val="de-DE"/>
        </w:rPr>
        <w:t>za</w:t>
      </w:r>
      <w:r>
        <w:rPr>
          <w:szCs w:val="22"/>
        </w:rPr>
        <w:t xml:space="preserve"> </w:t>
      </w:r>
      <w:r>
        <w:rPr>
          <w:szCs w:val="22"/>
          <w:lang w:val="de-DE"/>
        </w:rPr>
        <w:t>gradnju</w:t>
      </w:r>
      <w:r>
        <w:rPr>
          <w:szCs w:val="22"/>
        </w:rPr>
        <w:t xml:space="preserve"> </w:t>
      </w:r>
      <w:r>
        <w:rPr>
          <w:szCs w:val="22"/>
          <w:lang w:val="de-DE"/>
        </w:rPr>
        <w:t>dviju</w:t>
      </w:r>
      <w:r>
        <w:rPr>
          <w:szCs w:val="22"/>
        </w:rPr>
        <w:t xml:space="preserve"> </w:t>
      </w:r>
      <w:r>
        <w:rPr>
          <w:szCs w:val="22"/>
          <w:lang w:val="de-DE"/>
        </w:rPr>
        <w:t>gospodarskih</w:t>
      </w:r>
      <w:r>
        <w:rPr>
          <w:szCs w:val="22"/>
        </w:rPr>
        <w:t xml:space="preserve"> </w:t>
      </w:r>
      <w:r>
        <w:rPr>
          <w:szCs w:val="22"/>
          <w:lang w:val="de-DE"/>
        </w:rPr>
        <w:t>gra</w:t>
      </w:r>
      <w:r>
        <w:rPr>
          <w:szCs w:val="22"/>
        </w:rPr>
        <w:t>đ</w:t>
      </w:r>
      <w:r>
        <w:rPr>
          <w:szCs w:val="22"/>
          <w:lang w:val="de-DE"/>
        </w:rPr>
        <w:t>evina</w:t>
      </w:r>
      <w:r>
        <w:rPr>
          <w:szCs w:val="22"/>
        </w:rPr>
        <w:t xml:space="preserve">, </w:t>
      </w:r>
      <w:r>
        <w:rPr>
          <w:szCs w:val="22"/>
          <w:lang w:val="de-DE"/>
        </w:rPr>
        <w:t>ne</w:t>
      </w:r>
      <w:r>
        <w:rPr>
          <w:szCs w:val="22"/>
        </w:rPr>
        <w:t xml:space="preserve"> </w:t>
      </w:r>
      <w:r>
        <w:rPr>
          <w:szCs w:val="22"/>
          <w:lang w:val="de-DE"/>
        </w:rPr>
        <w:t>mo</w:t>
      </w:r>
      <w:r>
        <w:rPr>
          <w:szCs w:val="22"/>
        </w:rPr>
        <w:t>ž</w:t>
      </w:r>
      <w:r>
        <w:rPr>
          <w:szCs w:val="22"/>
          <w:lang w:val="de-DE"/>
        </w:rPr>
        <w:t>e</w:t>
      </w:r>
      <w:r>
        <w:rPr>
          <w:szCs w:val="22"/>
        </w:rPr>
        <w:t xml:space="preserve"> </w:t>
      </w:r>
      <w:r>
        <w:rPr>
          <w:szCs w:val="22"/>
          <w:lang w:val="de-DE"/>
        </w:rPr>
        <w:t>se</w:t>
      </w:r>
      <w:r>
        <w:rPr>
          <w:szCs w:val="22"/>
        </w:rPr>
        <w:t xml:space="preserve"> </w:t>
      </w:r>
      <w:r>
        <w:rPr>
          <w:szCs w:val="22"/>
          <w:lang w:val="de-DE"/>
        </w:rPr>
        <w:t>parcelirati</w:t>
      </w:r>
      <w:r>
        <w:rPr>
          <w:szCs w:val="22"/>
        </w:rPr>
        <w:t xml:space="preserve"> </w:t>
      </w:r>
      <w:r>
        <w:rPr>
          <w:szCs w:val="22"/>
          <w:lang w:val="de-DE"/>
        </w:rPr>
        <w:t>na</w:t>
      </w:r>
      <w:r>
        <w:rPr>
          <w:szCs w:val="22"/>
        </w:rPr>
        <w:t xml:space="preserve"> </w:t>
      </w:r>
      <w:r>
        <w:rPr>
          <w:szCs w:val="22"/>
          <w:lang w:val="de-DE"/>
        </w:rPr>
        <w:t>manje</w:t>
      </w:r>
      <w:r>
        <w:rPr>
          <w:szCs w:val="22"/>
        </w:rPr>
        <w:t xml:space="preserve"> </w:t>
      </w:r>
      <w:r>
        <w:rPr>
          <w:szCs w:val="22"/>
          <w:lang w:val="de-DE"/>
        </w:rPr>
        <w:t>dijelove</w:t>
      </w:r>
      <w:r>
        <w:rPr>
          <w:szCs w:val="22"/>
        </w:rPr>
        <w:t xml:space="preserve">, </w:t>
      </w:r>
      <w:r>
        <w:rPr>
          <w:szCs w:val="22"/>
          <w:lang w:val="de-DE"/>
        </w:rPr>
        <w:t>bez</w:t>
      </w:r>
      <w:r>
        <w:rPr>
          <w:szCs w:val="22"/>
        </w:rPr>
        <w:t xml:space="preserve"> </w:t>
      </w:r>
      <w:r>
        <w:rPr>
          <w:szCs w:val="22"/>
          <w:lang w:val="de-DE"/>
        </w:rPr>
        <w:t>obzira</w:t>
      </w:r>
      <w:r>
        <w:rPr>
          <w:szCs w:val="22"/>
        </w:rPr>
        <w:t xml:space="preserve"> </w:t>
      </w:r>
      <w:r>
        <w:rPr>
          <w:szCs w:val="22"/>
          <w:lang w:val="de-DE"/>
        </w:rPr>
        <w:t>u</w:t>
      </w:r>
      <w:r>
        <w:rPr>
          <w:szCs w:val="22"/>
        </w:rPr>
        <w:t xml:space="preserve"> </w:t>
      </w:r>
      <w:r>
        <w:rPr>
          <w:szCs w:val="22"/>
          <w:lang w:val="de-DE"/>
        </w:rPr>
        <w:t>koje</w:t>
      </w:r>
      <w:r>
        <w:rPr>
          <w:szCs w:val="22"/>
        </w:rPr>
        <w:t xml:space="preserve"> </w:t>
      </w:r>
      <w:r>
        <w:rPr>
          <w:szCs w:val="22"/>
          <w:lang w:val="de-DE"/>
        </w:rPr>
        <w:t>je</w:t>
      </w:r>
      <w:r>
        <w:rPr>
          <w:szCs w:val="22"/>
        </w:rPr>
        <w:t xml:space="preserve"> </w:t>
      </w:r>
      <w:r>
        <w:rPr>
          <w:szCs w:val="22"/>
          <w:lang w:val="de-DE"/>
        </w:rPr>
        <w:t>vrijeme</w:t>
      </w:r>
      <w:r>
        <w:rPr>
          <w:szCs w:val="22"/>
        </w:rPr>
        <w:t xml:space="preserve"> </w:t>
      </w:r>
      <w:r>
        <w:rPr>
          <w:szCs w:val="22"/>
          <w:lang w:val="de-DE"/>
        </w:rPr>
        <w:t>i</w:t>
      </w:r>
      <w:r>
        <w:rPr>
          <w:szCs w:val="22"/>
        </w:rPr>
        <w:t xml:space="preserve"> </w:t>
      </w:r>
      <w:r>
        <w:rPr>
          <w:szCs w:val="22"/>
          <w:lang w:val="de-DE"/>
        </w:rPr>
        <w:t>po</w:t>
      </w:r>
      <w:r>
        <w:rPr>
          <w:szCs w:val="22"/>
        </w:rPr>
        <w:t xml:space="preserve"> </w:t>
      </w:r>
      <w:r>
        <w:rPr>
          <w:szCs w:val="22"/>
          <w:lang w:val="de-DE"/>
        </w:rPr>
        <w:t>kojoj</w:t>
      </w:r>
      <w:r>
        <w:rPr>
          <w:szCs w:val="22"/>
        </w:rPr>
        <w:t xml:space="preserve"> </w:t>
      </w:r>
      <w:r>
        <w:rPr>
          <w:szCs w:val="22"/>
          <w:lang w:val="de-DE"/>
        </w:rPr>
        <w:t>osnovi</w:t>
      </w:r>
      <w:r>
        <w:rPr>
          <w:szCs w:val="22"/>
        </w:rPr>
        <w:t xml:space="preserve"> </w:t>
      </w:r>
      <w:r>
        <w:rPr>
          <w:szCs w:val="22"/>
          <w:lang w:val="de-DE"/>
        </w:rPr>
        <w:t>je</w:t>
      </w:r>
      <w:r>
        <w:rPr>
          <w:szCs w:val="22"/>
        </w:rPr>
        <w:t xml:space="preserve"> </w:t>
      </w:r>
      <w:r>
        <w:rPr>
          <w:szCs w:val="22"/>
          <w:lang w:val="de-DE"/>
        </w:rPr>
        <w:t>ta</w:t>
      </w:r>
      <w:r>
        <w:rPr>
          <w:szCs w:val="22"/>
        </w:rPr>
        <w:t xml:space="preserve"> </w:t>
      </w:r>
      <w:r>
        <w:rPr>
          <w:szCs w:val="22"/>
          <w:lang w:val="de-DE"/>
        </w:rPr>
        <w:t>gra</w:t>
      </w:r>
      <w:r>
        <w:rPr>
          <w:szCs w:val="22"/>
        </w:rPr>
        <w:t>đ</w:t>
      </w:r>
      <w:r>
        <w:rPr>
          <w:szCs w:val="22"/>
          <w:lang w:val="de-DE"/>
        </w:rPr>
        <w:t>evina</w:t>
      </w:r>
      <w:r>
        <w:rPr>
          <w:szCs w:val="22"/>
        </w:rPr>
        <w:t xml:space="preserve"> </w:t>
      </w:r>
      <w:r>
        <w:rPr>
          <w:szCs w:val="22"/>
          <w:lang w:val="de-DE"/>
        </w:rPr>
        <w:t>podignuta</w:t>
      </w:r>
      <w:r>
        <w:rPr>
          <w:szCs w:val="22"/>
        </w:rPr>
        <w:t>.</w:t>
      </w:r>
    </w:p>
    <w:p w:rsidR="00012172" w:rsidRDefault="00012172">
      <w:pPr>
        <w:numPr>
          <w:ilvl w:val="12"/>
          <w:numId w:val="0"/>
        </w:numPr>
        <w:jc w:val="center"/>
      </w:pPr>
    </w:p>
    <w:p w:rsidR="00257D68" w:rsidRDefault="00257D68">
      <w:pPr>
        <w:numPr>
          <w:ilvl w:val="12"/>
          <w:numId w:val="0"/>
        </w:numPr>
        <w:jc w:val="center"/>
      </w:pPr>
    </w:p>
    <w:p w:rsidR="00257D68" w:rsidRDefault="00257D68">
      <w:pPr>
        <w:numPr>
          <w:ilvl w:val="12"/>
          <w:numId w:val="0"/>
        </w:numPr>
        <w:jc w:val="center"/>
      </w:pPr>
    </w:p>
    <w:p w:rsidR="00012172" w:rsidRDefault="00012172">
      <w:pPr>
        <w:numPr>
          <w:ilvl w:val="12"/>
          <w:numId w:val="0"/>
        </w:numPr>
        <w:jc w:val="center"/>
        <w:rPr>
          <w:szCs w:val="22"/>
        </w:rPr>
      </w:pPr>
      <w:r>
        <w:rPr>
          <w:szCs w:val="22"/>
        </w:rPr>
        <w:t>Č</w:t>
      </w:r>
      <w:r>
        <w:rPr>
          <w:szCs w:val="22"/>
          <w:lang w:val="de-DE"/>
        </w:rPr>
        <w:t>lanak</w:t>
      </w:r>
      <w:r w:rsidR="00257D68">
        <w:rPr>
          <w:szCs w:val="22"/>
        </w:rPr>
        <w:t xml:space="preserve"> 67</w:t>
      </w:r>
      <w:r>
        <w:rPr>
          <w:szCs w:val="22"/>
        </w:rPr>
        <w:t>.</w:t>
      </w:r>
    </w:p>
    <w:p w:rsidR="00012172" w:rsidRDefault="00012172">
      <w:pPr>
        <w:numPr>
          <w:ilvl w:val="12"/>
          <w:numId w:val="0"/>
        </w:numPr>
        <w:jc w:val="both"/>
        <w:rPr>
          <w:szCs w:val="22"/>
        </w:rPr>
      </w:pPr>
      <w:r>
        <w:rPr>
          <w:szCs w:val="22"/>
        </w:rPr>
        <w:t xml:space="preserve">(1) </w:t>
      </w:r>
      <w:r>
        <w:rPr>
          <w:szCs w:val="22"/>
          <w:lang w:val="de-DE"/>
        </w:rPr>
        <w:t>Eta</w:t>
      </w:r>
      <w:r>
        <w:rPr>
          <w:szCs w:val="22"/>
        </w:rPr>
        <w:t>ž</w:t>
      </w:r>
      <w:r>
        <w:rPr>
          <w:szCs w:val="22"/>
          <w:lang w:val="de-DE"/>
        </w:rPr>
        <w:t>na</w:t>
      </w:r>
      <w:r>
        <w:rPr>
          <w:szCs w:val="22"/>
        </w:rPr>
        <w:t xml:space="preserve"> </w:t>
      </w:r>
      <w:r>
        <w:rPr>
          <w:szCs w:val="22"/>
          <w:lang w:val="de-DE"/>
        </w:rPr>
        <w:t>visina</w:t>
      </w:r>
      <w:r>
        <w:rPr>
          <w:szCs w:val="22"/>
        </w:rPr>
        <w:t xml:space="preserve"> </w:t>
      </w:r>
      <w:r>
        <w:rPr>
          <w:szCs w:val="22"/>
          <w:lang w:val="de-DE"/>
        </w:rPr>
        <w:t>pojedina</w:t>
      </w:r>
      <w:r>
        <w:rPr>
          <w:szCs w:val="22"/>
        </w:rPr>
        <w:t>č</w:t>
      </w:r>
      <w:r>
        <w:rPr>
          <w:szCs w:val="22"/>
          <w:lang w:val="de-DE"/>
        </w:rPr>
        <w:t>nih</w:t>
      </w:r>
      <w:r>
        <w:rPr>
          <w:szCs w:val="22"/>
        </w:rPr>
        <w:t xml:space="preserve"> </w:t>
      </w:r>
      <w:r>
        <w:rPr>
          <w:szCs w:val="22"/>
          <w:lang w:val="de-DE"/>
        </w:rPr>
        <w:t>gospodarskih</w:t>
      </w:r>
      <w:r>
        <w:rPr>
          <w:szCs w:val="22"/>
        </w:rPr>
        <w:t xml:space="preserve"> </w:t>
      </w:r>
      <w:r>
        <w:rPr>
          <w:szCs w:val="22"/>
          <w:lang w:val="de-DE"/>
        </w:rPr>
        <w:t>gra</w:t>
      </w:r>
      <w:r>
        <w:rPr>
          <w:szCs w:val="22"/>
        </w:rPr>
        <w:t>đ</w:t>
      </w:r>
      <w:r>
        <w:rPr>
          <w:szCs w:val="22"/>
          <w:lang w:val="de-DE"/>
        </w:rPr>
        <w:t>evina</w:t>
      </w:r>
      <w:r>
        <w:rPr>
          <w:szCs w:val="22"/>
        </w:rPr>
        <w:t xml:space="preserve"> </w:t>
      </w:r>
      <w:r>
        <w:rPr>
          <w:szCs w:val="22"/>
          <w:lang w:val="de-DE"/>
        </w:rPr>
        <w:t>je</w:t>
      </w:r>
      <w:r>
        <w:rPr>
          <w:szCs w:val="22"/>
        </w:rPr>
        <w:t xml:space="preserve"> </w:t>
      </w:r>
      <w:r>
        <w:rPr>
          <w:szCs w:val="22"/>
          <w:lang w:val="de-DE"/>
        </w:rPr>
        <w:t>prizemnica</w:t>
      </w:r>
      <w:r>
        <w:rPr>
          <w:szCs w:val="22"/>
        </w:rPr>
        <w:t xml:space="preserve"> </w:t>
      </w:r>
      <w:r>
        <w:rPr>
          <w:szCs w:val="22"/>
          <w:lang w:val="de-DE"/>
        </w:rPr>
        <w:t>s</w:t>
      </w:r>
      <w:r>
        <w:rPr>
          <w:szCs w:val="22"/>
        </w:rPr>
        <w:t xml:space="preserve"> </w:t>
      </w:r>
      <w:r>
        <w:rPr>
          <w:szCs w:val="22"/>
          <w:lang w:val="de-DE"/>
        </w:rPr>
        <w:t>mogu</w:t>
      </w:r>
      <w:r>
        <w:rPr>
          <w:szCs w:val="22"/>
        </w:rPr>
        <w:t>č</w:t>
      </w:r>
      <w:r>
        <w:rPr>
          <w:szCs w:val="22"/>
          <w:lang w:val="de-DE"/>
        </w:rPr>
        <w:t>no</w:t>
      </w:r>
      <w:r>
        <w:rPr>
          <w:szCs w:val="22"/>
        </w:rPr>
        <w:t>šć</w:t>
      </w:r>
      <w:r>
        <w:rPr>
          <w:szCs w:val="22"/>
          <w:lang w:val="de-DE"/>
        </w:rPr>
        <w:t>u</w:t>
      </w:r>
      <w:r>
        <w:rPr>
          <w:szCs w:val="22"/>
        </w:rPr>
        <w:t xml:space="preserve"> </w:t>
      </w:r>
      <w:r>
        <w:rPr>
          <w:szCs w:val="22"/>
          <w:lang w:val="de-DE"/>
        </w:rPr>
        <w:t>izvedbe</w:t>
      </w:r>
      <w:r>
        <w:rPr>
          <w:szCs w:val="22"/>
        </w:rPr>
        <w:t xml:space="preserve"> </w:t>
      </w:r>
      <w:r>
        <w:rPr>
          <w:szCs w:val="22"/>
          <w:lang w:val="de-DE"/>
        </w:rPr>
        <w:t>podruma</w:t>
      </w:r>
      <w:r>
        <w:rPr>
          <w:szCs w:val="22"/>
        </w:rPr>
        <w:t xml:space="preserve">, </w:t>
      </w:r>
      <w:r>
        <w:rPr>
          <w:szCs w:val="22"/>
          <w:lang w:val="de-DE"/>
        </w:rPr>
        <w:t>te</w:t>
      </w:r>
      <w:r>
        <w:rPr>
          <w:szCs w:val="22"/>
        </w:rPr>
        <w:t xml:space="preserve"> </w:t>
      </w:r>
      <w:r>
        <w:rPr>
          <w:szCs w:val="22"/>
          <w:lang w:val="de-DE"/>
        </w:rPr>
        <w:t>tavana</w:t>
      </w:r>
      <w:r>
        <w:rPr>
          <w:szCs w:val="22"/>
        </w:rPr>
        <w:t xml:space="preserve"> </w:t>
      </w:r>
      <w:r>
        <w:rPr>
          <w:szCs w:val="22"/>
          <w:lang w:val="de-DE"/>
        </w:rPr>
        <w:t>kao</w:t>
      </w:r>
      <w:r>
        <w:rPr>
          <w:szCs w:val="22"/>
        </w:rPr>
        <w:t xml:space="preserve"> </w:t>
      </w:r>
      <w:r>
        <w:rPr>
          <w:szCs w:val="22"/>
          <w:lang w:val="de-DE"/>
        </w:rPr>
        <w:t>spremi</w:t>
      </w:r>
      <w:r>
        <w:rPr>
          <w:szCs w:val="22"/>
        </w:rPr>
        <w:t>š</w:t>
      </w:r>
      <w:r>
        <w:rPr>
          <w:szCs w:val="22"/>
          <w:lang w:val="de-DE"/>
        </w:rPr>
        <w:t>ta</w:t>
      </w:r>
      <w:r>
        <w:rPr>
          <w:szCs w:val="22"/>
        </w:rPr>
        <w:t>.</w:t>
      </w:r>
    </w:p>
    <w:p w:rsidR="00012172" w:rsidRDefault="00012172">
      <w:pPr>
        <w:numPr>
          <w:ilvl w:val="12"/>
          <w:numId w:val="0"/>
        </w:numPr>
        <w:jc w:val="both"/>
        <w:rPr>
          <w:szCs w:val="22"/>
        </w:rPr>
      </w:pPr>
    </w:p>
    <w:p w:rsidR="00012172" w:rsidRDefault="00012172">
      <w:pPr>
        <w:numPr>
          <w:ilvl w:val="12"/>
          <w:numId w:val="0"/>
        </w:numPr>
        <w:jc w:val="both"/>
        <w:rPr>
          <w:szCs w:val="22"/>
        </w:rPr>
      </w:pPr>
      <w:r>
        <w:rPr>
          <w:szCs w:val="22"/>
        </w:rPr>
        <w:t xml:space="preserve">(2) </w:t>
      </w:r>
      <w:r>
        <w:rPr>
          <w:szCs w:val="22"/>
          <w:lang w:val="de-DE"/>
        </w:rPr>
        <w:t>Iznimno</w:t>
      </w:r>
      <w:r>
        <w:rPr>
          <w:szCs w:val="22"/>
        </w:rPr>
        <w:t xml:space="preserve"> </w:t>
      </w:r>
      <w:r>
        <w:rPr>
          <w:szCs w:val="22"/>
          <w:lang w:val="de-DE"/>
        </w:rPr>
        <w:t>od</w:t>
      </w:r>
      <w:r>
        <w:rPr>
          <w:szCs w:val="22"/>
        </w:rPr>
        <w:t xml:space="preserve"> </w:t>
      </w:r>
      <w:r>
        <w:rPr>
          <w:szCs w:val="22"/>
          <w:lang w:val="de-DE"/>
        </w:rPr>
        <w:t>stavka</w:t>
      </w:r>
      <w:r>
        <w:rPr>
          <w:szCs w:val="22"/>
        </w:rPr>
        <w:t xml:space="preserve"> 1. </w:t>
      </w:r>
      <w:r>
        <w:rPr>
          <w:szCs w:val="22"/>
          <w:lang w:val="de-DE"/>
        </w:rPr>
        <w:t>ovog</w:t>
      </w:r>
      <w:r>
        <w:rPr>
          <w:szCs w:val="22"/>
        </w:rPr>
        <w:t xml:space="preserve"> č</w:t>
      </w:r>
      <w:r>
        <w:rPr>
          <w:szCs w:val="22"/>
          <w:lang w:val="de-DE"/>
        </w:rPr>
        <w:t>lanka</w:t>
      </w:r>
      <w:r>
        <w:rPr>
          <w:szCs w:val="22"/>
        </w:rPr>
        <w:t xml:space="preserve"> </w:t>
      </w:r>
      <w:r>
        <w:rPr>
          <w:szCs w:val="22"/>
          <w:lang w:val="de-DE"/>
        </w:rPr>
        <w:t>omogu</w:t>
      </w:r>
      <w:r>
        <w:rPr>
          <w:szCs w:val="22"/>
        </w:rPr>
        <w:t>ć</w:t>
      </w:r>
      <w:r>
        <w:rPr>
          <w:szCs w:val="22"/>
          <w:lang w:val="de-DE"/>
        </w:rPr>
        <w:t>ava</w:t>
      </w:r>
      <w:r>
        <w:rPr>
          <w:szCs w:val="22"/>
        </w:rPr>
        <w:t xml:space="preserve"> </w:t>
      </w:r>
      <w:r>
        <w:rPr>
          <w:szCs w:val="22"/>
          <w:lang w:val="de-DE"/>
        </w:rPr>
        <w:t>se</w:t>
      </w:r>
      <w:r>
        <w:rPr>
          <w:szCs w:val="22"/>
        </w:rPr>
        <w:t xml:space="preserve"> </w:t>
      </w:r>
      <w:r>
        <w:rPr>
          <w:szCs w:val="22"/>
          <w:lang w:val="de-DE"/>
        </w:rPr>
        <w:t>gradnja</w:t>
      </w:r>
      <w:r>
        <w:rPr>
          <w:szCs w:val="22"/>
        </w:rPr>
        <w:t xml:space="preserve"> </w:t>
      </w:r>
      <w:r>
        <w:rPr>
          <w:szCs w:val="22"/>
          <w:lang w:val="de-DE"/>
        </w:rPr>
        <w:t>i</w:t>
      </w:r>
      <w:r>
        <w:rPr>
          <w:szCs w:val="22"/>
        </w:rPr>
        <w:t xml:space="preserve"> </w:t>
      </w:r>
      <w:r>
        <w:rPr>
          <w:szCs w:val="22"/>
          <w:lang w:val="de-DE"/>
        </w:rPr>
        <w:t>vi</w:t>
      </w:r>
      <w:r>
        <w:rPr>
          <w:szCs w:val="22"/>
        </w:rPr>
        <w:t>š</w:t>
      </w:r>
      <w:r>
        <w:rPr>
          <w:szCs w:val="22"/>
          <w:lang w:val="de-DE"/>
        </w:rPr>
        <w:t>ih</w:t>
      </w:r>
      <w:r>
        <w:rPr>
          <w:szCs w:val="22"/>
        </w:rPr>
        <w:t xml:space="preserve"> </w:t>
      </w:r>
      <w:r>
        <w:rPr>
          <w:szCs w:val="22"/>
          <w:lang w:val="de-DE"/>
        </w:rPr>
        <w:t>gra</w:t>
      </w:r>
      <w:r>
        <w:rPr>
          <w:szCs w:val="22"/>
        </w:rPr>
        <w:t>đ</w:t>
      </w:r>
      <w:r>
        <w:rPr>
          <w:szCs w:val="22"/>
          <w:lang w:val="de-DE"/>
        </w:rPr>
        <w:t>evina</w:t>
      </w:r>
      <w:r>
        <w:rPr>
          <w:szCs w:val="22"/>
        </w:rPr>
        <w:t xml:space="preserve"> </w:t>
      </w:r>
      <w:r>
        <w:rPr>
          <w:szCs w:val="22"/>
          <w:lang w:val="de-DE"/>
        </w:rPr>
        <w:t>ukoliko</w:t>
      </w:r>
      <w:r>
        <w:rPr>
          <w:szCs w:val="22"/>
        </w:rPr>
        <w:t xml:space="preserve"> </w:t>
      </w:r>
      <w:r>
        <w:rPr>
          <w:szCs w:val="22"/>
          <w:lang w:val="de-DE"/>
        </w:rPr>
        <w:t>je</w:t>
      </w:r>
      <w:r>
        <w:rPr>
          <w:szCs w:val="22"/>
        </w:rPr>
        <w:t xml:space="preserve"> </w:t>
      </w:r>
      <w:r>
        <w:rPr>
          <w:szCs w:val="22"/>
          <w:lang w:val="de-DE"/>
        </w:rPr>
        <w:t>to</w:t>
      </w:r>
      <w:r>
        <w:rPr>
          <w:szCs w:val="22"/>
        </w:rPr>
        <w:t xml:space="preserve"> </w:t>
      </w:r>
      <w:r>
        <w:rPr>
          <w:szCs w:val="22"/>
          <w:lang w:val="de-DE"/>
        </w:rPr>
        <w:t>neophodno</w:t>
      </w:r>
      <w:r>
        <w:rPr>
          <w:szCs w:val="22"/>
        </w:rPr>
        <w:t xml:space="preserve"> </w:t>
      </w:r>
      <w:r>
        <w:rPr>
          <w:szCs w:val="22"/>
          <w:lang w:val="de-DE"/>
        </w:rPr>
        <w:t>zbog</w:t>
      </w:r>
      <w:r>
        <w:rPr>
          <w:szCs w:val="22"/>
        </w:rPr>
        <w:t xml:space="preserve"> </w:t>
      </w:r>
      <w:r>
        <w:rPr>
          <w:szCs w:val="22"/>
          <w:lang w:val="de-DE"/>
        </w:rPr>
        <w:t>tehnolo</w:t>
      </w:r>
      <w:r>
        <w:rPr>
          <w:szCs w:val="22"/>
        </w:rPr>
        <w:t>š</w:t>
      </w:r>
      <w:r>
        <w:rPr>
          <w:szCs w:val="22"/>
          <w:lang w:val="de-DE"/>
        </w:rPr>
        <w:t>kog</w:t>
      </w:r>
      <w:r>
        <w:rPr>
          <w:szCs w:val="22"/>
        </w:rPr>
        <w:t xml:space="preserve"> </w:t>
      </w:r>
      <w:r>
        <w:rPr>
          <w:szCs w:val="22"/>
          <w:lang w:val="de-DE"/>
        </w:rPr>
        <w:t>rje</w:t>
      </w:r>
      <w:r>
        <w:rPr>
          <w:szCs w:val="22"/>
        </w:rPr>
        <w:t>š</w:t>
      </w:r>
      <w:r>
        <w:rPr>
          <w:szCs w:val="22"/>
          <w:lang w:val="de-DE"/>
        </w:rPr>
        <w:t>enja</w:t>
      </w:r>
      <w:r>
        <w:rPr>
          <w:szCs w:val="22"/>
        </w:rPr>
        <w:t xml:space="preserve"> ( </w:t>
      </w:r>
      <w:r>
        <w:rPr>
          <w:szCs w:val="22"/>
          <w:lang w:val="de-DE"/>
        </w:rPr>
        <w:t>mlinovi</w:t>
      </w:r>
      <w:r>
        <w:rPr>
          <w:szCs w:val="22"/>
        </w:rPr>
        <w:t xml:space="preserve">, </w:t>
      </w:r>
      <w:r>
        <w:rPr>
          <w:szCs w:val="22"/>
          <w:lang w:val="de-DE"/>
        </w:rPr>
        <w:t>silosi</w:t>
      </w:r>
      <w:r>
        <w:rPr>
          <w:szCs w:val="22"/>
        </w:rPr>
        <w:t xml:space="preserve"> </w:t>
      </w:r>
      <w:r>
        <w:rPr>
          <w:szCs w:val="22"/>
          <w:lang w:val="de-DE"/>
        </w:rPr>
        <w:t>i</w:t>
      </w:r>
      <w:r>
        <w:rPr>
          <w:szCs w:val="22"/>
        </w:rPr>
        <w:t xml:space="preserve"> </w:t>
      </w:r>
      <w:r>
        <w:rPr>
          <w:szCs w:val="22"/>
          <w:lang w:val="de-DE"/>
        </w:rPr>
        <w:t>sl</w:t>
      </w:r>
      <w:r>
        <w:rPr>
          <w:szCs w:val="22"/>
        </w:rPr>
        <w:t>.).</w:t>
      </w:r>
    </w:p>
    <w:p w:rsidR="00012172" w:rsidRDefault="00012172">
      <w:pPr>
        <w:numPr>
          <w:ilvl w:val="12"/>
          <w:numId w:val="0"/>
        </w:numPr>
        <w:jc w:val="both"/>
        <w:rPr>
          <w:szCs w:val="22"/>
        </w:rPr>
      </w:pPr>
    </w:p>
    <w:p w:rsidR="00012172" w:rsidRDefault="00012172">
      <w:pPr>
        <w:numPr>
          <w:ilvl w:val="12"/>
          <w:numId w:val="0"/>
        </w:numPr>
        <w:jc w:val="both"/>
        <w:rPr>
          <w:szCs w:val="22"/>
        </w:rPr>
      </w:pPr>
      <w:r>
        <w:rPr>
          <w:szCs w:val="22"/>
        </w:rPr>
        <w:t xml:space="preserve">(3) </w:t>
      </w:r>
      <w:r>
        <w:rPr>
          <w:szCs w:val="22"/>
          <w:lang w:val="de-DE"/>
        </w:rPr>
        <w:t>Oblikovanje</w:t>
      </w:r>
      <w:r>
        <w:rPr>
          <w:szCs w:val="22"/>
        </w:rPr>
        <w:t xml:space="preserve"> </w:t>
      </w:r>
      <w:r>
        <w:rPr>
          <w:szCs w:val="22"/>
          <w:lang w:val="de-DE"/>
        </w:rPr>
        <w:t>pojedina</w:t>
      </w:r>
      <w:r>
        <w:rPr>
          <w:szCs w:val="22"/>
        </w:rPr>
        <w:t>č</w:t>
      </w:r>
      <w:r>
        <w:rPr>
          <w:szCs w:val="22"/>
          <w:lang w:val="de-DE"/>
        </w:rPr>
        <w:t>nih</w:t>
      </w:r>
      <w:r>
        <w:rPr>
          <w:szCs w:val="22"/>
        </w:rPr>
        <w:t xml:space="preserve"> </w:t>
      </w:r>
      <w:r>
        <w:rPr>
          <w:szCs w:val="22"/>
          <w:lang w:val="de-DE"/>
        </w:rPr>
        <w:t>gospodarskih</w:t>
      </w:r>
      <w:r>
        <w:rPr>
          <w:szCs w:val="22"/>
        </w:rPr>
        <w:t xml:space="preserve"> </w:t>
      </w:r>
      <w:r>
        <w:rPr>
          <w:szCs w:val="22"/>
          <w:lang w:val="de-DE"/>
        </w:rPr>
        <w:t>gra</w:t>
      </w:r>
      <w:r>
        <w:rPr>
          <w:szCs w:val="22"/>
        </w:rPr>
        <w:t>đ</w:t>
      </w:r>
      <w:r>
        <w:rPr>
          <w:szCs w:val="22"/>
          <w:lang w:val="de-DE"/>
        </w:rPr>
        <w:t>evina</w:t>
      </w:r>
      <w:r>
        <w:rPr>
          <w:szCs w:val="22"/>
        </w:rPr>
        <w:t xml:space="preserve"> </w:t>
      </w:r>
      <w:r>
        <w:rPr>
          <w:szCs w:val="22"/>
          <w:lang w:val="de-DE"/>
        </w:rPr>
        <w:t>mora</w:t>
      </w:r>
      <w:r>
        <w:rPr>
          <w:szCs w:val="22"/>
        </w:rPr>
        <w:t xml:space="preserve"> </w:t>
      </w:r>
      <w:r>
        <w:rPr>
          <w:szCs w:val="22"/>
          <w:lang w:val="de-DE"/>
        </w:rPr>
        <w:t>u</w:t>
      </w:r>
      <w:r>
        <w:rPr>
          <w:szCs w:val="22"/>
        </w:rPr>
        <w:t xml:space="preserve"> </w:t>
      </w:r>
      <w:r>
        <w:rPr>
          <w:szCs w:val="22"/>
          <w:lang w:val="de-DE"/>
        </w:rPr>
        <w:t>pravilu</w:t>
      </w:r>
      <w:r>
        <w:rPr>
          <w:szCs w:val="22"/>
        </w:rPr>
        <w:t xml:space="preserve"> </w:t>
      </w:r>
      <w:r>
        <w:rPr>
          <w:szCs w:val="22"/>
          <w:lang w:val="de-DE"/>
        </w:rPr>
        <w:t>biti</w:t>
      </w:r>
      <w:r>
        <w:rPr>
          <w:szCs w:val="22"/>
        </w:rPr>
        <w:t xml:space="preserve"> </w:t>
      </w:r>
      <w:r>
        <w:rPr>
          <w:szCs w:val="22"/>
          <w:lang w:val="de-DE"/>
        </w:rPr>
        <w:t>u</w:t>
      </w:r>
      <w:r>
        <w:rPr>
          <w:szCs w:val="22"/>
        </w:rPr>
        <w:t xml:space="preserve"> </w:t>
      </w:r>
      <w:r>
        <w:rPr>
          <w:szCs w:val="22"/>
          <w:lang w:val="de-DE"/>
        </w:rPr>
        <w:t>skladu</w:t>
      </w:r>
      <w:r>
        <w:rPr>
          <w:szCs w:val="22"/>
        </w:rPr>
        <w:t xml:space="preserve"> </w:t>
      </w:r>
      <w:r>
        <w:rPr>
          <w:szCs w:val="22"/>
          <w:lang w:val="de-DE"/>
        </w:rPr>
        <w:t>s</w:t>
      </w:r>
      <w:r>
        <w:rPr>
          <w:szCs w:val="22"/>
        </w:rPr>
        <w:t xml:space="preserve"> </w:t>
      </w:r>
      <w:r>
        <w:rPr>
          <w:szCs w:val="22"/>
          <w:lang w:val="de-DE"/>
        </w:rPr>
        <w:t>lokalnom</w:t>
      </w:r>
      <w:r>
        <w:rPr>
          <w:szCs w:val="22"/>
        </w:rPr>
        <w:t xml:space="preserve"> </w:t>
      </w:r>
      <w:r>
        <w:rPr>
          <w:szCs w:val="22"/>
          <w:lang w:val="de-DE"/>
        </w:rPr>
        <w:t>graditeljskom</w:t>
      </w:r>
      <w:r>
        <w:rPr>
          <w:szCs w:val="22"/>
        </w:rPr>
        <w:t xml:space="preserve"> </w:t>
      </w:r>
      <w:r>
        <w:rPr>
          <w:szCs w:val="22"/>
          <w:lang w:val="de-DE"/>
        </w:rPr>
        <w:t>tradicijom</w:t>
      </w:r>
      <w:r>
        <w:rPr>
          <w:szCs w:val="22"/>
        </w:rPr>
        <w:t xml:space="preserve">. </w:t>
      </w:r>
    </w:p>
    <w:p w:rsidR="00012172" w:rsidRDefault="00012172">
      <w:pPr>
        <w:numPr>
          <w:ilvl w:val="12"/>
          <w:numId w:val="0"/>
        </w:numPr>
      </w:pPr>
    </w:p>
    <w:p w:rsidR="00012172" w:rsidRDefault="00257D68">
      <w:pPr>
        <w:numPr>
          <w:ilvl w:val="12"/>
          <w:numId w:val="0"/>
        </w:numPr>
        <w:jc w:val="center"/>
        <w:rPr>
          <w:szCs w:val="22"/>
        </w:rPr>
      </w:pPr>
      <w:r>
        <w:rPr>
          <w:szCs w:val="22"/>
        </w:rPr>
        <w:t>Članak 68</w:t>
      </w:r>
      <w:r w:rsidR="00012172">
        <w:rPr>
          <w:szCs w:val="22"/>
        </w:rPr>
        <w:t>.</w:t>
      </w:r>
    </w:p>
    <w:p w:rsidR="00012172" w:rsidRDefault="00012172">
      <w:pPr>
        <w:numPr>
          <w:ilvl w:val="12"/>
          <w:numId w:val="0"/>
        </w:numPr>
        <w:jc w:val="both"/>
        <w:rPr>
          <w:szCs w:val="22"/>
        </w:rPr>
      </w:pPr>
      <w:r>
        <w:rPr>
          <w:szCs w:val="22"/>
        </w:rPr>
        <w:t>(1) Na poljoprivrednim površinama unutar ili izvan građevinskih područja mogu se graditi staklenici za uzgoj povrća, voća i cvijeća, te plastenici. Plastenicima se smatraju montažne građevine od plastične folije na drvenom ili metalnom konstrukcijskom rasteru.</w:t>
      </w:r>
    </w:p>
    <w:p w:rsidR="00012172" w:rsidRDefault="00012172">
      <w:pPr>
        <w:numPr>
          <w:ilvl w:val="12"/>
          <w:numId w:val="0"/>
        </w:numPr>
        <w:jc w:val="both"/>
        <w:rPr>
          <w:szCs w:val="22"/>
        </w:rPr>
      </w:pPr>
    </w:p>
    <w:p w:rsidR="00012172" w:rsidRDefault="00012172">
      <w:pPr>
        <w:numPr>
          <w:ilvl w:val="12"/>
          <w:numId w:val="0"/>
        </w:numPr>
        <w:jc w:val="both"/>
        <w:rPr>
          <w:szCs w:val="22"/>
        </w:rPr>
      </w:pPr>
      <w:r>
        <w:rPr>
          <w:szCs w:val="22"/>
        </w:rPr>
        <w:t>(2) Udaljenost plastenika ili staklenika od ruba susjednih čestica ne može biti manja od 1,0.</w:t>
      </w:r>
    </w:p>
    <w:p w:rsidR="00012172" w:rsidRDefault="00012172">
      <w:pPr>
        <w:numPr>
          <w:ilvl w:val="12"/>
          <w:numId w:val="0"/>
        </w:numPr>
      </w:pPr>
    </w:p>
    <w:p w:rsidR="00012172" w:rsidRDefault="00BA1A8A">
      <w:pPr>
        <w:numPr>
          <w:ilvl w:val="12"/>
          <w:numId w:val="0"/>
        </w:numPr>
        <w:jc w:val="center"/>
        <w:rPr>
          <w:szCs w:val="22"/>
        </w:rPr>
      </w:pPr>
      <w:r>
        <w:rPr>
          <w:szCs w:val="22"/>
        </w:rPr>
        <w:t xml:space="preserve">Članak </w:t>
      </w:r>
      <w:r w:rsidR="00257D68">
        <w:rPr>
          <w:szCs w:val="22"/>
        </w:rPr>
        <w:t>69</w:t>
      </w:r>
      <w:r w:rsidR="00012172">
        <w:rPr>
          <w:szCs w:val="22"/>
        </w:rPr>
        <w:t>.</w:t>
      </w:r>
    </w:p>
    <w:p w:rsidR="00012172" w:rsidRDefault="00411AD8">
      <w:pPr>
        <w:tabs>
          <w:tab w:val="num" w:pos="360"/>
        </w:tabs>
        <w:ind w:left="360" w:hanging="360"/>
        <w:jc w:val="both"/>
        <w:rPr>
          <w:szCs w:val="22"/>
        </w:rPr>
      </w:pPr>
      <w:r>
        <w:rPr>
          <w:szCs w:val="22"/>
        </w:rPr>
        <w:t xml:space="preserve">(1) </w:t>
      </w:r>
      <w:r w:rsidR="00012172">
        <w:rPr>
          <w:szCs w:val="22"/>
        </w:rPr>
        <w:t>Na potocima i stajaćim vodama mogu se graditi ribnjaci u skladu s posebnim uvjetima nadležnih ustanova i službi. Na potocima se mogu graditi i male hidroelektrane, te mlinovi, u skladu s posebnim uvjetima nadležnih ustanova i službi.</w:t>
      </w:r>
    </w:p>
    <w:p w:rsidR="00411AD8" w:rsidRDefault="00411AD8">
      <w:pPr>
        <w:tabs>
          <w:tab w:val="num" w:pos="360"/>
        </w:tabs>
        <w:ind w:left="360" w:hanging="360"/>
        <w:jc w:val="both"/>
        <w:rPr>
          <w:szCs w:val="22"/>
        </w:rPr>
      </w:pPr>
    </w:p>
    <w:p w:rsidR="00012172" w:rsidRDefault="00411AD8">
      <w:pPr>
        <w:tabs>
          <w:tab w:val="num" w:pos="360"/>
        </w:tabs>
        <w:ind w:left="360" w:hanging="360"/>
        <w:jc w:val="both"/>
        <w:rPr>
          <w:szCs w:val="22"/>
        </w:rPr>
      </w:pPr>
      <w:r>
        <w:rPr>
          <w:szCs w:val="22"/>
        </w:rPr>
        <w:t xml:space="preserve">(2) </w:t>
      </w:r>
      <w:r w:rsidR="00012172">
        <w:rPr>
          <w:szCs w:val="22"/>
        </w:rPr>
        <w:t>Ribnjaci se mogu graditi na poljoprivrednim površinama katastarskih kultura: močvara, trstika, napuštenih korita te neplodnog tla.</w:t>
      </w:r>
    </w:p>
    <w:p w:rsidR="00012172" w:rsidRDefault="00012172">
      <w:pPr>
        <w:pStyle w:val="Naslov1"/>
      </w:pPr>
      <w:bookmarkStart w:id="76" w:name="_Toc49756027"/>
    </w:p>
    <w:p w:rsidR="00012172" w:rsidRDefault="00012172">
      <w:pPr>
        <w:pStyle w:val="Naslov1"/>
        <w:rPr>
          <w:rFonts w:ascii="Times New Roman" w:hAnsi="Times New Roman" w:cs="Times New Roman"/>
        </w:rPr>
      </w:pPr>
      <w:bookmarkStart w:id="77" w:name="_Toc95140617"/>
      <w:r>
        <w:rPr>
          <w:rFonts w:ascii="Times New Roman" w:hAnsi="Times New Roman" w:cs="Times New Roman"/>
        </w:rPr>
        <w:t>3. Uvjeti smještaja gospodarskih djelatnosti</w:t>
      </w:r>
      <w:bookmarkEnd w:id="76"/>
      <w:bookmarkEnd w:id="77"/>
      <w:r>
        <w:rPr>
          <w:rFonts w:ascii="Times New Roman" w:hAnsi="Times New Roman" w:cs="Times New Roman"/>
        </w:rPr>
        <w:t xml:space="preserve"> </w:t>
      </w:r>
    </w:p>
    <w:p w:rsidR="00012172" w:rsidRDefault="00012172"/>
    <w:p w:rsidR="00012172" w:rsidRDefault="00BA1A8A">
      <w:pPr>
        <w:pStyle w:val="clanak"/>
        <w:jc w:val="center"/>
        <w:rPr>
          <w:rFonts w:ascii="Times New Roman" w:hAnsi="Times New Roman"/>
          <w:snapToGrid w:val="0"/>
          <w:sz w:val="24"/>
          <w:szCs w:val="22"/>
          <w:lang w:val="hr-HR" w:eastAsia="en-US"/>
        </w:rPr>
      </w:pPr>
      <w:r>
        <w:rPr>
          <w:rFonts w:ascii="Times New Roman" w:hAnsi="Times New Roman"/>
          <w:snapToGrid w:val="0"/>
          <w:sz w:val="24"/>
          <w:szCs w:val="22"/>
          <w:lang w:val="hr-HR" w:eastAsia="en-US"/>
        </w:rPr>
        <w:t>Članak 7</w:t>
      </w:r>
      <w:r w:rsidR="00257D68">
        <w:rPr>
          <w:rFonts w:ascii="Times New Roman" w:hAnsi="Times New Roman"/>
          <w:snapToGrid w:val="0"/>
          <w:sz w:val="24"/>
          <w:szCs w:val="22"/>
          <w:lang w:val="hr-HR" w:eastAsia="en-US"/>
        </w:rPr>
        <w:t>0</w:t>
      </w:r>
      <w:r w:rsidR="00012172">
        <w:rPr>
          <w:rFonts w:ascii="Times New Roman" w:hAnsi="Times New Roman"/>
          <w:snapToGrid w:val="0"/>
          <w:sz w:val="24"/>
          <w:szCs w:val="22"/>
          <w:lang w:val="hr-HR" w:eastAsia="en-US"/>
        </w:rPr>
        <w:t>.</w:t>
      </w:r>
    </w:p>
    <w:p w:rsidR="00012172" w:rsidRDefault="00012172">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(1)</w:t>
      </w:r>
      <w:r>
        <w:rPr>
          <w:rFonts w:ascii="Times New Roman" w:hAnsi="Times New Roman"/>
          <w:snapToGrid w:val="0"/>
          <w:sz w:val="24"/>
          <w:szCs w:val="22"/>
          <w:lang w:val="hr-HR" w:eastAsia="en-US"/>
        </w:rPr>
        <w:tab/>
        <w:t>Prostornim planom osigurani su uvjeti za smještaj gospodarskih sadržaja i to:</w:t>
      </w:r>
    </w:p>
    <w:p w:rsidR="00012172" w:rsidRDefault="00012172">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w:t>
      </w:r>
      <w:r>
        <w:rPr>
          <w:rFonts w:ascii="Times New Roman" w:hAnsi="Times New Roman"/>
          <w:snapToGrid w:val="0"/>
          <w:sz w:val="24"/>
          <w:szCs w:val="22"/>
          <w:lang w:val="hr-HR" w:eastAsia="en-US"/>
        </w:rPr>
        <w:tab/>
        <w:t>u građevinskim područjima naselja,</w:t>
      </w:r>
    </w:p>
    <w:p w:rsidR="00012172" w:rsidRDefault="00012172">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w:t>
      </w:r>
      <w:r>
        <w:rPr>
          <w:rFonts w:ascii="Times New Roman" w:hAnsi="Times New Roman"/>
          <w:snapToGrid w:val="0"/>
          <w:sz w:val="24"/>
          <w:szCs w:val="22"/>
          <w:lang w:val="hr-HR" w:eastAsia="en-US"/>
        </w:rPr>
        <w:tab/>
        <w:t xml:space="preserve">izvan građevinskog područja naselja. </w:t>
      </w:r>
    </w:p>
    <w:p w:rsidR="00012172" w:rsidRDefault="00012172">
      <w:pPr>
        <w:pStyle w:val="clanak"/>
        <w:rPr>
          <w:rFonts w:ascii="Times New Roman" w:hAnsi="Times New Roman"/>
          <w:snapToGrid w:val="0"/>
          <w:sz w:val="24"/>
          <w:szCs w:val="22"/>
          <w:lang w:val="hr-HR" w:eastAsia="en-US"/>
        </w:rPr>
      </w:pPr>
    </w:p>
    <w:p w:rsidR="00012172" w:rsidRDefault="00012172">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(2)</w:t>
      </w:r>
      <w:r>
        <w:rPr>
          <w:rFonts w:ascii="Times New Roman" w:hAnsi="Times New Roman"/>
          <w:snapToGrid w:val="0"/>
          <w:sz w:val="24"/>
          <w:szCs w:val="22"/>
          <w:lang w:val="hr-HR" w:eastAsia="en-US"/>
        </w:rPr>
        <w:tab/>
        <w:t xml:space="preserve">Gospodarske djelatnosti smještaju se u prostore iz stavka (1) ovog članka uz uvjet da: </w:t>
      </w:r>
    </w:p>
    <w:p w:rsidR="00012172" w:rsidRDefault="00012172">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w:t>
      </w:r>
      <w:r>
        <w:rPr>
          <w:rFonts w:ascii="Times New Roman" w:hAnsi="Times New Roman"/>
          <w:snapToGrid w:val="0"/>
          <w:sz w:val="24"/>
          <w:szCs w:val="22"/>
          <w:lang w:val="hr-HR" w:eastAsia="en-US"/>
        </w:rPr>
        <w:tab/>
        <w:t>racionalno koriste prostor,</w:t>
      </w:r>
    </w:p>
    <w:p w:rsidR="00012172" w:rsidRDefault="00012172">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w:t>
      </w:r>
      <w:r>
        <w:rPr>
          <w:rFonts w:ascii="Times New Roman" w:hAnsi="Times New Roman"/>
          <w:snapToGrid w:val="0"/>
          <w:sz w:val="24"/>
          <w:szCs w:val="22"/>
          <w:lang w:val="hr-HR" w:eastAsia="en-US"/>
        </w:rPr>
        <w:tab/>
        <w:t>nisu u suprotnosti sa zaštitom okoliša.</w:t>
      </w:r>
    </w:p>
    <w:p w:rsidR="00BA1A8A" w:rsidRDefault="00BA1A8A">
      <w:pPr>
        <w:pStyle w:val="StandardWeb"/>
        <w:numPr>
          <w:ilvl w:val="12"/>
          <w:numId w:val="0"/>
        </w:numPr>
        <w:spacing w:before="0" w:beforeAutospacing="0" w:after="0" w:afterAutospacing="0"/>
        <w:rPr>
          <w:snapToGrid w:val="0"/>
          <w:szCs w:val="20"/>
          <w:lang w:eastAsia="en-US"/>
        </w:rPr>
      </w:pPr>
    </w:p>
    <w:p w:rsidR="00BA1A8A" w:rsidRDefault="00BA1A8A">
      <w:pPr>
        <w:pStyle w:val="StandardWeb"/>
        <w:numPr>
          <w:ilvl w:val="12"/>
          <w:numId w:val="0"/>
        </w:numPr>
        <w:spacing w:before="0" w:beforeAutospacing="0" w:after="0" w:afterAutospacing="0"/>
        <w:rPr>
          <w:snapToGrid w:val="0"/>
          <w:szCs w:val="20"/>
          <w:lang w:eastAsia="en-US"/>
        </w:rPr>
      </w:pPr>
    </w:p>
    <w:p w:rsidR="00012172" w:rsidRDefault="00012172">
      <w:pPr>
        <w:numPr>
          <w:ilvl w:val="12"/>
          <w:numId w:val="0"/>
        </w:numPr>
        <w:jc w:val="center"/>
        <w:rPr>
          <w:szCs w:val="22"/>
        </w:rPr>
      </w:pPr>
      <w:r>
        <w:rPr>
          <w:szCs w:val="22"/>
        </w:rPr>
        <w:t>Č</w:t>
      </w:r>
      <w:r>
        <w:rPr>
          <w:szCs w:val="22"/>
          <w:lang w:val="de-DE"/>
        </w:rPr>
        <w:t>lanak</w:t>
      </w:r>
      <w:r w:rsidR="00257D68">
        <w:rPr>
          <w:szCs w:val="22"/>
        </w:rPr>
        <w:t xml:space="preserve"> 71</w:t>
      </w:r>
      <w:r>
        <w:rPr>
          <w:szCs w:val="22"/>
        </w:rPr>
        <w:t>.</w:t>
      </w:r>
    </w:p>
    <w:p w:rsidR="00012172" w:rsidRDefault="00012172">
      <w:pPr>
        <w:numPr>
          <w:ilvl w:val="12"/>
          <w:numId w:val="0"/>
        </w:numPr>
        <w:jc w:val="both"/>
        <w:rPr>
          <w:szCs w:val="22"/>
        </w:rPr>
      </w:pPr>
      <w:r>
        <w:rPr>
          <w:szCs w:val="22"/>
        </w:rPr>
        <w:t xml:space="preserve">(1) </w:t>
      </w:r>
      <w:r>
        <w:rPr>
          <w:szCs w:val="22"/>
          <w:lang w:val="de-DE"/>
        </w:rPr>
        <w:t>Pod</w:t>
      </w:r>
      <w:r>
        <w:rPr>
          <w:szCs w:val="22"/>
        </w:rPr>
        <w:t xml:space="preserve"> </w:t>
      </w:r>
      <w:r>
        <w:rPr>
          <w:szCs w:val="22"/>
          <w:lang w:val="de-DE"/>
        </w:rPr>
        <w:t>gospodarskim</w:t>
      </w:r>
      <w:r>
        <w:rPr>
          <w:szCs w:val="22"/>
        </w:rPr>
        <w:t xml:space="preserve"> (</w:t>
      </w:r>
      <w:r>
        <w:rPr>
          <w:szCs w:val="22"/>
          <w:lang w:val="de-DE"/>
        </w:rPr>
        <w:t>poslovno</w:t>
      </w:r>
      <w:r>
        <w:rPr>
          <w:szCs w:val="22"/>
        </w:rPr>
        <w:t>-</w:t>
      </w:r>
      <w:r>
        <w:rPr>
          <w:szCs w:val="22"/>
          <w:lang w:val="de-DE"/>
        </w:rPr>
        <w:t>radnim</w:t>
      </w:r>
      <w:r>
        <w:rPr>
          <w:szCs w:val="22"/>
        </w:rPr>
        <w:t xml:space="preserve">) </w:t>
      </w:r>
      <w:r>
        <w:rPr>
          <w:szCs w:val="22"/>
          <w:lang w:val="de-DE"/>
        </w:rPr>
        <w:t>zonama</w:t>
      </w:r>
      <w:r>
        <w:rPr>
          <w:szCs w:val="22"/>
        </w:rPr>
        <w:t xml:space="preserve"> </w:t>
      </w:r>
      <w:r>
        <w:rPr>
          <w:szCs w:val="22"/>
          <w:lang w:val="de-DE"/>
        </w:rPr>
        <w:t>podrazumijevaju</w:t>
      </w:r>
      <w:r>
        <w:rPr>
          <w:szCs w:val="22"/>
        </w:rPr>
        <w:t xml:space="preserve"> </w:t>
      </w:r>
      <w:r>
        <w:rPr>
          <w:szCs w:val="22"/>
          <w:lang w:val="de-DE"/>
        </w:rPr>
        <w:t>se</w:t>
      </w:r>
      <w:r>
        <w:rPr>
          <w:szCs w:val="22"/>
        </w:rPr>
        <w:t xml:space="preserve"> </w:t>
      </w:r>
      <w:r>
        <w:rPr>
          <w:szCs w:val="22"/>
          <w:lang w:val="de-DE"/>
        </w:rPr>
        <w:t>zone</w:t>
      </w:r>
      <w:r>
        <w:rPr>
          <w:szCs w:val="22"/>
        </w:rPr>
        <w:t xml:space="preserve"> </w:t>
      </w:r>
      <w:r>
        <w:rPr>
          <w:szCs w:val="22"/>
          <w:lang w:val="de-DE"/>
        </w:rPr>
        <w:t>u</w:t>
      </w:r>
      <w:r>
        <w:rPr>
          <w:szCs w:val="22"/>
        </w:rPr>
        <w:t xml:space="preserve"> </w:t>
      </w:r>
      <w:r>
        <w:rPr>
          <w:szCs w:val="22"/>
          <w:lang w:val="de-DE"/>
        </w:rPr>
        <w:t>kojima</w:t>
      </w:r>
      <w:r>
        <w:rPr>
          <w:szCs w:val="22"/>
        </w:rPr>
        <w:t xml:space="preserve"> </w:t>
      </w:r>
      <w:r>
        <w:rPr>
          <w:szCs w:val="22"/>
          <w:lang w:val="de-DE"/>
        </w:rPr>
        <w:t>je</w:t>
      </w:r>
      <w:r>
        <w:rPr>
          <w:szCs w:val="22"/>
        </w:rPr>
        <w:t xml:space="preserve"> </w:t>
      </w:r>
      <w:r>
        <w:rPr>
          <w:szCs w:val="22"/>
          <w:lang w:val="de-DE"/>
        </w:rPr>
        <w:t>mogu</w:t>
      </w:r>
      <w:r>
        <w:rPr>
          <w:szCs w:val="22"/>
        </w:rPr>
        <w:t>ć</w:t>
      </w:r>
      <w:r>
        <w:rPr>
          <w:szCs w:val="22"/>
          <w:lang w:val="de-DE"/>
        </w:rPr>
        <w:t>a</w:t>
      </w:r>
      <w:r>
        <w:rPr>
          <w:szCs w:val="22"/>
        </w:rPr>
        <w:t xml:space="preserve"> </w:t>
      </w:r>
      <w:r>
        <w:rPr>
          <w:szCs w:val="22"/>
          <w:lang w:val="de-DE"/>
        </w:rPr>
        <w:t>gradnja</w:t>
      </w:r>
      <w:r>
        <w:rPr>
          <w:szCs w:val="22"/>
        </w:rPr>
        <w:t xml:space="preserve"> </w:t>
      </w:r>
      <w:r>
        <w:rPr>
          <w:szCs w:val="22"/>
          <w:lang w:val="de-DE"/>
        </w:rPr>
        <w:t>poslovnih</w:t>
      </w:r>
      <w:r>
        <w:rPr>
          <w:szCs w:val="22"/>
        </w:rPr>
        <w:t xml:space="preserve"> </w:t>
      </w:r>
      <w:r>
        <w:rPr>
          <w:szCs w:val="22"/>
          <w:lang w:val="de-DE"/>
        </w:rPr>
        <w:t>gra</w:t>
      </w:r>
      <w:r>
        <w:rPr>
          <w:szCs w:val="22"/>
        </w:rPr>
        <w:t>đ</w:t>
      </w:r>
      <w:r>
        <w:rPr>
          <w:szCs w:val="22"/>
          <w:lang w:val="de-DE"/>
        </w:rPr>
        <w:t>evina</w:t>
      </w:r>
      <w:r>
        <w:rPr>
          <w:szCs w:val="22"/>
        </w:rPr>
        <w:t xml:space="preserve"> </w:t>
      </w:r>
      <w:r>
        <w:rPr>
          <w:szCs w:val="22"/>
          <w:lang w:val="de-DE"/>
        </w:rPr>
        <w:t>i</w:t>
      </w:r>
      <w:r>
        <w:rPr>
          <w:szCs w:val="22"/>
        </w:rPr>
        <w:t xml:space="preserve"> </w:t>
      </w:r>
      <w:r>
        <w:rPr>
          <w:szCs w:val="22"/>
          <w:lang w:val="de-DE"/>
        </w:rPr>
        <w:t>proizvodnih</w:t>
      </w:r>
      <w:r>
        <w:rPr>
          <w:szCs w:val="22"/>
        </w:rPr>
        <w:t xml:space="preserve"> </w:t>
      </w:r>
      <w:r>
        <w:rPr>
          <w:szCs w:val="22"/>
          <w:lang w:val="de-DE"/>
        </w:rPr>
        <w:t>pogona</w:t>
      </w:r>
      <w:r>
        <w:rPr>
          <w:szCs w:val="22"/>
        </w:rPr>
        <w:t xml:space="preserve"> č</w:t>
      </w:r>
      <w:r>
        <w:rPr>
          <w:szCs w:val="22"/>
          <w:lang w:val="de-DE"/>
        </w:rPr>
        <w:t>iste</w:t>
      </w:r>
      <w:r>
        <w:rPr>
          <w:szCs w:val="22"/>
        </w:rPr>
        <w:t xml:space="preserve"> </w:t>
      </w:r>
      <w:r>
        <w:rPr>
          <w:szCs w:val="22"/>
          <w:lang w:val="de-DE"/>
        </w:rPr>
        <w:t>industrije</w:t>
      </w:r>
      <w:r>
        <w:rPr>
          <w:szCs w:val="22"/>
        </w:rPr>
        <w:t xml:space="preserve">, </w:t>
      </w:r>
      <w:r>
        <w:rPr>
          <w:szCs w:val="22"/>
          <w:lang w:val="de-DE"/>
        </w:rPr>
        <w:t>servisne</w:t>
      </w:r>
      <w:r>
        <w:rPr>
          <w:szCs w:val="22"/>
        </w:rPr>
        <w:t xml:space="preserve"> </w:t>
      </w:r>
      <w:r>
        <w:rPr>
          <w:szCs w:val="22"/>
          <w:lang w:val="de-DE"/>
        </w:rPr>
        <w:t>i</w:t>
      </w:r>
      <w:r>
        <w:rPr>
          <w:szCs w:val="22"/>
        </w:rPr>
        <w:t xml:space="preserve"> </w:t>
      </w:r>
      <w:r>
        <w:rPr>
          <w:szCs w:val="22"/>
          <w:lang w:val="de-DE"/>
        </w:rPr>
        <w:t>zanatske</w:t>
      </w:r>
      <w:r>
        <w:rPr>
          <w:szCs w:val="22"/>
        </w:rPr>
        <w:t xml:space="preserve"> </w:t>
      </w:r>
      <w:r>
        <w:rPr>
          <w:szCs w:val="22"/>
          <w:lang w:val="de-DE"/>
        </w:rPr>
        <w:t>djelatnosti</w:t>
      </w:r>
      <w:r>
        <w:rPr>
          <w:szCs w:val="22"/>
        </w:rPr>
        <w:t xml:space="preserve">, </w:t>
      </w:r>
      <w:r>
        <w:rPr>
          <w:szCs w:val="22"/>
          <w:lang w:val="de-DE"/>
        </w:rPr>
        <w:t>skladi</w:t>
      </w:r>
      <w:r>
        <w:rPr>
          <w:szCs w:val="22"/>
        </w:rPr>
        <w:t>š</w:t>
      </w:r>
      <w:r>
        <w:rPr>
          <w:szCs w:val="22"/>
          <w:lang w:val="de-DE"/>
        </w:rPr>
        <w:t>ta</w:t>
      </w:r>
      <w:r>
        <w:rPr>
          <w:szCs w:val="22"/>
        </w:rPr>
        <w:t xml:space="preserve"> </w:t>
      </w:r>
      <w:r>
        <w:rPr>
          <w:szCs w:val="22"/>
          <w:lang w:val="de-DE"/>
        </w:rPr>
        <w:t>i</w:t>
      </w:r>
      <w:r>
        <w:rPr>
          <w:szCs w:val="22"/>
        </w:rPr>
        <w:t xml:space="preserve"> </w:t>
      </w:r>
      <w:r>
        <w:rPr>
          <w:szCs w:val="22"/>
          <w:lang w:val="de-DE"/>
        </w:rPr>
        <w:t>servisa</w:t>
      </w:r>
      <w:r>
        <w:rPr>
          <w:szCs w:val="22"/>
        </w:rPr>
        <w:t xml:space="preserve">, </w:t>
      </w:r>
      <w:r>
        <w:rPr>
          <w:szCs w:val="22"/>
          <w:lang w:val="de-DE"/>
        </w:rPr>
        <w:t>te</w:t>
      </w:r>
      <w:r>
        <w:rPr>
          <w:szCs w:val="22"/>
        </w:rPr>
        <w:t xml:space="preserve"> </w:t>
      </w:r>
      <w:r>
        <w:rPr>
          <w:szCs w:val="22"/>
          <w:lang w:val="de-DE"/>
        </w:rPr>
        <w:t>ostalih</w:t>
      </w:r>
      <w:r>
        <w:rPr>
          <w:szCs w:val="22"/>
        </w:rPr>
        <w:t xml:space="preserve"> </w:t>
      </w:r>
      <w:r>
        <w:rPr>
          <w:szCs w:val="22"/>
          <w:lang w:val="de-DE"/>
        </w:rPr>
        <w:t>djelatnosti</w:t>
      </w:r>
      <w:r>
        <w:rPr>
          <w:szCs w:val="22"/>
        </w:rPr>
        <w:t xml:space="preserve"> </w:t>
      </w:r>
      <w:r>
        <w:rPr>
          <w:szCs w:val="22"/>
          <w:lang w:val="de-DE"/>
        </w:rPr>
        <w:t>koje</w:t>
      </w:r>
      <w:r>
        <w:rPr>
          <w:szCs w:val="22"/>
        </w:rPr>
        <w:t xml:space="preserve"> </w:t>
      </w:r>
      <w:r>
        <w:rPr>
          <w:szCs w:val="22"/>
          <w:lang w:val="de-DE"/>
        </w:rPr>
        <w:t>svojim</w:t>
      </w:r>
      <w:r>
        <w:rPr>
          <w:szCs w:val="22"/>
        </w:rPr>
        <w:t xml:space="preserve"> </w:t>
      </w:r>
      <w:r>
        <w:rPr>
          <w:szCs w:val="22"/>
          <w:lang w:val="de-DE"/>
        </w:rPr>
        <w:t>postojanjem</w:t>
      </w:r>
      <w:r>
        <w:rPr>
          <w:szCs w:val="22"/>
        </w:rPr>
        <w:t xml:space="preserve"> </w:t>
      </w:r>
      <w:r>
        <w:rPr>
          <w:szCs w:val="22"/>
          <w:lang w:val="de-DE"/>
        </w:rPr>
        <w:t>i</w:t>
      </w:r>
      <w:r>
        <w:rPr>
          <w:szCs w:val="22"/>
        </w:rPr>
        <w:t xml:space="preserve"> </w:t>
      </w:r>
      <w:r>
        <w:rPr>
          <w:szCs w:val="22"/>
          <w:lang w:val="de-DE"/>
        </w:rPr>
        <w:t>radom</w:t>
      </w:r>
      <w:r>
        <w:rPr>
          <w:szCs w:val="22"/>
        </w:rPr>
        <w:t xml:space="preserve"> </w:t>
      </w:r>
      <w:r>
        <w:rPr>
          <w:szCs w:val="22"/>
          <w:lang w:val="de-DE"/>
        </w:rPr>
        <w:t>ne</w:t>
      </w:r>
      <w:r>
        <w:rPr>
          <w:szCs w:val="22"/>
        </w:rPr>
        <w:t xml:space="preserve"> </w:t>
      </w:r>
      <w:r>
        <w:rPr>
          <w:szCs w:val="22"/>
          <w:lang w:val="de-DE"/>
        </w:rPr>
        <w:t>ote</w:t>
      </w:r>
      <w:r>
        <w:rPr>
          <w:szCs w:val="22"/>
        </w:rPr>
        <w:t>ž</w:t>
      </w:r>
      <w:r>
        <w:rPr>
          <w:szCs w:val="22"/>
          <w:lang w:val="de-DE"/>
        </w:rPr>
        <w:t>avaju</w:t>
      </w:r>
      <w:r>
        <w:rPr>
          <w:szCs w:val="22"/>
        </w:rPr>
        <w:t xml:space="preserve"> </w:t>
      </w:r>
      <w:r>
        <w:rPr>
          <w:szCs w:val="22"/>
          <w:lang w:val="de-DE"/>
        </w:rPr>
        <w:t>i</w:t>
      </w:r>
      <w:r>
        <w:rPr>
          <w:szCs w:val="22"/>
        </w:rPr>
        <w:t xml:space="preserve"> </w:t>
      </w:r>
      <w:r>
        <w:rPr>
          <w:szCs w:val="22"/>
          <w:lang w:val="de-DE"/>
        </w:rPr>
        <w:t>ugro</w:t>
      </w:r>
      <w:r>
        <w:rPr>
          <w:szCs w:val="22"/>
        </w:rPr>
        <w:t>ž</w:t>
      </w:r>
      <w:r>
        <w:rPr>
          <w:szCs w:val="22"/>
          <w:lang w:val="de-DE"/>
        </w:rPr>
        <w:t>avaju</w:t>
      </w:r>
      <w:r>
        <w:rPr>
          <w:szCs w:val="22"/>
        </w:rPr>
        <w:t xml:space="preserve"> </w:t>
      </w:r>
      <w:r>
        <w:rPr>
          <w:szCs w:val="22"/>
          <w:lang w:val="de-DE"/>
        </w:rPr>
        <w:t>ostale</w:t>
      </w:r>
      <w:r>
        <w:rPr>
          <w:szCs w:val="22"/>
        </w:rPr>
        <w:t xml:space="preserve"> </w:t>
      </w:r>
      <w:r>
        <w:rPr>
          <w:szCs w:val="22"/>
          <w:lang w:val="de-DE"/>
        </w:rPr>
        <w:t>funkcije</w:t>
      </w:r>
      <w:r>
        <w:rPr>
          <w:szCs w:val="22"/>
        </w:rPr>
        <w:t xml:space="preserve"> </w:t>
      </w:r>
      <w:r>
        <w:rPr>
          <w:szCs w:val="22"/>
          <w:lang w:val="de-DE"/>
        </w:rPr>
        <w:t>i</w:t>
      </w:r>
      <w:r>
        <w:rPr>
          <w:szCs w:val="22"/>
        </w:rPr>
        <w:t xml:space="preserve"> č</w:t>
      </w:r>
      <w:r>
        <w:rPr>
          <w:szCs w:val="22"/>
          <w:lang w:val="de-DE"/>
        </w:rPr>
        <w:t>ovjekovu</w:t>
      </w:r>
      <w:r>
        <w:rPr>
          <w:szCs w:val="22"/>
        </w:rPr>
        <w:t xml:space="preserve"> </w:t>
      </w:r>
      <w:r>
        <w:rPr>
          <w:szCs w:val="22"/>
          <w:lang w:val="de-DE"/>
        </w:rPr>
        <w:t>okolinu</w:t>
      </w:r>
      <w:r>
        <w:rPr>
          <w:szCs w:val="22"/>
        </w:rPr>
        <w:t xml:space="preserve"> </w:t>
      </w:r>
      <w:r>
        <w:rPr>
          <w:szCs w:val="22"/>
          <w:lang w:val="de-DE"/>
        </w:rPr>
        <w:t>u</w:t>
      </w:r>
      <w:r>
        <w:rPr>
          <w:szCs w:val="22"/>
        </w:rPr>
        <w:t xml:space="preserve"> </w:t>
      </w:r>
      <w:r>
        <w:rPr>
          <w:szCs w:val="22"/>
          <w:lang w:val="de-DE"/>
        </w:rPr>
        <w:t>naselju</w:t>
      </w:r>
      <w:r>
        <w:rPr>
          <w:szCs w:val="22"/>
        </w:rPr>
        <w:t>.</w:t>
      </w:r>
    </w:p>
    <w:p w:rsidR="00012172" w:rsidRDefault="00012172">
      <w:pPr>
        <w:numPr>
          <w:ilvl w:val="12"/>
          <w:numId w:val="0"/>
        </w:numPr>
        <w:rPr>
          <w:szCs w:val="22"/>
        </w:rPr>
      </w:pPr>
      <w:r>
        <w:rPr>
          <w:szCs w:val="22"/>
          <w:lang w:val="de-DE"/>
        </w:rPr>
        <w:t>U</w:t>
      </w:r>
      <w:r>
        <w:rPr>
          <w:szCs w:val="22"/>
        </w:rPr>
        <w:t xml:space="preserve"> </w:t>
      </w:r>
      <w:r>
        <w:rPr>
          <w:szCs w:val="22"/>
          <w:lang w:val="de-DE"/>
        </w:rPr>
        <w:t>sklopu</w:t>
      </w:r>
      <w:r>
        <w:rPr>
          <w:szCs w:val="22"/>
        </w:rPr>
        <w:t xml:space="preserve"> </w:t>
      </w:r>
      <w:r>
        <w:rPr>
          <w:szCs w:val="22"/>
          <w:lang w:val="de-DE"/>
        </w:rPr>
        <w:t>zone</w:t>
      </w:r>
      <w:r>
        <w:rPr>
          <w:szCs w:val="22"/>
        </w:rPr>
        <w:t xml:space="preserve"> (</w:t>
      </w:r>
      <w:r>
        <w:rPr>
          <w:szCs w:val="22"/>
          <w:lang w:val="de-DE"/>
        </w:rPr>
        <w:t>poslovno</w:t>
      </w:r>
      <w:r>
        <w:rPr>
          <w:szCs w:val="22"/>
        </w:rPr>
        <w:t>-</w:t>
      </w:r>
      <w:r>
        <w:rPr>
          <w:szCs w:val="22"/>
          <w:lang w:val="de-DE"/>
        </w:rPr>
        <w:t>radnih</w:t>
      </w:r>
      <w:r>
        <w:rPr>
          <w:szCs w:val="22"/>
        </w:rPr>
        <w:t xml:space="preserve"> </w:t>
      </w:r>
      <w:r>
        <w:rPr>
          <w:szCs w:val="22"/>
          <w:lang w:val="de-DE"/>
        </w:rPr>
        <w:t>zona</w:t>
      </w:r>
      <w:r>
        <w:rPr>
          <w:szCs w:val="22"/>
        </w:rPr>
        <w:t xml:space="preserve">) </w:t>
      </w:r>
      <w:r>
        <w:rPr>
          <w:szCs w:val="22"/>
          <w:lang w:val="de-DE"/>
        </w:rPr>
        <w:t>gradnja</w:t>
      </w:r>
      <w:r>
        <w:rPr>
          <w:szCs w:val="22"/>
        </w:rPr>
        <w:t xml:space="preserve"> </w:t>
      </w:r>
      <w:r>
        <w:rPr>
          <w:szCs w:val="22"/>
          <w:lang w:val="de-DE"/>
        </w:rPr>
        <w:t>treba</w:t>
      </w:r>
      <w:r>
        <w:rPr>
          <w:szCs w:val="22"/>
        </w:rPr>
        <w:t xml:space="preserve"> </w:t>
      </w:r>
      <w:r>
        <w:rPr>
          <w:szCs w:val="22"/>
          <w:lang w:val="de-DE"/>
        </w:rPr>
        <w:t>biti</w:t>
      </w:r>
      <w:r>
        <w:rPr>
          <w:szCs w:val="22"/>
        </w:rPr>
        <w:t xml:space="preserve"> </w:t>
      </w:r>
      <w:r>
        <w:rPr>
          <w:szCs w:val="22"/>
          <w:lang w:val="de-DE"/>
        </w:rPr>
        <w:t>tako</w:t>
      </w:r>
      <w:r>
        <w:rPr>
          <w:szCs w:val="22"/>
        </w:rPr>
        <w:t xml:space="preserve"> </w:t>
      </w:r>
      <w:r>
        <w:rPr>
          <w:szCs w:val="22"/>
          <w:lang w:val="de-DE"/>
        </w:rPr>
        <w:t>koncipirana</w:t>
      </w:r>
      <w:r>
        <w:rPr>
          <w:szCs w:val="22"/>
        </w:rPr>
        <w:t xml:space="preserve"> </w:t>
      </w:r>
      <w:r>
        <w:rPr>
          <w:szCs w:val="22"/>
          <w:lang w:val="de-DE"/>
        </w:rPr>
        <w:t>da</w:t>
      </w:r>
      <w:r>
        <w:rPr>
          <w:szCs w:val="22"/>
        </w:rPr>
        <w:t xml:space="preserve"> :</w:t>
      </w:r>
    </w:p>
    <w:p w:rsidR="00012172" w:rsidRDefault="00012172" w:rsidP="00012172">
      <w:pPr>
        <w:overflowPunct w:val="0"/>
        <w:autoSpaceDE w:val="0"/>
        <w:autoSpaceDN w:val="0"/>
        <w:adjustRightInd w:val="0"/>
        <w:ind w:left="1003" w:hanging="283"/>
        <w:textAlignment w:val="baseline"/>
        <w:rPr>
          <w:szCs w:val="22"/>
        </w:rPr>
      </w:pPr>
      <w:r>
        <w:rPr>
          <w:szCs w:val="22"/>
          <w:lang w:val="de-DE"/>
        </w:rPr>
        <w:t>maksimalni</w:t>
      </w:r>
      <w:r>
        <w:rPr>
          <w:szCs w:val="22"/>
        </w:rPr>
        <w:t xml:space="preserve"> </w:t>
      </w:r>
      <w:r>
        <w:rPr>
          <w:szCs w:val="22"/>
          <w:lang w:val="de-DE"/>
        </w:rPr>
        <w:t>koeficijent</w:t>
      </w:r>
      <w:r>
        <w:rPr>
          <w:szCs w:val="22"/>
        </w:rPr>
        <w:t xml:space="preserve"> </w:t>
      </w:r>
      <w:r>
        <w:rPr>
          <w:szCs w:val="22"/>
          <w:lang w:val="de-DE"/>
        </w:rPr>
        <w:t>izgra</w:t>
      </w:r>
      <w:r>
        <w:rPr>
          <w:szCs w:val="22"/>
        </w:rPr>
        <w:t>đ</w:t>
      </w:r>
      <w:r>
        <w:rPr>
          <w:szCs w:val="22"/>
          <w:lang w:val="de-DE"/>
        </w:rPr>
        <w:t>enosti</w:t>
      </w:r>
      <w:r>
        <w:rPr>
          <w:szCs w:val="22"/>
        </w:rPr>
        <w:t xml:space="preserve"> </w:t>
      </w:r>
      <w:r>
        <w:rPr>
          <w:szCs w:val="22"/>
          <w:lang w:val="de-DE"/>
        </w:rPr>
        <w:t>gra</w:t>
      </w:r>
      <w:r>
        <w:rPr>
          <w:szCs w:val="22"/>
        </w:rPr>
        <w:t>đ</w:t>
      </w:r>
      <w:r>
        <w:rPr>
          <w:szCs w:val="22"/>
          <w:lang w:val="de-DE"/>
        </w:rPr>
        <w:t>evinske</w:t>
      </w:r>
      <w:r>
        <w:rPr>
          <w:szCs w:val="22"/>
        </w:rPr>
        <w:t xml:space="preserve"> </w:t>
      </w:r>
      <w:r>
        <w:rPr>
          <w:szCs w:val="22"/>
          <w:lang w:val="de-DE"/>
        </w:rPr>
        <w:t>parcele</w:t>
      </w:r>
      <w:r>
        <w:rPr>
          <w:szCs w:val="22"/>
        </w:rPr>
        <w:t xml:space="preserve"> </w:t>
      </w:r>
      <w:r>
        <w:rPr>
          <w:szCs w:val="22"/>
          <w:lang w:val="de-DE"/>
        </w:rPr>
        <w:t>iznosi</w:t>
      </w:r>
      <w:r>
        <w:rPr>
          <w:szCs w:val="22"/>
        </w:rPr>
        <w:t xml:space="preserve"> </w:t>
      </w:r>
      <w:r>
        <w:rPr>
          <w:szCs w:val="22"/>
          <w:lang w:val="de-DE"/>
        </w:rPr>
        <w:t>do</w:t>
      </w:r>
      <w:r>
        <w:rPr>
          <w:szCs w:val="22"/>
        </w:rPr>
        <w:t xml:space="preserve"> 70 % ;</w:t>
      </w:r>
    </w:p>
    <w:p w:rsidR="00012172" w:rsidRDefault="00012172">
      <w:pPr>
        <w:numPr>
          <w:ilvl w:val="12"/>
          <w:numId w:val="0"/>
        </w:numPr>
        <w:ind w:firstLine="720"/>
        <w:jc w:val="both"/>
        <w:rPr>
          <w:szCs w:val="22"/>
        </w:rPr>
      </w:pPr>
    </w:p>
    <w:p w:rsidR="00012172" w:rsidRDefault="00012172">
      <w:pPr>
        <w:numPr>
          <w:ilvl w:val="12"/>
          <w:numId w:val="0"/>
        </w:numPr>
        <w:jc w:val="both"/>
        <w:rPr>
          <w:szCs w:val="22"/>
        </w:rPr>
      </w:pPr>
      <w:r>
        <w:rPr>
          <w:szCs w:val="22"/>
        </w:rPr>
        <w:t>(2) Vegetacijski pojas oko gospodarskih građevina treba planirati u obliku amorfnih parkovno-pejsažnih formi.</w:t>
      </w:r>
    </w:p>
    <w:p w:rsidR="00012172" w:rsidRDefault="00012172">
      <w:pPr>
        <w:numPr>
          <w:ilvl w:val="12"/>
          <w:numId w:val="0"/>
        </w:numPr>
        <w:jc w:val="center"/>
      </w:pPr>
    </w:p>
    <w:p w:rsidR="00012172" w:rsidRDefault="00BA1A8A">
      <w:pPr>
        <w:pStyle w:val="clanak"/>
        <w:jc w:val="center"/>
        <w:rPr>
          <w:rFonts w:ascii="Times New Roman" w:hAnsi="Times New Roman"/>
          <w:snapToGrid w:val="0"/>
          <w:sz w:val="24"/>
          <w:szCs w:val="22"/>
          <w:lang w:val="hr-HR" w:eastAsia="en-US"/>
        </w:rPr>
      </w:pPr>
      <w:r>
        <w:rPr>
          <w:rFonts w:ascii="Times New Roman" w:hAnsi="Times New Roman"/>
          <w:snapToGrid w:val="0"/>
          <w:sz w:val="24"/>
          <w:szCs w:val="22"/>
          <w:lang w:val="hr-HR" w:eastAsia="en-US"/>
        </w:rPr>
        <w:t xml:space="preserve">Članak </w:t>
      </w:r>
      <w:r w:rsidR="00012172">
        <w:rPr>
          <w:rFonts w:ascii="Times New Roman" w:hAnsi="Times New Roman"/>
          <w:snapToGrid w:val="0"/>
          <w:sz w:val="24"/>
          <w:szCs w:val="22"/>
          <w:lang w:val="hr-HR" w:eastAsia="en-US"/>
        </w:rPr>
        <w:t>7</w:t>
      </w:r>
      <w:r w:rsidR="00257D68">
        <w:rPr>
          <w:rFonts w:ascii="Times New Roman" w:hAnsi="Times New Roman"/>
          <w:snapToGrid w:val="0"/>
          <w:sz w:val="24"/>
          <w:szCs w:val="22"/>
          <w:lang w:val="hr-HR" w:eastAsia="en-US"/>
        </w:rPr>
        <w:t>2</w:t>
      </w:r>
      <w:r w:rsidR="00012172">
        <w:rPr>
          <w:rFonts w:ascii="Times New Roman" w:hAnsi="Times New Roman"/>
          <w:snapToGrid w:val="0"/>
          <w:sz w:val="24"/>
          <w:szCs w:val="22"/>
          <w:lang w:val="hr-HR" w:eastAsia="en-US"/>
        </w:rPr>
        <w:t>.</w:t>
      </w:r>
    </w:p>
    <w:p w:rsidR="00012172" w:rsidRDefault="00012172">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(1) Poslovne građevine sa sadržajima neophodnim za svakodnevni život (obrada, dorada, servisi, opskrba, skladišta i slično) mogu se graditi i unutar građevinskih područja za gradnju i razvoj naselja u skladu s lokalnim uvjetima, ukoliko karakter naselja, tehnološko rješenje, veličina građevinske čestice i njen položaj to omogućavaju</w:t>
      </w:r>
    </w:p>
    <w:p w:rsidR="00012172" w:rsidRDefault="00012172">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Uz to trebaju biti zadovoljeni ovi uvjeti:</w:t>
      </w:r>
    </w:p>
    <w:p w:rsidR="00012172" w:rsidRPr="00BA1A8A" w:rsidRDefault="00012172" w:rsidP="00BA1A8A">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djelatnost koja se u njima obavlja, način organizacije rada i tehnološko rješenje te potrebe prometa ne smiju ugrožavati okoliš i kvalitetu života na susjednim građevinskim česticama i naselju</w:t>
      </w:r>
      <w:r w:rsidR="00BA1A8A">
        <w:rPr>
          <w:rFonts w:ascii="Times New Roman" w:hAnsi="Times New Roman"/>
          <w:snapToGrid w:val="0"/>
          <w:sz w:val="24"/>
          <w:szCs w:val="22"/>
          <w:lang w:val="hr-HR" w:eastAsia="en-US"/>
        </w:rPr>
        <w:t xml:space="preserve"> </w:t>
      </w:r>
      <w:r w:rsidRPr="00BA1A8A">
        <w:rPr>
          <w:rFonts w:ascii="Times New Roman" w:hAnsi="Times New Roman"/>
          <w:snapToGrid w:val="0"/>
          <w:sz w:val="24"/>
          <w:szCs w:val="22"/>
          <w:lang w:val="hr-HR" w:eastAsia="en-US"/>
        </w:rPr>
        <w:t>oblik i veličina građevinske čestice treba biti određen prema članku 26. ovih Odredbi</w:t>
      </w:r>
    </w:p>
    <w:p w:rsidR="00012172" w:rsidRDefault="00012172">
      <w:pPr>
        <w:pStyle w:val="clanak"/>
        <w:rPr>
          <w:rFonts w:ascii="Arial" w:hAnsi="Arial" w:cs="Arial"/>
          <w:snapToGrid w:val="0"/>
          <w:sz w:val="22"/>
          <w:szCs w:val="22"/>
          <w:lang w:val="hr-HR" w:eastAsia="en-US"/>
        </w:rPr>
      </w:pPr>
    </w:p>
    <w:p w:rsidR="00012172" w:rsidRDefault="00012172">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 xml:space="preserve">(2) Iznimno, u skladu s lokalnim uvjetima, unutar građevinskih područja naselja mogu se za građenje poslovnih građevina formirati </w:t>
      </w:r>
      <w:r w:rsidR="00007AAB">
        <w:rPr>
          <w:rFonts w:ascii="Times New Roman" w:hAnsi="Times New Roman"/>
          <w:snapToGrid w:val="0"/>
          <w:sz w:val="24"/>
          <w:szCs w:val="22"/>
          <w:lang w:val="hr-HR" w:eastAsia="en-US"/>
        </w:rPr>
        <w:t xml:space="preserve">zasebne </w:t>
      </w:r>
      <w:r>
        <w:rPr>
          <w:rFonts w:ascii="Times New Roman" w:hAnsi="Times New Roman"/>
          <w:snapToGrid w:val="0"/>
          <w:sz w:val="24"/>
          <w:szCs w:val="22"/>
          <w:lang w:val="hr-HR" w:eastAsia="en-US"/>
        </w:rPr>
        <w:t>građevinske čestice</w:t>
      </w:r>
      <w:r w:rsidR="00007AAB">
        <w:rPr>
          <w:rFonts w:ascii="Times New Roman" w:hAnsi="Times New Roman"/>
          <w:snapToGrid w:val="0"/>
          <w:sz w:val="24"/>
          <w:szCs w:val="22"/>
          <w:lang w:val="hr-HR" w:eastAsia="en-US"/>
        </w:rPr>
        <w:t>.</w:t>
      </w:r>
      <w:r>
        <w:rPr>
          <w:rFonts w:ascii="Times New Roman" w:hAnsi="Times New Roman"/>
          <w:snapToGrid w:val="0"/>
          <w:sz w:val="24"/>
          <w:szCs w:val="22"/>
          <w:lang w:val="hr-HR" w:eastAsia="en-US"/>
        </w:rPr>
        <w:t xml:space="preserve"> </w:t>
      </w:r>
    </w:p>
    <w:p w:rsidR="00012172" w:rsidRDefault="00012172">
      <w:pPr>
        <w:pStyle w:val="clanak"/>
        <w:jc w:val="center"/>
        <w:rPr>
          <w:rFonts w:ascii="Arial" w:hAnsi="Arial" w:cs="Arial"/>
          <w:snapToGrid w:val="0"/>
          <w:sz w:val="22"/>
          <w:szCs w:val="22"/>
          <w:lang w:val="hr-HR" w:eastAsia="en-US"/>
        </w:rPr>
      </w:pPr>
    </w:p>
    <w:p w:rsidR="00012172" w:rsidRDefault="00257D68">
      <w:pPr>
        <w:pStyle w:val="clanak"/>
        <w:jc w:val="center"/>
        <w:rPr>
          <w:rFonts w:ascii="Times New Roman" w:hAnsi="Times New Roman"/>
          <w:snapToGrid w:val="0"/>
          <w:sz w:val="24"/>
          <w:szCs w:val="22"/>
          <w:lang w:val="hr-HR" w:eastAsia="en-US"/>
        </w:rPr>
      </w:pPr>
      <w:r>
        <w:rPr>
          <w:rFonts w:ascii="Times New Roman" w:hAnsi="Times New Roman"/>
          <w:snapToGrid w:val="0"/>
          <w:sz w:val="24"/>
          <w:szCs w:val="22"/>
          <w:lang w:val="hr-HR" w:eastAsia="en-US"/>
        </w:rPr>
        <w:t>Članak 73</w:t>
      </w:r>
      <w:r w:rsidR="00012172">
        <w:rPr>
          <w:rFonts w:ascii="Times New Roman" w:hAnsi="Times New Roman"/>
          <w:snapToGrid w:val="0"/>
          <w:sz w:val="24"/>
          <w:szCs w:val="22"/>
          <w:lang w:val="hr-HR" w:eastAsia="en-US"/>
        </w:rPr>
        <w:t>.</w:t>
      </w:r>
    </w:p>
    <w:p w:rsidR="00012172" w:rsidRDefault="00012172">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(1) U okviru prostornog razmještaja gospodarskih sadržaja, Prostorni plan utvrđuje osnovna usmjerenja za: smještaj industrije, malog gospodarstva, poduzetništva i obrtništva, eksploataciju mineralnih sirovina, poljoprivredu, šumarstvo i turizam.</w:t>
      </w:r>
    </w:p>
    <w:p w:rsidR="00012172" w:rsidRDefault="00012172">
      <w:pPr>
        <w:pStyle w:val="clanak"/>
        <w:rPr>
          <w:snapToGrid w:val="0"/>
          <w:lang w:val="hr-HR" w:eastAsia="en-US"/>
        </w:rPr>
      </w:pPr>
    </w:p>
    <w:p w:rsidR="00012172" w:rsidRDefault="00012172">
      <w:pPr>
        <w:pStyle w:val="clanak"/>
        <w:rPr>
          <w:rFonts w:ascii="Times New Roman" w:hAnsi="Times New Roman"/>
          <w:b/>
          <w:snapToGrid w:val="0"/>
          <w:sz w:val="24"/>
          <w:szCs w:val="22"/>
          <w:lang w:val="hr-HR" w:eastAsia="en-US"/>
        </w:rPr>
      </w:pPr>
      <w:r>
        <w:rPr>
          <w:rFonts w:ascii="Times New Roman" w:hAnsi="Times New Roman"/>
          <w:b/>
          <w:snapToGrid w:val="0"/>
          <w:sz w:val="24"/>
          <w:szCs w:val="22"/>
          <w:lang w:val="hr-HR" w:eastAsia="en-US"/>
        </w:rPr>
        <w:t>Industrija, malo gospodarstvo, poduzetništvo i obrtništvo</w:t>
      </w:r>
    </w:p>
    <w:p w:rsidR="00012172" w:rsidRDefault="00012172">
      <w:pPr>
        <w:pStyle w:val="clanak"/>
        <w:rPr>
          <w:snapToGrid w:val="0"/>
          <w:lang w:val="hr-HR" w:eastAsia="en-US"/>
        </w:rPr>
      </w:pPr>
    </w:p>
    <w:p w:rsidR="00012172" w:rsidRDefault="00257D68">
      <w:pPr>
        <w:pStyle w:val="clanak"/>
        <w:jc w:val="center"/>
        <w:rPr>
          <w:rFonts w:ascii="Times New Roman" w:hAnsi="Times New Roman"/>
          <w:snapToGrid w:val="0"/>
          <w:sz w:val="24"/>
          <w:szCs w:val="22"/>
          <w:lang w:val="hr-HR" w:eastAsia="en-US"/>
        </w:rPr>
      </w:pPr>
      <w:r>
        <w:rPr>
          <w:rFonts w:ascii="Times New Roman" w:hAnsi="Times New Roman"/>
          <w:snapToGrid w:val="0"/>
          <w:sz w:val="24"/>
          <w:szCs w:val="22"/>
          <w:lang w:val="hr-HR" w:eastAsia="en-US"/>
        </w:rPr>
        <w:t>Članak 74</w:t>
      </w:r>
      <w:r w:rsidR="00012172">
        <w:rPr>
          <w:rFonts w:ascii="Times New Roman" w:hAnsi="Times New Roman"/>
          <w:snapToGrid w:val="0"/>
          <w:sz w:val="24"/>
          <w:szCs w:val="22"/>
          <w:lang w:val="hr-HR" w:eastAsia="en-US"/>
        </w:rPr>
        <w:t>.</w:t>
      </w:r>
    </w:p>
    <w:p w:rsidR="00012172" w:rsidRDefault="00411AD8">
      <w:pPr>
        <w:pStyle w:val="clanak"/>
        <w:tabs>
          <w:tab w:val="num" w:pos="360"/>
        </w:tabs>
        <w:rPr>
          <w:rFonts w:ascii="Times New Roman" w:hAnsi="Times New Roman"/>
          <w:snapToGrid w:val="0"/>
          <w:sz w:val="24"/>
          <w:szCs w:val="22"/>
          <w:lang w:val="hr-HR" w:eastAsia="en-US"/>
        </w:rPr>
      </w:pPr>
      <w:r>
        <w:rPr>
          <w:rFonts w:ascii="Times New Roman" w:hAnsi="Times New Roman"/>
          <w:snapToGrid w:val="0"/>
          <w:sz w:val="24"/>
          <w:szCs w:val="22"/>
          <w:lang w:val="hr-HR" w:eastAsia="en-US"/>
        </w:rPr>
        <w:t xml:space="preserve">(1) </w:t>
      </w:r>
      <w:r w:rsidR="00012172">
        <w:rPr>
          <w:rFonts w:ascii="Times New Roman" w:hAnsi="Times New Roman"/>
          <w:snapToGrid w:val="0"/>
          <w:sz w:val="24"/>
          <w:szCs w:val="22"/>
          <w:lang w:val="hr-HR" w:eastAsia="en-US"/>
        </w:rPr>
        <w:t xml:space="preserve">Planirane zone za razvoj gospodarstva nalaze se u </w:t>
      </w:r>
      <w:r>
        <w:rPr>
          <w:rFonts w:ascii="Times New Roman" w:hAnsi="Times New Roman"/>
          <w:snapToGrid w:val="0"/>
          <w:sz w:val="24"/>
          <w:szCs w:val="22"/>
          <w:lang w:val="hr-HR" w:eastAsia="en-US"/>
        </w:rPr>
        <w:t>Dropkovcu</w:t>
      </w:r>
      <w:r w:rsidR="00012172">
        <w:rPr>
          <w:rFonts w:ascii="Times New Roman" w:hAnsi="Times New Roman"/>
          <w:snapToGrid w:val="0"/>
          <w:sz w:val="24"/>
          <w:szCs w:val="22"/>
          <w:lang w:val="hr-HR" w:eastAsia="en-US"/>
        </w:rPr>
        <w:t xml:space="preserve"> i Pofukima (prikazane su na kartografskom prikazu </w:t>
      </w:r>
      <w:r>
        <w:rPr>
          <w:rFonts w:ascii="Times New Roman" w:hAnsi="Times New Roman"/>
          <w:snapToGrid w:val="0"/>
          <w:sz w:val="24"/>
          <w:szCs w:val="22"/>
          <w:lang w:val="hr-HR" w:eastAsia="en-US"/>
        </w:rPr>
        <w:t xml:space="preserve">1:5.000 </w:t>
      </w:r>
      <w:r w:rsidR="00012172">
        <w:rPr>
          <w:rFonts w:ascii="Times New Roman" w:hAnsi="Times New Roman"/>
          <w:snapToGrid w:val="0"/>
          <w:sz w:val="24"/>
          <w:szCs w:val="22"/>
          <w:lang w:val="hr-HR" w:eastAsia="en-US"/>
        </w:rPr>
        <w:t xml:space="preserve">broj 4.1. </w:t>
      </w:r>
      <w:r>
        <w:rPr>
          <w:rFonts w:ascii="Times New Roman" w:hAnsi="Times New Roman"/>
          <w:snapToGrid w:val="0"/>
          <w:sz w:val="24"/>
          <w:szCs w:val="22"/>
          <w:lang w:val="hr-HR" w:eastAsia="en-US"/>
        </w:rPr>
        <w:t>i 4.2.</w:t>
      </w:r>
      <w:r w:rsidR="00012172">
        <w:rPr>
          <w:rFonts w:ascii="Times New Roman" w:hAnsi="Times New Roman"/>
          <w:snapToGrid w:val="0"/>
          <w:sz w:val="24"/>
          <w:szCs w:val="22"/>
          <w:lang w:val="hr-HR" w:eastAsia="en-US"/>
        </w:rPr>
        <w:t xml:space="preserve">). </w:t>
      </w:r>
    </w:p>
    <w:p w:rsidR="00012172" w:rsidRDefault="00012172">
      <w:pPr>
        <w:pStyle w:val="clanak"/>
        <w:rPr>
          <w:rFonts w:ascii="Times New Roman" w:hAnsi="Times New Roman"/>
          <w:snapToGrid w:val="0"/>
          <w:sz w:val="24"/>
          <w:szCs w:val="22"/>
          <w:lang w:val="hr-HR" w:eastAsia="en-US"/>
        </w:rPr>
      </w:pPr>
    </w:p>
    <w:p w:rsidR="00012172" w:rsidRDefault="00411AD8">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 xml:space="preserve">(2) Smještaj </w:t>
      </w:r>
      <w:r w:rsidR="00012172">
        <w:rPr>
          <w:rFonts w:ascii="Times New Roman" w:hAnsi="Times New Roman"/>
          <w:snapToGrid w:val="0"/>
          <w:sz w:val="24"/>
          <w:szCs w:val="22"/>
          <w:lang w:val="hr-HR" w:eastAsia="en-US"/>
        </w:rPr>
        <w:t>industrije, malog gospodarstva, obrtništva i poduzetništva trebaju se racionalno koristiti i popunjavati, i temeljiti na realnom programu i analizi isplativosti u odnosu na troškove pripreme, opremanja i uređenja zemljišta.</w:t>
      </w:r>
    </w:p>
    <w:p w:rsidR="00BA1A8A" w:rsidRDefault="00BA1A8A">
      <w:pPr>
        <w:pStyle w:val="clanak"/>
        <w:rPr>
          <w:snapToGrid w:val="0"/>
          <w:lang w:val="hr-HR" w:eastAsia="en-US"/>
        </w:rPr>
      </w:pPr>
    </w:p>
    <w:p w:rsidR="00012172" w:rsidRDefault="00012172">
      <w:pPr>
        <w:pStyle w:val="clanak"/>
        <w:rPr>
          <w:rFonts w:ascii="Times New Roman" w:hAnsi="Times New Roman"/>
          <w:b/>
          <w:snapToGrid w:val="0"/>
          <w:sz w:val="24"/>
          <w:szCs w:val="22"/>
          <w:lang w:val="hr-HR" w:eastAsia="en-US"/>
        </w:rPr>
      </w:pPr>
      <w:r>
        <w:rPr>
          <w:rFonts w:ascii="Times New Roman" w:hAnsi="Times New Roman"/>
          <w:b/>
          <w:snapToGrid w:val="0"/>
          <w:sz w:val="24"/>
          <w:szCs w:val="22"/>
          <w:lang w:val="hr-HR" w:eastAsia="en-US"/>
        </w:rPr>
        <w:t>Poljoprivreda</w:t>
      </w:r>
    </w:p>
    <w:p w:rsidR="00012172" w:rsidRDefault="00411AD8">
      <w:pPr>
        <w:pStyle w:val="clanak"/>
        <w:jc w:val="center"/>
        <w:rPr>
          <w:rFonts w:ascii="Times New Roman" w:hAnsi="Times New Roman"/>
          <w:snapToGrid w:val="0"/>
          <w:sz w:val="24"/>
          <w:szCs w:val="22"/>
          <w:lang w:val="hr-HR" w:eastAsia="en-US"/>
        </w:rPr>
      </w:pPr>
      <w:r>
        <w:rPr>
          <w:rFonts w:ascii="Times New Roman" w:hAnsi="Times New Roman"/>
          <w:snapToGrid w:val="0"/>
          <w:sz w:val="24"/>
          <w:szCs w:val="22"/>
          <w:lang w:val="hr-HR" w:eastAsia="en-US"/>
        </w:rPr>
        <w:t>Članak 75</w:t>
      </w:r>
      <w:r w:rsidR="00012172">
        <w:rPr>
          <w:rFonts w:ascii="Times New Roman" w:hAnsi="Times New Roman"/>
          <w:snapToGrid w:val="0"/>
          <w:sz w:val="24"/>
          <w:szCs w:val="22"/>
          <w:lang w:val="hr-HR" w:eastAsia="en-US"/>
        </w:rPr>
        <w:t>.</w:t>
      </w:r>
    </w:p>
    <w:p w:rsidR="00012172" w:rsidRDefault="00012172">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(1)</w:t>
      </w:r>
      <w:r>
        <w:rPr>
          <w:rFonts w:ascii="Times New Roman" w:hAnsi="Times New Roman"/>
          <w:snapToGrid w:val="0"/>
          <w:sz w:val="24"/>
          <w:szCs w:val="22"/>
          <w:lang w:val="hr-HR" w:eastAsia="en-US"/>
        </w:rPr>
        <w:tab/>
        <w:t>Razvoj poljoprivrede treba temeljiti na tržišnim načelima i obiteljskom poljoprivrednom gospodarstvu, uključujući i farmerski tip gospodarstva.</w:t>
      </w:r>
    </w:p>
    <w:p w:rsidR="00012172" w:rsidRDefault="00012172">
      <w:pPr>
        <w:pStyle w:val="clanak"/>
        <w:rPr>
          <w:rFonts w:ascii="Times New Roman" w:hAnsi="Times New Roman"/>
          <w:snapToGrid w:val="0"/>
          <w:sz w:val="24"/>
          <w:szCs w:val="22"/>
          <w:lang w:val="hr-HR" w:eastAsia="en-US"/>
        </w:rPr>
      </w:pPr>
    </w:p>
    <w:p w:rsidR="00012172" w:rsidRDefault="00012172">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(2)</w:t>
      </w:r>
      <w:r w:rsidR="00733344">
        <w:rPr>
          <w:rFonts w:ascii="Times New Roman" w:hAnsi="Times New Roman"/>
          <w:snapToGrid w:val="0"/>
          <w:sz w:val="24"/>
          <w:szCs w:val="22"/>
          <w:lang w:val="hr-HR" w:eastAsia="en-US"/>
        </w:rPr>
        <w:t xml:space="preserve"> Potrebno je </w:t>
      </w:r>
      <w:r>
        <w:rPr>
          <w:rFonts w:ascii="Times New Roman" w:hAnsi="Times New Roman"/>
          <w:snapToGrid w:val="0"/>
          <w:sz w:val="24"/>
          <w:szCs w:val="22"/>
          <w:lang w:val="hr-HR" w:eastAsia="en-US"/>
        </w:rPr>
        <w:t xml:space="preserve">zaustaviti svako daljnje usitnjavanje zemljišnog posjeda i stimulirati povećavanje, </w:t>
      </w:r>
      <w:r w:rsidR="00733344">
        <w:rPr>
          <w:rFonts w:ascii="Times New Roman" w:hAnsi="Times New Roman"/>
          <w:snapToGrid w:val="0"/>
          <w:sz w:val="24"/>
          <w:szCs w:val="22"/>
          <w:lang w:val="hr-HR" w:eastAsia="en-US"/>
        </w:rPr>
        <w:t xml:space="preserve">pod uvjetom da se uvaži zatečeno katastarsko stanje i stanje na terenu do trenutka stupanja na snagu Prostornog plana uređenja Općine Gornja Rijeka. </w:t>
      </w:r>
    </w:p>
    <w:p w:rsidR="00733344" w:rsidRDefault="00733344">
      <w:pPr>
        <w:pStyle w:val="clanak"/>
        <w:rPr>
          <w:rFonts w:ascii="Times New Roman" w:hAnsi="Times New Roman"/>
          <w:snapToGrid w:val="0"/>
          <w:sz w:val="24"/>
          <w:szCs w:val="22"/>
          <w:lang w:val="hr-HR" w:eastAsia="en-US"/>
        </w:rPr>
      </w:pPr>
    </w:p>
    <w:p w:rsidR="00012172" w:rsidRDefault="00012172">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(3)</w:t>
      </w:r>
      <w:r>
        <w:rPr>
          <w:rFonts w:ascii="Times New Roman" w:hAnsi="Times New Roman"/>
          <w:snapToGrid w:val="0"/>
          <w:sz w:val="24"/>
          <w:szCs w:val="22"/>
          <w:lang w:val="hr-HR" w:eastAsia="en-US"/>
        </w:rPr>
        <w:tab/>
        <w:t>U korištenju poljoprivrednog zemljišta postupno treba promovirati razvitak in</w:t>
      </w:r>
      <w:r w:rsidR="00733344">
        <w:rPr>
          <w:rFonts w:ascii="Times New Roman" w:hAnsi="Times New Roman"/>
          <w:snapToGrid w:val="0"/>
          <w:sz w:val="24"/>
          <w:szCs w:val="22"/>
          <w:lang w:val="hr-HR" w:eastAsia="en-US"/>
        </w:rPr>
        <w:t>t</w:t>
      </w:r>
      <w:r>
        <w:rPr>
          <w:rFonts w:ascii="Times New Roman" w:hAnsi="Times New Roman"/>
          <w:snapToGrid w:val="0"/>
          <w:sz w:val="24"/>
          <w:szCs w:val="22"/>
          <w:lang w:val="hr-HR" w:eastAsia="en-US"/>
        </w:rPr>
        <w:t>egrirane i ekološke poljoprivrede.</w:t>
      </w:r>
    </w:p>
    <w:p w:rsidR="00012172" w:rsidRDefault="00012172">
      <w:pPr>
        <w:pStyle w:val="clanak"/>
        <w:rPr>
          <w:rFonts w:ascii="Times New Roman" w:hAnsi="Times New Roman"/>
          <w:snapToGrid w:val="0"/>
          <w:sz w:val="24"/>
          <w:szCs w:val="22"/>
          <w:lang w:val="hr-HR" w:eastAsia="en-US"/>
        </w:rPr>
      </w:pPr>
    </w:p>
    <w:p w:rsidR="00012172" w:rsidRDefault="00012172">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(4)</w:t>
      </w:r>
      <w:r>
        <w:rPr>
          <w:rFonts w:ascii="Times New Roman" w:hAnsi="Times New Roman"/>
          <w:snapToGrid w:val="0"/>
          <w:sz w:val="24"/>
          <w:szCs w:val="22"/>
          <w:lang w:val="hr-HR" w:eastAsia="en-US"/>
        </w:rPr>
        <w:tab/>
        <w:t>Ekološka poljoprivreda (organska, biološka) je poljoprivredna proizvodnja bez primjene mineralnih gnojiva, pesticida i drugih agrokemikalija. Integrirana poljoprivreda je kontrolirana poljoprivredna proizvodnja.</w:t>
      </w:r>
    </w:p>
    <w:p w:rsidR="00012172" w:rsidRDefault="00012172">
      <w:pPr>
        <w:pStyle w:val="clanak"/>
        <w:rPr>
          <w:rFonts w:ascii="Arial" w:hAnsi="Arial" w:cs="Arial"/>
          <w:snapToGrid w:val="0"/>
          <w:sz w:val="22"/>
          <w:szCs w:val="22"/>
          <w:lang w:val="hr-HR" w:eastAsia="en-US"/>
        </w:rPr>
      </w:pPr>
    </w:p>
    <w:p w:rsidR="00012172" w:rsidRDefault="00012172">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(5)</w:t>
      </w:r>
      <w:r>
        <w:rPr>
          <w:rFonts w:ascii="Times New Roman" w:hAnsi="Times New Roman"/>
          <w:snapToGrid w:val="0"/>
          <w:sz w:val="24"/>
          <w:szCs w:val="22"/>
          <w:lang w:val="hr-HR" w:eastAsia="en-US"/>
        </w:rPr>
        <w:tab/>
        <w:t xml:space="preserve">Uvjeti smještaja građevina poljoprivredne namjene unutar građevinskog područja naselja utvrđeni su člankom ovih Odredbi za provođenje. </w:t>
      </w:r>
    </w:p>
    <w:p w:rsidR="00012172" w:rsidRDefault="00012172">
      <w:pPr>
        <w:pStyle w:val="clanak"/>
        <w:rPr>
          <w:rFonts w:ascii="Times New Roman" w:hAnsi="Times New Roman"/>
          <w:snapToGrid w:val="0"/>
          <w:sz w:val="24"/>
          <w:szCs w:val="22"/>
          <w:lang w:val="hr-HR" w:eastAsia="en-US"/>
        </w:rPr>
      </w:pPr>
    </w:p>
    <w:p w:rsidR="00012172" w:rsidRDefault="00012172">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(6)</w:t>
      </w:r>
      <w:r>
        <w:rPr>
          <w:rFonts w:ascii="Times New Roman" w:hAnsi="Times New Roman"/>
          <w:snapToGrid w:val="0"/>
          <w:sz w:val="24"/>
          <w:szCs w:val="22"/>
          <w:lang w:val="hr-HR" w:eastAsia="en-US"/>
        </w:rPr>
        <w:tab/>
        <w:t>Uvjeti smještaja građevina izvan građevinskih područja naselja u funkciji obavljanja poljopriprivredne djelatnosti prikazani su u člancima ovih Odredbi za provođenje.</w:t>
      </w:r>
    </w:p>
    <w:p w:rsidR="00DB57EA" w:rsidRDefault="00DB57EA">
      <w:pPr>
        <w:pStyle w:val="clanak"/>
        <w:rPr>
          <w:rFonts w:ascii="Times New Roman" w:hAnsi="Times New Roman"/>
          <w:b/>
          <w:snapToGrid w:val="0"/>
          <w:sz w:val="24"/>
          <w:szCs w:val="22"/>
          <w:lang w:val="hr-HR" w:eastAsia="en-US"/>
        </w:rPr>
      </w:pPr>
    </w:p>
    <w:p w:rsidR="00012172" w:rsidRDefault="00012172">
      <w:pPr>
        <w:pStyle w:val="clanak"/>
        <w:rPr>
          <w:rFonts w:ascii="Times New Roman" w:hAnsi="Times New Roman"/>
          <w:snapToGrid w:val="0"/>
          <w:sz w:val="24"/>
          <w:lang w:val="hr-HR" w:eastAsia="en-US"/>
        </w:rPr>
      </w:pPr>
      <w:r>
        <w:rPr>
          <w:rFonts w:ascii="Times New Roman" w:hAnsi="Times New Roman"/>
          <w:b/>
          <w:snapToGrid w:val="0"/>
          <w:sz w:val="24"/>
          <w:szCs w:val="22"/>
          <w:lang w:val="hr-HR" w:eastAsia="en-US"/>
        </w:rPr>
        <w:t>Šumarstvo</w:t>
      </w:r>
    </w:p>
    <w:p w:rsidR="00012172" w:rsidRDefault="00BA1A8A">
      <w:pPr>
        <w:pStyle w:val="clanak"/>
        <w:jc w:val="center"/>
        <w:rPr>
          <w:rFonts w:ascii="Times New Roman" w:hAnsi="Times New Roman"/>
          <w:snapToGrid w:val="0"/>
          <w:sz w:val="24"/>
          <w:szCs w:val="22"/>
          <w:lang w:val="hr-HR" w:eastAsia="en-US"/>
        </w:rPr>
      </w:pPr>
      <w:r>
        <w:rPr>
          <w:rFonts w:ascii="Times New Roman" w:hAnsi="Times New Roman"/>
          <w:snapToGrid w:val="0"/>
          <w:sz w:val="24"/>
          <w:szCs w:val="22"/>
          <w:lang w:val="hr-HR" w:eastAsia="en-US"/>
        </w:rPr>
        <w:t>Članak 7</w:t>
      </w:r>
      <w:r w:rsidR="00411AD8">
        <w:rPr>
          <w:rFonts w:ascii="Times New Roman" w:hAnsi="Times New Roman"/>
          <w:snapToGrid w:val="0"/>
          <w:sz w:val="24"/>
          <w:szCs w:val="22"/>
          <w:lang w:val="hr-HR" w:eastAsia="en-US"/>
        </w:rPr>
        <w:t>6</w:t>
      </w:r>
      <w:r w:rsidR="00012172">
        <w:rPr>
          <w:rFonts w:ascii="Times New Roman" w:hAnsi="Times New Roman"/>
          <w:snapToGrid w:val="0"/>
          <w:sz w:val="24"/>
          <w:szCs w:val="22"/>
          <w:lang w:val="hr-HR" w:eastAsia="en-US"/>
        </w:rPr>
        <w:t>.</w:t>
      </w:r>
    </w:p>
    <w:p w:rsidR="00012172" w:rsidRDefault="00012172">
      <w:pPr>
        <w:pStyle w:val="clanak"/>
        <w:jc w:val="center"/>
        <w:rPr>
          <w:rFonts w:ascii="Times New Roman" w:hAnsi="Times New Roman"/>
          <w:snapToGrid w:val="0"/>
          <w:sz w:val="24"/>
          <w:szCs w:val="22"/>
          <w:lang w:val="hr-HR" w:eastAsia="en-US"/>
        </w:rPr>
      </w:pPr>
    </w:p>
    <w:p w:rsidR="00012172" w:rsidRDefault="00012172">
      <w:pPr>
        <w:jc w:val="both"/>
        <w:rPr>
          <w:snapToGrid w:val="0"/>
          <w:szCs w:val="22"/>
          <w:lang w:eastAsia="en-US"/>
        </w:rPr>
      </w:pPr>
      <w:r>
        <w:rPr>
          <w:snapToGrid w:val="0"/>
          <w:szCs w:val="22"/>
          <w:lang w:eastAsia="en-US"/>
        </w:rPr>
        <w:t xml:space="preserve"> (1) U š</w:t>
      </w:r>
      <w:r>
        <w:t>umama je dozvoljena gradnja objekata potrebnih za gospodarenje šumama: šumske i lovačke kućice u skladu sa odredbama posebnih propisa.</w:t>
      </w:r>
    </w:p>
    <w:p w:rsidR="00012172" w:rsidRDefault="00012172">
      <w:pPr>
        <w:pStyle w:val="clanak"/>
        <w:rPr>
          <w:rFonts w:ascii="Times New Roman" w:hAnsi="Times New Roman"/>
          <w:snapToGrid w:val="0"/>
          <w:sz w:val="24"/>
          <w:szCs w:val="22"/>
          <w:lang w:val="hr-HR" w:eastAsia="en-US"/>
        </w:rPr>
      </w:pPr>
    </w:p>
    <w:p w:rsidR="00012172" w:rsidRDefault="00012172">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(2)</w:t>
      </w:r>
      <w:r>
        <w:rPr>
          <w:rFonts w:ascii="Times New Roman" w:hAnsi="Times New Roman"/>
          <w:snapToGrid w:val="0"/>
          <w:sz w:val="24"/>
          <w:szCs w:val="22"/>
          <w:lang w:val="hr-HR" w:eastAsia="en-US"/>
        </w:rPr>
        <w:tab/>
        <w:t>Gospodarenje šumama i šumskim zemljištem na području Općine podrazumijeva, uz gospodarske učinke i održavanje biološke raznolikosti, sposobnosti obnavljanja, vitalnosti i potencijala šuma, kako bi se ispunile gospodarske, ekološke i općekorisne funkcije šuma.</w:t>
      </w:r>
    </w:p>
    <w:p w:rsidR="00012172" w:rsidRDefault="00012172">
      <w:pPr>
        <w:pStyle w:val="clanak"/>
        <w:rPr>
          <w:rFonts w:ascii="Times New Roman" w:hAnsi="Times New Roman"/>
          <w:snapToGrid w:val="0"/>
          <w:sz w:val="24"/>
          <w:szCs w:val="22"/>
          <w:lang w:val="hr-HR" w:eastAsia="en-US"/>
        </w:rPr>
      </w:pPr>
    </w:p>
    <w:p w:rsidR="00012172" w:rsidRDefault="00012172">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(3)</w:t>
      </w:r>
      <w:r>
        <w:rPr>
          <w:rFonts w:ascii="Times New Roman" w:hAnsi="Times New Roman"/>
          <w:snapToGrid w:val="0"/>
          <w:sz w:val="24"/>
          <w:szCs w:val="22"/>
          <w:lang w:val="hr-HR" w:eastAsia="en-US"/>
        </w:rPr>
        <w:tab/>
        <w:t>Razvoj šumarstva kao gospodarske djelatnosti potrebno je temeljiti na načelu održivog gospodarenja. Gospodarenje šumama (naročito privatnim) s gledišta korištenja i zaštite prostora treba unaprijediti prema stručnim kriterijima i principima šumarske struke, u cilju naglašavanja općekorisnih funkcija šume i održavanja ekološke ravnoteže. U skladu s time potrebno je izraditi Program gospodarenja šumama općine Gornja Rijeka.</w:t>
      </w:r>
    </w:p>
    <w:p w:rsidR="00012172" w:rsidRDefault="00012172">
      <w:pPr>
        <w:pStyle w:val="clanak"/>
        <w:rPr>
          <w:snapToGrid w:val="0"/>
          <w:lang w:val="hr-HR" w:eastAsia="en-US"/>
        </w:rPr>
      </w:pPr>
    </w:p>
    <w:p w:rsidR="00012172" w:rsidRDefault="00012172">
      <w:pPr>
        <w:pStyle w:val="clanak"/>
        <w:rPr>
          <w:rFonts w:ascii="Times New Roman" w:hAnsi="Times New Roman"/>
          <w:snapToGrid w:val="0"/>
          <w:sz w:val="24"/>
          <w:lang w:val="hr-HR" w:eastAsia="en-US"/>
        </w:rPr>
      </w:pPr>
      <w:r>
        <w:rPr>
          <w:rFonts w:ascii="Times New Roman" w:hAnsi="Times New Roman"/>
          <w:sz w:val="24"/>
          <w:lang w:val="hr-HR"/>
        </w:rPr>
        <w:t xml:space="preserve">(4) </w:t>
      </w:r>
      <w:r>
        <w:rPr>
          <w:rFonts w:ascii="Times New Roman" w:hAnsi="Times New Roman"/>
          <w:sz w:val="24"/>
        </w:rPr>
        <w:t>Poticati</w:t>
      </w:r>
      <w:r>
        <w:rPr>
          <w:rFonts w:ascii="Times New Roman" w:hAnsi="Times New Roman"/>
          <w:sz w:val="24"/>
          <w:lang w:val="hr-HR"/>
        </w:rPr>
        <w:t xml:space="preserve"> </w:t>
      </w:r>
      <w:r>
        <w:rPr>
          <w:rFonts w:ascii="Times New Roman" w:hAnsi="Times New Roman"/>
          <w:sz w:val="24"/>
        </w:rPr>
        <w:t>razvoj</w:t>
      </w:r>
      <w:r>
        <w:rPr>
          <w:rFonts w:ascii="Times New Roman" w:hAnsi="Times New Roman"/>
          <w:sz w:val="24"/>
          <w:lang w:val="hr-HR"/>
        </w:rPr>
        <w:t xml:space="preserve"> </w:t>
      </w:r>
      <w:r>
        <w:rPr>
          <w:rFonts w:ascii="Times New Roman" w:hAnsi="Times New Roman"/>
          <w:sz w:val="24"/>
        </w:rPr>
        <w:t>urbanog</w:t>
      </w:r>
      <w:r>
        <w:rPr>
          <w:rFonts w:ascii="Times New Roman" w:hAnsi="Times New Roman"/>
          <w:sz w:val="24"/>
          <w:lang w:val="hr-HR"/>
        </w:rPr>
        <w:t xml:space="preserve"> š</w:t>
      </w:r>
      <w:r>
        <w:rPr>
          <w:rFonts w:ascii="Times New Roman" w:hAnsi="Times New Roman"/>
          <w:sz w:val="24"/>
        </w:rPr>
        <w:t>umarstva</w:t>
      </w:r>
      <w:r>
        <w:rPr>
          <w:rFonts w:ascii="Times New Roman" w:hAnsi="Times New Roman"/>
          <w:sz w:val="24"/>
          <w:lang w:val="hr-HR"/>
        </w:rPr>
        <w:t xml:space="preserve"> </w:t>
      </w:r>
      <w:r>
        <w:rPr>
          <w:rFonts w:ascii="Times New Roman" w:hAnsi="Times New Roman"/>
          <w:sz w:val="24"/>
        </w:rPr>
        <w:t>radi</w:t>
      </w:r>
      <w:r>
        <w:rPr>
          <w:rFonts w:ascii="Times New Roman" w:hAnsi="Times New Roman"/>
          <w:sz w:val="24"/>
          <w:lang w:val="hr-HR"/>
        </w:rPr>
        <w:t xml:space="preserve"> </w:t>
      </w:r>
      <w:r>
        <w:rPr>
          <w:rFonts w:ascii="Times New Roman" w:hAnsi="Times New Roman"/>
          <w:sz w:val="24"/>
        </w:rPr>
        <w:t>ozelenjivanja</w:t>
      </w:r>
      <w:r>
        <w:rPr>
          <w:rFonts w:ascii="Times New Roman" w:hAnsi="Times New Roman"/>
          <w:sz w:val="24"/>
          <w:lang w:val="hr-HR"/>
        </w:rPr>
        <w:t xml:space="preserve"> </w:t>
      </w:r>
      <w:r>
        <w:rPr>
          <w:rFonts w:ascii="Times New Roman" w:hAnsi="Times New Roman"/>
          <w:sz w:val="24"/>
        </w:rPr>
        <w:t>gradskih</w:t>
      </w:r>
      <w:r>
        <w:rPr>
          <w:rFonts w:ascii="Times New Roman" w:hAnsi="Times New Roman"/>
          <w:sz w:val="24"/>
          <w:lang w:val="hr-HR"/>
        </w:rPr>
        <w:t xml:space="preserve">, </w:t>
      </w:r>
      <w:r>
        <w:rPr>
          <w:rFonts w:ascii="Times New Roman" w:hAnsi="Times New Roman"/>
          <w:sz w:val="24"/>
        </w:rPr>
        <w:t>rubnih</w:t>
      </w:r>
      <w:r>
        <w:rPr>
          <w:rFonts w:ascii="Times New Roman" w:hAnsi="Times New Roman"/>
          <w:sz w:val="24"/>
          <w:lang w:val="hr-HR"/>
        </w:rPr>
        <w:t xml:space="preserve"> </w:t>
      </w:r>
      <w:r>
        <w:rPr>
          <w:rFonts w:ascii="Times New Roman" w:hAnsi="Times New Roman"/>
          <w:sz w:val="24"/>
        </w:rPr>
        <w:t>gradskih</w:t>
      </w:r>
      <w:r>
        <w:rPr>
          <w:rFonts w:ascii="Times New Roman" w:hAnsi="Times New Roman"/>
          <w:sz w:val="24"/>
          <w:lang w:val="hr-HR"/>
        </w:rPr>
        <w:t xml:space="preserve">, </w:t>
      </w:r>
      <w:r>
        <w:rPr>
          <w:rFonts w:ascii="Times New Roman" w:hAnsi="Times New Roman"/>
          <w:sz w:val="24"/>
        </w:rPr>
        <w:t>seoskih</w:t>
      </w:r>
      <w:r>
        <w:rPr>
          <w:rFonts w:ascii="Times New Roman" w:hAnsi="Times New Roman"/>
          <w:sz w:val="24"/>
          <w:lang w:val="hr-HR"/>
        </w:rPr>
        <w:t xml:space="preserve"> </w:t>
      </w:r>
      <w:r>
        <w:rPr>
          <w:rFonts w:ascii="Times New Roman" w:hAnsi="Times New Roman"/>
          <w:sz w:val="24"/>
        </w:rPr>
        <w:t>naselja</w:t>
      </w:r>
      <w:r>
        <w:rPr>
          <w:rFonts w:ascii="Times New Roman" w:hAnsi="Times New Roman"/>
          <w:sz w:val="24"/>
          <w:lang w:val="hr-HR"/>
        </w:rPr>
        <w:t xml:space="preserve">, </w:t>
      </w:r>
      <w:r>
        <w:rPr>
          <w:rFonts w:ascii="Times New Roman" w:hAnsi="Times New Roman"/>
          <w:sz w:val="24"/>
        </w:rPr>
        <w:t>turisti</w:t>
      </w:r>
      <w:r>
        <w:rPr>
          <w:rFonts w:ascii="Times New Roman" w:hAnsi="Times New Roman"/>
          <w:sz w:val="24"/>
          <w:lang w:val="hr-HR"/>
        </w:rPr>
        <w:t>č</w:t>
      </w:r>
      <w:r>
        <w:rPr>
          <w:rFonts w:ascii="Times New Roman" w:hAnsi="Times New Roman"/>
          <w:sz w:val="24"/>
        </w:rPr>
        <w:t>kih</w:t>
      </w:r>
      <w:r>
        <w:rPr>
          <w:rFonts w:ascii="Times New Roman" w:hAnsi="Times New Roman"/>
          <w:sz w:val="24"/>
          <w:lang w:val="hr-HR"/>
        </w:rPr>
        <w:t xml:space="preserve"> </w:t>
      </w:r>
      <w:r>
        <w:rPr>
          <w:rFonts w:ascii="Times New Roman" w:hAnsi="Times New Roman"/>
          <w:sz w:val="24"/>
        </w:rPr>
        <w:t>podru</w:t>
      </w:r>
      <w:r>
        <w:rPr>
          <w:rFonts w:ascii="Times New Roman" w:hAnsi="Times New Roman"/>
          <w:sz w:val="24"/>
          <w:lang w:val="hr-HR"/>
        </w:rPr>
        <w:t>č</w:t>
      </w:r>
      <w:r>
        <w:rPr>
          <w:rFonts w:ascii="Times New Roman" w:hAnsi="Times New Roman"/>
          <w:sz w:val="24"/>
        </w:rPr>
        <w:t>ja</w:t>
      </w:r>
      <w:r>
        <w:rPr>
          <w:rFonts w:ascii="Times New Roman" w:hAnsi="Times New Roman"/>
          <w:sz w:val="24"/>
          <w:lang w:val="hr-HR"/>
        </w:rPr>
        <w:t xml:space="preserve"> </w:t>
      </w:r>
      <w:r>
        <w:rPr>
          <w:rFonts w:ascii="Times New Roman" w:hAnsi="Times New Roman"/>
          <w:sz w:val="24"/>
        </w:rPr>
        <w:t>namijenjenih</w:t>
      </w:r>
      <w:r>
        <w:rPr>
          <w:rFonts w:ascii="Times New Roman" w:hAnsi="Times New Roman"/>
          <w:sz w:val="24"/>
          <w:lang w:val="hr-HR"/>
        </w:rPr>
        <w:t xml:space="preserve"> </w:t>
      </w:r>
      <w:r>
        <w:rPr>
          <w:rFonts w:ascii="Times New Roman" w:hAnsi="Times New Roman"/>
          <w:sz w:val="24"/>
        </w:rPr>
        <w:t>uljep</w:t>
      </w:r>
      <w:r>
        <w:rPr>
          <w:rFonts w:ascii="Times New Roman" w:hAnsi="Times New Roman"/>
          <w:sz w:val="24"/>
          <w:lang w:val="hr-HR"/>
        </w:rPr>
        <w:t>š</w:t>
      </w:r>
      <w:r>
        <w:rPr>
          <w:rFonts w:ascii="Times New Roman" w:hAnsi="Times New Roman"/>
          <w:sz w:val="24"/>
        </w:rPr>
        <w:t>avanju</w:t>
      </w:r>
      <w:r>
        <w:rPr>
          <w:rFonts w:ascii="Times New Roman" w:hAnsi="Times New Roman"/>
          <w:sz w:val="24"/>
          <w:lang w:val="hr-HR"/>
        </w:rPr>
        <w:t xml:space="preserve"> </w:t>
      </w:r>
      <w:r>
        <w:rPr>
          <w:rFonts w:ascii="Times New Roman" w:hAnsi="Times New Roman"/>
          <w:sz w:val="24"/>
        </w:rPr>
        <w:t>izgleda</w:t>
      </w:r>
      <w:r>
        <w:rPr>
          <w:rFonts w:ascii="Times New Roman" w:hAnsi="Times New Roman"/>
          <w:sz w:val="24"/>
          <w:lang w:val="hr-HR"/>
        </w:rPr>
        <w:t xml:space="preserve"> </w:t>
      </w:r>
      <w:r>
        <w:rPr>
          <w:rFonts w:ascii="Times New Roman" w:hAnsi="Times New Roman"/>
          <w:sz w:val="24"/>
        </w:rPr>
        <w:t>krajolika</w:t>
      </w:r>
      <w:r>
        <w:rPr>
          <w:rFonts w:ascii="Times New Roman" w:hAnsi="Times New Roman"/>
          <w:sz w:val="24"/>
          <w:lang w:val="hr-HR"/>
        </w:rPr>
        <w:t xml:space="preserve">, </w:t>
      </w:r>
      <w:r>
        <w:rPr>
          <w:rFonts w:ascii="Times New Roman" w:hAnsi="Times New Roman"/>
          <w:sz w:val="24"/>
        </w:rPr>
        <w:t>rekreaciji</w:t>
      </w:r>
      <w:r>
        <w:rPr>
          <w:rFonts w:ascii="Times New Roman" w:hAnsi="Times New Roman"/>
          <w:sz w:val="24"/>
          <w:lang w:val="hr-HR"/>
        </w:rPr>
        <w:t xml:space="preserve"> </w:t>
      </w:r>
      <w:r>
        <w:rPr>
          <w:rFonts w:ascii="Times New Roman" w:hAnsi="Times New Roman"/>
          <w:sz w:val="24"/>
        </w:rPr>
        <w:t>i</w:t>
      </w:r>
      <w:r>
        <w:rPr>
          <w:rFonts w:ascii="Times New Roman" w:hAnsi="Times New Roman"/>
          <w:sz w:val="24"/>
          <w:lang w:val="hr-HR"/>
        </w:rPr>
        <w:t xml:space="preserve"> </w:t>
      </w:r>
      <w:r>
        <w:rPr>
          <w:rFonts w:ascii="Times New Roman" w:hAnsi="Times New Roman"/>
          <w:sz w:val="24"/>
        </w:rPr>
        <w:t>proizvodnji</w:t>
      </w:r>
      <w:r>
        <w:rPr>
          <w:rFonts w:ascii="Times New Roman" w:hAnsi="Times New Roman"/>
          <w:sz w:val="24"/>
          <w:lang w:val="hr-HR"/>
        </w:rPr>
        <w:t>.</w:t>
      </w:r>
    </w:p>
    <w:p w:rsidR="00012172" w:rsidRDefault="00012172">
      <w:pPr>
        <w:pStyle w:val="clanak"/>
        <w:rPr>
          <w:snapToGrid w:val="0"/>
          <w:lang w:val="hr-HR" w:eastAsia="en-US"/>
        </w:rPr>
      </w:pPr>
    </w:p>
    <w:p w:rsidR="00012172" w:rsidRDefault="00012172">
      <w:pPr>
        <w:pStyle w:val="clanak"/>
        <w:rPr>
          <w:snapToGrid w:val="0"/>
          <w:lang w:val="hr-HR" w:eastAsia="en-US"/>
        </w:rPr>
      </w:pPr>
    </w:p>
    <w:p w:rsidR="00012172" w:rsidRDefault="00012172">
      <w:pPr>
        <w:pStyle w:val="clanak"/>
        <w:jc w:val="left"/>
        <w:rPr>
          <w:rFonts w:ascii="Arial" w:hAnsi="Arial" w:cs="Arial"/>
          <w:b/>
          <w:snapToGrid w:val="0"/>
          <w:sz w:val="22"/>
          <w:szCs w:val="22"/>
          <w:lang w:val="hr-HR" w:eastAsia="en-US"/>
        </w:rPr>
      </w:pPr>
      <w:r>
        <w:rPr>
          <w:rFonts w:ascii="Arial" w:hAnsi="Arial" w:cs="Arial"/>
          <w:b/>
          <w:snapToGrid w:val="0"/>
          <w:sz w:val="22"/>
          <w:szCs w:val="22"/>
          <w:lang w:val="hr-HR" w:eastAsia="en-US"/>
        </w:rPr>
        <w:t>Turizam</w:t>
      </w:r>
    </w:p>
    <w:p w:rsidR="00012172" w:rsidRDefault="00BA1A8A">
      <w:pPr>
        <w:pStyle w:val="clanak"/>
        <w:jc w:val="center"/>
        <w:rPr>
          <w:rFonts w:ascii="Times New Roman" w:hAnsi="Times New Roman"/>
          <w:snapToGrid w:val="0"/>
          <w:sz w:val="24"/>
          <w:szCs w:val="22"/>
          <w:lang w:val="hr-HR" w:eastAsia="en-US"/>
        </w:rPr>
      </w:pPr>
      <w:r>
        <w:rPr>
          <w:rFonts w:ascii="Times New Roman" w:hAnsi="Times New Roman"/>
          <w:snapToGrid w:val="0"/>
          <w:sz w:val="24"/>
          <w:szCs w:val="22"/>
          <w:lang w:val="hr-HR" w:eastAsia="en-US"/>
        </w:rPr>
        <w:t>Članak 7</w:t>
      </w:r>
      <w:r w:rsidR="00411AD8">
        <w:rPr>
          <w:rFonts w:ascii="Times New Roman" w:hAnsi="Times New Roman"/>
          <w:snapToGrid w:val="0"/>
          <w:sz w:val="24"/>
          <w:szCs w:val="22"/>
          <w:lang w:val="hr-HR" w:eastAsia="en-US"/>
        </w:rPr>
        <w:t>7</w:t>
      </w:r>
      <w:r w:rsidR="00012172">
        <w:rPr>
          <w:rFonts w:ascii="Times New Roman" w:hAnsi="Times New Roman"/>
          <w:snapToGrid w:val="0"/>
          <w:sz w:val="24"/>
          <w:szCs w:val="22"/>
          <w:lang w:val="hr-HR" w:eastAsia="en-US"/>
        </w:rPr>
        <w:t>.</w:t>
      </w:r>
    </w:p>
    <w:p w:rsidR="00012172" w:rsidRDefault="00012172" w:rsidP="004B0466">
      <w:pPr>
        <w:pStyle w:val="clanak"/>
        <w:numPr>
          <w:ilvl w:val="0"/>
          <w:numId w:val="41"/>
        </w:numPr>
        <w:rPr>
          <w:rFonts w:ascii="Times New Roman" w:hAnsi="Times New Roman"/>
          <w:snapToGrid w:val="0"/>
          <w:sz w:val="24"/>
          <w:szCs w:val="22"/>
          <w:lang w:val="hr-HR" w:eastAsia="en-US"/>
        </w:rPr>
      </w:pPr>
      <w:r>
        <w:rPr>
          <w:rFonts w:ascii="Times New Roman" w:hAnsi="Times New Roman"/>
          <w:snapToGrid w:val="0"/>
          <w:sz w:val="24"/>
          <w:szCs w:val="22"/>
          <w:lang w:val="hr-HR" w:eastAsia="en-US"/>
        </w:rPr>
        <w:t>Razvitak turizma, s gledišta korištenja prostora i planiranja sadržaja u prostoru vezan je uz:</w:t>
      </w:r>
    </w:p>
    <w:p w:rsidR="00012172" w:rsidRDefault="00012172" w:rsidP="004B0466">
      <w:pPr>
        <w:pStyle w:val="clanak"/>
        <w:numPr>
          <w:ilvl w:val="0"/>
          <w:numId w:val="22"/>
        </w:numPr>
        <w:rPr>
          <w:rFonts w:ascii="Times New Roman" w:hAnsi="Times New Roman"/>
          <w:snapToGrid w:val="0"/>
          <w:sz w:val="24"/>
          <w:szCs w:val="22"/>
          <w:lang w:val="hr-HR" w:eastAsia="en-US"/>
        </w:rPr>
      </w:pPr>
      <w:r>
        <w:rPr>
          <w:rFonts w:ascii="Times New Roman" w:hAnsi="Times New Roman"/>
          <w:snapToGrid w:val="0"/>
          <w:sz w:val="24"/>
          <w:szCs w:val="22"/>
          <w:lang w:val="hr-HR" w:eastAsia="en-US"/>
        </w:rPr>
        <w:t>dvorac u Gornjoj Rijeci</w:t>
      </w:r>
    </w:p>
    <w:p w:rsidR="00012172" w:rsidRDefault="00012172" w:rsidP="004B0466">
      <w:pPr>
        <w:pStyle w:val="clanak"/>
        <w:numPr>
          <w:ilvl w:val="0"/>
          <w:numId w:val="22"/>
        </w:numPr>
        <w:rPr>
          <w:rFonts w:ascii="Times New Roman" w:hAnsi="Times New Roman"/>
          <w:snapToGrid w:val="0"/>
          <w:sz w:val="24"/>
          <w:szCs w:val="22"/>
          <w:lang w:val="hr-HR" w:eastAsia="en-US"/>
        </w:rPr>
      </w:pPr>
      <w:r>
        <w:rPr>
          <w:rFonts w:ascii="Times New Roman" w:hAnsi="Times New Roman"/>
          <w:snapToGrid w:val="0"/>
          <w:sz w:val="24"/>
          <w:szCs w:val="22"/>
          <w:lang w:val="hr-HR" w:eastAsia="en-US"/>
        </w:rPr>
        <w:t>zone specifične namjene</w:t>
      </w:r>
    </w:p>
    <w:p w:rsidR="00012172" w:rsidRDefault="00012172" w:rsidP="004B0466">
      <w:pPr>
        <w:pStyle w:val="clanak"/>
        <w:numPr>
          <w:ilvl w:val="0"/>
          <w:numId w:val="22"/>
        </w:numPr>
        <w:rPr>
          <w:rFonts w:ascii="Times New Roman" w:hAnsi="Times New Roman"/>
          <w:sz w:val="24"/>
          <w:szCs w:val="22"/>
          <w:lang w:val="hr-HR" w:eastAsia="en-US"/>
        </w:rPr>
      </w:pPr>
      <w:r>
        <w:rPr>
          <w:rFonts w:ascii="Times New Roman" w:hAnsi="Times New Roman"/>
          <w:sz w:val="24"/>
          <w:szCs w:val="22"/>
          <w:lang w:eastAsia="en-US"/>
        </w:rPr>
        <w:t>ostalo</w:t>
      </w:r>
      <w:r>
        <w:rPr>
          <w:rFonts w:ascii="Times New Roman" w:hAnsi="Times New Roman"/>
          <w:sz w:val="24"/>
          <w:szCs w:val="22"/>
          <w:lang w:val="hr-HR" w:eastAsia="en-US"/>
        </w:rPr>
        <w:t xml:space="preserve"> </w:t>
      </w:r>
      <w:r>
        <w:rPr>
          <w:rFonts w:ascii="Times New Roman" w:hAnsi="Times New Roman"/>
          <w:sz w:val="24"/>
          <w:szCs w:val="22"/>
          <w:lang w:eastAsia="en-US"/>
        </w:rPr>
        <w:t>poljoprivredno</w:t>
      </w:r>
      <w:r>
        <w:rPr>
          <w:rFonts w:ascii="Times New Roman" w:hAnsi="Times New Roman"/>
          <w:sz w:val="24"/>
          <w:szCs w:val="22"/>
          <w:lang w:val="hr-HR" w:eastAsia="en-US"/>
        </w:rPr>
        <w:t xml:space="preserve"> </w:t>
      </w:r>
      <w:r>
        <w:rPr>
          <w:rFonts w:ascii="Times New Roman" w:hAnsi="Times New Roman"/>
          <w:sz w:val="24"/>
          <w:szCs w:val="22"/>
          <w:lang w:eastAsia="en-US"/>
        </w:rPr>
        <w:t>tlo</w:t>
      </w:r>
      <w:r>
        <w:rPr>
          <w:rFonts w:ascii="Times New Roman" w:hAnsi="Times New Roman"/>
          <w:sz w:val="24"/>
          <w:szCs w:val="22"/>
          <w:lang w:val="hr-HR" w:eastAsia="en-US"/>
        </w:rPr>
        <w:t>, š</w:t>
      </w:r>
      <w:r>
        <w:rPr>
          <w:rFonts w:ascii="Times New Roman" w:hAnsi="Times New Roman"/>
          <w:sz w:val="24"/>
          <w:szCs w:val="22"/>
          <w:lang w:eastAsia="en-US"/>
        </w:rPr>
        <w:t>ume</w:t>
      </w:r>
      <w:r>
        <w:rPr>
          <w:rFonts w:ascii="Times New Roman" w:hAnsi="Times New Roman"/>
          <w:sz w:val="24"/>
          <w:szCs w:val="22"/>
          <w:lang w:val="hr-HR" w:eastAsia="en-US"/>
        </w:rPr>
        <w:t xml:space="preserve"> </w:t>
      </w:r>
      <w:r>
        <w:rPr>
          <w:rFonts w:ascii="Times New Roman" w:hAnsi="Times New Roman"/>
          <w:sz w:val="24"/>
          <w:szCs w:val="22"/>
          <w:lang w:eastAsia="en-US"/>
        </w:rPr>
        <w:t>i</w:t>
      </w:r>
      <w:r>
        <w:rPr>
          <w:rFonts w:ascii="Times New Roman" w:hAnsi="Times New Roman"/>
          <w:sz w:val="24"/>
          <w:szCs w:val="22"/>
          <w:lang w:val="hr-HR" w:eastAsia="en-US"/>
        </w:rPr>
        <w:t xml:space="preserve"> š</w:t>
      </w:r>
      <w:r>
        <w:rPr>
          <w:rFonts w:ascii="Times New Roman" w:hAnsi="Times New Roman"/>
          <w:sz w:val="24"/>
          <w:szCs w:val="22"/>
          <w:lang w:eastAsia="en-US"/>
        </w:rPr>
        <w:t>umsko</w:t>
      </w:r>
      <w:r>
        <w:rPr>
          <w:rFonts w:ascii="Times New Roman" w:hAnsi="Times New Roman"/>
          <w:sz w:val="24"/>
          <w:szCs w:val="22"/>
          <w:lang w:val="hr-HR" w:eastAsia="en-US"/>
        </w:rPr>
        <w:t xml:space="preserve"> </w:t>
      </w:r>
      <w:r>
        <w:rPr>
          <w:rFonts w:ascii="Times New Roman" w:hAnsi="Times New Roman"/>
          <w:sz w:val="24"/>
          <w:szCs w:val="22"/>
          <w:lang w:eastAsia="en-US"/>
        </w:rPr>
        <w:t>zemlji</w:t>
      </w:r>
      <w:r>
        <w:rPr>
          <w:rFonts w:ascii="Times New Roman" w:hAnsi="Times New Roman"/>
          <w:sz w:val="24"/>
          <w:szCs w:val="22"/>
          <w:lang w:val="hr-HR" w:eastAsia="en-US"/>
        </w:rPr>
        <w:t>š</w:t>
      </w:r>
      <w:r>
        <w:rPr>
          <w:rFonts w:ascii="Times New Roman" w:hAnsi="Times New Roman"/>
          <w:sz w:val="24"/>
          <w:szCs w:val="22"/>
          <w:lang w:eastAsia="en-US"/>
        </w:rPr>
        <w:t>te</w:t>
      </w:r>
      <w:r>
        <w:rPr>
          <w:rFonts w:ascii="Times New Roman" w:hAnsi="Times New Roman"/>
          <w:sz w:val="24"/>
          <w:szCs w:val="22"/>
          <w:lang w:val="hr-HR" w:eastAsia="en-US"/>
        </w:rPr>
        <w:t xml:space="preserve"> (</w:t>
      </w:r>
      <w:r>
        <w:rPr>
          <w:rFonts w:ascii="Times New Roman" w:hAnsi="Times New Roman"/>
          <w:sz w:val="24"/>
          <w:szCs w:val="22"/>
          <w:lang w:eastAsia="en-US"/>
        </w:rPr>
        <w:t>za</w:t>
      </w:r>
      <w:r>
        <w:rPr>
          <w:rFonts w:ascii="Times New Roman" w:hAnsi="Times New Roman"/>
          <w:sz w:val="24"/>
          <w:szCs w:val="22"/>
          <w:lang w:val="hr-HR" w:eastAsia="en-US"/>
        </w:rPr>
        <w:t>š</w:t>
      </w:r>
      <w:r>
        <w:rPr>
          <w:rFonts w:ascii="Times New Roman" w:hAnsi="Times New Roman"/>
          <w:sz w:val="24"/>
          <w:szCs w:val="22"/>
          <w:lang w:eastAsia="en-US"/>
        </w:rPr>
        <w:t>ti</w:t>
      </w:r>
      <w:r>
        <w:rPr>
          <w:rFonts w:ascii="Times New Roman" w:hAnsi="Times New Roman"/>
          <w:sz w:val="24"/>
          <w:szCs w:val="22"/>
          <w:lang w:val="hr-HR" w:eastAsia="en-US"/>
        </w:rPr>
        <w:t>ć</w:t>
      </w:r>
      <w:r>
        <w:rPr>
          <w:rFonts w:ascii="Times New Roman" w:hAnsi="Times New Roman"/>
          <w:sz w:val="24"/>
          <w:szCs w:val="22"/>
          <w:lang w:eastAsia="en-US"/>
        </w:rPr>
        <w:t>eni</w:t>
      </w:r>
      <w:r>
        <w:rPr>
          <w:rFonts w:ascii="Times New Roman" w:hAnsi="Times New Roman"/>
          <w:sz w:val="24"/>
          <w:szCs w:val="22"/>
          <w:lang w:val="hr-HR" w:eastAsia="en-US"/>
        </w:rPr>
        <w:t xml:space="preserve"> </w:t>
      </w:r>
      <w:r>
        <w:rPr>
          <w:rFonts w:ascii="Times New Roman" w:hAnsi="Times New Roman"/>
          <w:sz w:val="24"/>
          <w:szCs w:val="22"/>
          <w:lang w:eastAsia="en-US"/>
        </w:rPr>
        <w:t>dijelovi</w:t>
      </w:r>
      <w:r>
        <w:rPr>
          <w:rFonts w:ascii="Times New Roman" w:hAnsi="Times New Roman"/>
          <w:sz w:val="24"/>
          <w:szCs w:val="22"/>
          <w:lang w:val="hr-HR" w:eastAsia="en-US"/>
        </w:rPr>
        <w:t xml:space="preserve"> prirode)</w:t>
      </w:r>
    </w:p>
    <w:p w:rsidR="00012172" w:rsidRDefault="00012172" w:rsidP="004B0466">
      <w:pPr>
        <w:pStyle w:val="clanak"/>
        <w:numPr>
          <w:ilvl w:val="0"/>
          <w:numId w:val="22"/>
        </w:numPr>
        <w:rPr>
          <w:rFonts w:ascii="Times New Roman" w:hAnsi="Times New Roman"/>
          <w:sz w:val="24"/>
          <w:szCs w:val="22"/>
          <w:lang w:val="hr-HR" w:eastAsia="en-US"/>
        </w:rPr>
      </w:pPr>
      <w:r>
        <w:rPr>
          <w:rFonts w:ascii="Times New Roman" w:hAnsi="Times New Roman"/>
          <w:sz w:val="24"/>
          <w:szCs w:val="22"/>
          <w:lang w:val="hr-HR" w:eastAsia="en-US"/>
        </w:rPr>
        <w:t>vodene površine.</w:t>
      </w:r>
    </w:p>
    <w:p w:rsidR="00012172" w:rsidRDefault="00012172">
      <w:pPr>
        <w:pStyle w:val="clanak"/>
        <w:rPr>
          <w:rFonts w:ascii="Times New Roman" w:hAnsi="Times New Roman"/>
          <w:snapToGrid w:val="0"/>
          <w:sz w:val="24"/>
          <w:szCs w:val="22"/>
          <w:lang w:val="hr-HR" w:eastAsia="en-US"/>
        </w:rPr>
      </w:pPr>
    </w:p>
    <w:p w:rsidR="00012172" w:rsidRDefault="00012172" w:rsidP="004B0466">
      <w:pPr>
        <w:pStyle w:val="clanak"/>
        <w:numPr>
          <w:ilvl w:val="0"/>
          <w:numId w:val="39"/>
        </w:numPr>
        <w:rPr>
          <w:rFonts w:ascii="Times New Roman" w:hAnsi="Times New Roman"/>
          <w:snapToGrid w:val="0"/>
          <w:sz w:val="24"/>
          <w:szCs w:val="22"/>
          <w:lang w:val="hr-HR" w:eastAsia="en-US"/>
        </w:rPr>
      </w:pPr>
      <w:r>
        <w:rPr>
          <w:rFonts w:ascii="Times New Roman" w:hAnsi="Times New Roman"/>
          <w:snapToGrid w:val="0"/>
          <w:sz w:val="24"/>
          <w:szCs w:val="22"/>
          <w:lang w:val="hr-HR" w:eastAsia="en-US"/>
        </w:rPr>
        <w:t>Uređenje i izgradnju odgovarajućih sadržaja potrebno je planirati i provoditi tako da se u najvećoj mogućoj mjeri očuva izvorna vrijednost prirodnog i kulturno-povijesnog okruženja.</w:t>
      </w:r>
    </w:p>
    <w:p w:rsidR="00012172" w:rsidRDefault="00012172" w:rsidP="00725F6F">
      <w:pPr>
        <w:pStyle w:val="clanak"/>
        <w:tabs>
          <w:tab w:val="num" w:pos="360"/>
        </w:tabs>
        <w:ind w:left="360" w:hanging="360"/>
        <w:rPr>
          <w:rFonts w:ascii="Times New Roman" w:hAnsi="Times New Roman"/>
          <w:snapToGrid w:val="0"/>
          <w:sz w:val="24"/>
          <w:szCs w:val="22"/>
          <w:lang w:val="hr-HR" w:eastAsia="en-US"/>
        </w:rPr>
      </w:pPr>
    </w:p>
    <w:p w:rsidR="00012172" w:rsidRDefault="004B0466" w:rsidP="004B0466">
      <w:pPr>
        <w:pStyle w:val="clanak"/>
        <w:numPr>
          <w:ilvl w:val="0"/>
          <w:numId w:val="39"/>
        </w:numPr>
        <w:rPr>
          <w:rFonts w:ascii="Times New Roman" w:hAnsi="Times New Roman"/>
          <w:snapToGrid w:val="0"/>
          <w:sz w:val="24"/>
          <w:szCs w:val="22"/>
          <w:lang w:val="hr-HR" w:eastAsia="en-US"/>
        </w:rPr>
      </w:pPr>
      <w:r>
        <w:rPr>
          <w:rFonts w:ascii="Times New Roman" w:hAnsi="Times New Roman"/>
          <w:snapToGrid w:val="0"/>
          <w:sz w:val="24"/>
          <w:szCs w:val="22"/>
          <w:lang w:val="hr-HR" w:eastAsia="en-US"/>
        </w:rPr>
        <w:t>Kao turistička</w:t>
      </w:r>
      <w:r w:rsidR="00012172">
        <w:rPr>
          <w:rFonts w:ascii="Times New Roman" w:hAnsi="Times New Roman"/>
          <w:snapToGrid w:val="0"/>
          <w:sz w:val="24"/>
          <w:szCs w:val="22"/>
          <w:lang w:val="hr-HR" w:eastAsia="en-US"/>
        </w:rPr>
        <w:t xml:space="preserve"> </w:t>
      </w:r>
      <w:r>
        <w:rPr>
          <w:rFonts w:ascii="Times New Roman" w:hAnsi="Times New Roman"/>
          <w:snapToGrid w:val="0"/>
          <w:sz w:val="24"/>
          <w:szCs w:val="22"/>
          <w:lang w:val="hr-HR" w:eastAsia="en-US"/>
        </w:rPr>
        <w:t>zona</w:t>
      </w:r>
      <w:r w:rsidR="00012172">
        <w:rPr>
          <w:rFonts w:ascii="Times New Roman" w:hAnsi="Times New Roman"/>
          <w:snapToGrid w:val="0"/>
          <w:sz w:val="24"/>
          <w:szCs w:val="22"/>
          <w:lang w:val="hr-HR" w:eastAsia="en-US"/>
        </w:rPr>
        <w:t xml:space="preserve"> označen</w:t>
      </w:r>
      <w:r>
        <w:rPr>
          <w:rFonts w:ascii="Times New Roman" w:hAnsi="Times New Roman"/>
          <w:snapToGrid w:val="0"/>
          <w:sz w:val="24"/>
          <w:szCs w:val="22"/>
          <w:lang w:val="hr-HR" w:eastAsia="en-US"/>
        </w:rPr>
        <w:t>a</w:t>
      </w:r>
      <w:r w:rsidR="00012172">
        <w:rPr>
          <w:rFonts w:ascii="Times New Roman" w:hAnsi="Times New Roman"/>
          <w:snapToGrid w:val="0"/>
          <w:sz w:val="24"/>
          <w:szCs w:val="22"/>
          <w:lang w:val="hr-HR" w:eastAsia="en-US"/>
        </w:rPr>
        <w:t xml:space="preserve"> je </w:t>
      </w:r>
      <w:r>
        <w:rPr>
          <w:rFonts w:ascii="Times New Roman" w:hAnsi="Times New Roman"/>
          <w:snapToGrid w:val="0"/>
          <w:sz w:val="24"/>
          <w:szCs w:val="22"/>
          <w:lang w:val="hr-HR" w:eastAsia="en-US"/>
        </w:rPr>
        <w:t>zona dvor</w:t>
      </w:r>
      <w:r w:rsidR="00012172">
        <w:rPr>
          <w:rFonts w:ascii="Times New Roman" w:hAnsi="Times New Roman"/>
          <w:snapToGrid w:val="0"/>
          <w:sz w:val="24"/>
          <w:szCs w:val="22"/>
          <w:lang w:val="hr-HR" w:eastAsia="en-US"/>
        </w:rPr>
        <w:t>c</w:t>
      </w:r>
      <w:r>
        <w:rPr>
          <w:rFonts w:ascii="Times New Roman" w:hAnsi="Times New Roman"/>
          <w:snapToGrid w:val="0"/>
          <w:sz w:val="24"/>
          <w:szCs w:val="22"/>
          <w:lang w:val="hr-HR" w:eastAsia="en-US"/>
        </w:rPr>
        <w:t>a</w:t>
      </w:r>
      <w:r w:rsidR="00012172">
        <w:rPr>
          <w:rFonts w:ascii="Times New Roman" w:hAnsi="Times New Roman"/>
          <w:snapToGrid w:val="0"/>
          <w:sz w:val="24"/>
          <w:szCs w:val="22"/>
          <w:lang w:val="hr-HR" w:eastAsia="en-US"/>
        </w:rPr>
        <w:t xml:space="preserve"> u Gornjoj Rijeci i njegova okolica</w:t>
      </w:r>
      <w:r w:rsidR="00963862">
        <w:rPr>
          <w:rFonts w:ascii="Times New Roman" w:hAnsi="Times New Roman"/>
          <w:snapToGrid w:val="0"/>
          <w:sz w:val="24"/>
          <w:szCs w:val="22"/>
          <w:lang w:val="hr-HR" w:eastAsia="en-US"/>
        </w:rPr>
        <w:t xml:space="preserve"> (površine pod namjenom T1a, T</w:t>
      </w:r>
      <w:r w:rsidR="00982F4A">
        <w:rPr>
          <w:rFonts w:ascii="Times New Roman" w:hAnsi="Times New Roman"/>
          <w:snapToGrid w:val="0"/>
          <w:sz w:val="24"/>
          <w:szCs w:val="22"/>
          <w:lang w:val="hr-HR" w:eastAsia="en-US"/>
        </w:rPr>
        <w:t>1</w:t>
      </w:r>
      <w:r w:rsidR="00963862">
        <w:rPr>
          <w:rFonts w:ascii="Times New Roman" w:hAnsi="Times New Roman"/>
          <w:snapToGrid w:val="0"/>
          <w:sz w:val="24"/>
          <w:szCs w:val="22"/>
          <w:lang w:val="hr-HR" w:eastAsia="en-US"/>
        </w:rPr>
        <w:t>b i R)</w:t>
      </w:r>
      <w:r w:rsidR="00012172">
        <w:rPr>
          <w:rFonts w:ascii="Times New Roman" w:hAnsi="Times New Roman"/>
          <w:snapToGrid w:val="0"/>
          <w:sz w:val="24"/>
          <w:szCs w:val="22"/>
          <w:lang w:val="hr-HR" w:eastAsia="en-US"/>
        </w:rPr>
        <w:t>, Mali Kalnik, rekreacijsko-turistička zona u Kostanjevcu Riječkom i lovački domovi.</w:t>
      </w:r>
    </w:p>
    <w:p w:rsidR="004B0466" w:rsidRDefault="004B0466" w:rsidP="004B0466">
      <w:pPr>
        <w:pStyle w:val="clanak"/>
        <w:rPr>
          <w:rFonts w:ascii="Times New Roman" w:hAnsi="Times New Roman"/>
          <w:snapToGrid w:val="0"/>
          <w:sz w:val="24"/>
          <w:szCs w:val="22"/>
          <w:lang w:val="hr-HR" w:eastAsia="en-US"/>
        </w:rPr>
      </w:pPr>
    </w:p>
    <w:p w:rsidR="00963862" w:rsidRDefault="00963862" w:rsidP="004B0466">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(4) Izgradnja ugosti</w:t>
      </w:r>
      <w:r w:rsidR="004B0466">
        <w:rPr>
          <w:rFonts w:ascii="Times New Roman" w:hAnsi="Times New Roman"/>
          <w:snapToGrid w:val="0"/>
          <w:sz w:val="24"/>
          <w:szCs w:val="22"/>
          <w:lang w:val="hr-HR" w:eastAsia="en-US"/>
        </w:rPr>
        <w:t>teljsko-turističkih sadržaja u turističkoj zoni dvorca Gornja Rijeka definirat će se</w:t>
      </w:r>
      <w:r>
        <w:rPr>
          <w:rFonts w:ascii="Times New Roman" w:hAnsi="Times New Roman"/>
          <w:snapToGrid w:val="0"/>
          <w:sz w:val="24"/>
          <w:szCs w:val="22"/>
          <w:lang w:val="hr-HR" w:eastAsia="en-US"/>
        </w:rPr>
        <w:t>:</w:t>
      </w:r>
    </w:p>
    <w:p w:rsidR="004B0466" w:rsidRDefault="00963862" w:rsidP="004B0466">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 primarno na parceli k.č. br. 1804 urbanističko-arhitektonskim rješenjem</w:t>
      </w:r>
      <w:r w:rsidR="00982F4A">
        <w:rPr>
          <w:rFonts w:ascii="Times New Roman" w:hAnsi="Times New Roman"/>
          <w:snapToGrid w:val="0"/>
          <w:sz w:val="24"/>
          <w:szCs w:val="22"/>
          <w:lang w:val="hr-HR" w:eastAsia="en-US"/>
        </w:rPr>
        <w:t xml:space="preserve"> (T1a)</w:t>
      </w:r>
    </w:p>
    <w:p w:rsidR="00963862" w:rsidRDefault="00963862" w:rsidP="004B0466">
      <w:pPr>
        <w:pStyle w:val="clanak"/>
        <w:rPr>
          <w:rFonts w:ascii="Times New Roman" w:hAnsi="Times New Roman"/>
          <w:snapToGrid w:val="0"/>
          <w:sz w:val="24"/>
          <w:szCs w:val="22"/>
          <w:lang w:val="hr-HR" w:eastAsia="en-US"/>
        </w:rPr>
      </w:pPr>
      <w:r>
        <w:rPr>
          <w:rFonts w:ascii="Times New Roman" w:hAnsi="Times New Roman"/>
          <w:snapToGrid w:val="0"/>
          <w:sz w:val="24"/>
          <w:szCs w:val="22"/>
          <w:lang w:val="hr-HR" w:eastAsia="en-US"/>
        </w:rPr>
        <w:t>- i sekundarno unutar gra</w:t>
      </w:r>
      <w:r w:rsidR="003C5A3F">
        <w:rPr>
          <w:rFonts w:ascii="Times New Roman" w:hAnsi="Times New Roman"/>
          <w:snapToGrid w:val="0"/>
          <w:sz w:val="24"/>
          <w:szCs w:val="22"/>
          <w:lang w:val="hr-HR" w:eastAsia="en-US"/>
        </w:rPr>
        <w:t>nica obuhvata DPU-a</w:t>
      </w:r>
      <w:r w:rsidR="00982F4A">
        <w:rPr>
          <w:rFonts w:ascii="Times New Roman" w:hAnsi="Times New Roman"/>
          <w:snapToGrid w:val="0"/>
          <w:sz w:val="24"/>
          <w:szCs w:val="22"/>
          <w:lang w:val="hr-HR" w:eastAsia="en-US"/>
        </w:rPr>
        <w:t xml:space="preserve"> (namjene T1b</w:t>
      </w:r>
      <w:r>
        <w:rPr>
          <w:rFonts w:ascii="Times New Roman" w:hAnsi="Times New Roman"/>
          <w:snapToGrid w:val="0"/>
          <w:sz w:val="24"/>
          <w:szCs w:val="22"/>
          <w:lang w:val="hr-HR" w:eastAsia="en-US"/>
        </w:rPr>
        <w:t>).</w:t>
      </w:r>
    </w:p>
    <w:p w:rsidR="00012172" w:rsidRDefault="00012172">
      <w:pPr>
        <w:pStyle w:val="clanak"/>
        <w:rPr>
          <w:rFonts w:ascii="Times New Roman" w:hAnsi="Times New Roman"/>
          <w:snapToGrid w:val="0"/>
          <w:sz w:val="24"/>
          <w:szCs w:val="22"/>
          <w:lang w:val="hr-HR" w:eastAsia="en-US"/>
        </w:rPr>
      </w:pPr>
    </w:p>
    <w:p w:rsidR="00012172" w:rsidRDefault="00012172">
      <w:pPr>
        <w:pStyle w:val="Naslov1"/>
        <w:rPr>
          <w:rFonts w:ascii="Times New Roman" w:hAnsi="Times New Roman" w:cs="Times New Roman"/>
        </w:rPr>
      </w:pPr>
      <w:bookmarkStart w:id="78" w:name="_Toc49756028"/>
      <w:bookmarkStart w:id="79" w:name="_Toc95140618"/>
      <w:r>
        <w:rPr>
          <w:rFonts w:ascii="Times New Roman" w:hAnsi="Times New Roman" w:cs="Times New Roman"/>
        </w:rPr>
        <w:t>4. Uvjeti smještaja društvenih djelatnosti</w:t>
      </w:r>
      <w:bookmarkEnd w:id="78"/>
      <w:bookmarkEnd w:id="79"/>
      <w:r>
        <w:rPr>
          <w:rFonts w:ascii="Times New Roman" w:hAnsi="Times New Roman" w:cs="Times New Roman"/>
        </w:rPr>
        <w:t xml:space="preserve"> </w:t>
      </w:r>
    </w:p>
    <w:p w:rsidR="00012172" w:rsidRDefault="00012172"/>
    <w:p w:rsidR="00012172" w:rsidRDefault="00BA1A8A">
      <w:pPr>
        <w:pStyle w:val="clanak"/>
        <w:jc w:val="center"/>
        <w:rPr>
          <w:rFonts w:ascii="Times New Roman" w:hAnsi="Times New Roman"/>
          <w:snapToGrid w:val="0"/>
          <w:sz w:val="24"/>
          <w:szCs w:val="22"/>
          <w:lang w:val="hr-HR" w:eastAsia="en-US"/>
        </w:rPr>
      </w:pPr>
      <w:r>
        <w:rPr>
          <w:rFonts w:ascii="Times New Roman" w:hAnsi="Times New Roman"/>
          <w:snapToGrid w:val="0"/>
          <w:sz w:val="24"/>
          <w:szCs w:val="22"/>
          <w:lang w:val="hr-HR" w:eastAsia="en-US"/>
        </w:rPr>
        <w:t xml:space="preserve">Članak </w:t>
      </w:r>
      <w:r w:rsidR="00F237BF">
        <w:rPr>
          <w:rFonts w:ascii="Times New Roman" w:hAnsi="Times New Roman"/>
          <w:snapToGrid w:val="0"/>
          <w:sz w:val="24"/>
          <w:szCs w:val="22"/>
          <w:lang w:val="hr-HR" w:eastAsia="en-US"/>
        </w:rPr>
        <w:t>7</w:t>
      </w:r>
      <w:r>
        <w:rPr>
          <w:rFonts w:ascii="Times New Roman" w:hAnsi="Times New Roman"/>
          <w:snapToGrid w:val="0"/>
          <w:sz w:val="24"/>
          <w:szCs w:val="22"/>
          <w:lang w:val="hr-HR" w:eastAsia="en-US"/>
        </w:rPr>
        <w:t>8</w:t>
      </w:r>
      <w:r w:rsidR="00012172">
        <w:rPr>
          <w:rFonts w:ascii="Times New Roman" w:hAnsi="Times New Roman"/>
          <w:snapToGrid w:val="0"/>
          <w:sz w:val="24"/>
          <w:szCs w:val="22"/>
          <w:lang w:val="hr-HR" w:eastAsia="en-US"/>
        </w:rPr>
        <w:t>.</w:t>
      </w:r>
    </w:p>
    <w:p w:rsidR="00012172" w:rsidRDefault="00725F6F">
      <w:pPr>
        <w:pStyle w:val="clanak"/>
        <w:tabs>
          <w:tab w:val="num" w:pos="360"/>
        </w:tabs>
        <w:rPr>
          <w:rFonts w:ascii="Times New Roman" w:hAnsi="Times New Roman"/>
          <w:snapToGrid w:val="0"/>
          <w:sz w:val="24"/>
          <w:szCs w:val="22"/>
          <w:lang w:val="hr-HR" w:eastAsia="en-US"/>
        </w:rPr>
      </w:pPr>
      <w:r>
        <w:rPr>
          <w:rFonts w:ascii="Times New Roman" w:hAnsi="Times New Roman"/>
          <w:snapToGrid w:val="0"/>
          <w:sz w:val="24"/>
          <w:szCs w:val="22"/>
          <w:lang w:val="hr-HR" w:eastAsia="en-US"/>
        </w:rPr>
        <w:t xml:space="preserve">(1) </w:t>
      </w:r>
      <w:r w:rsidR="00012172">
        <w:rPr>
          <w:rFonts w:ascii="Times New Roman" w:hAnsi="Times New Roman"/>
          <w:snapToGrid w:val="0"/>
          <w:sz w:val="24"/>
          <w:szCs w:val="22"/>
          <w:lang w:val="hr-HR" w:eastAsia="en-US"/>
        </w:rPr>
        <w:t>Prostornim planom osigurani su prostorni uvjeti smještaja i razvitka sustava društvenih djelatnosti: predškolskih i školskih ustanova, zdravstvenih i socijalnih ustanova, građevina kulture i sporta, vjerskih građevina te ostalih građevina javnog interesa.</w:t>
      </w:r>
    </w:p>
    <w:p w:rsidR="00012172" w:rsidRDefault="00012172">
      <w:pPr>
        <w:pStyle w:val="clanak"/>
        <w:rPr>
          <w:rFonts w:ascii="Times New Roman" w:hAnsi="Times New Roman"/>
          <w:snapToGrid w:val="0"/>
          <w:sz w:val="24"/>
          <w:szCs w:val="22"/>
          <w:lang w:val="hr-HR" w:eastAsia="en-US"/>
        </w:rPr>
      </w:pPr>
    </w:p>
    <w:p w:rsidR="00012172" w:rsidRDefault="00725F6F">
      <w:pPr>
        <w:pStyle w:val="clanak"/>
        <w:tabs>
          <w:tab w:val="num" w:pos="360"/>
        </w:tabs>
        <w:rPr>
          <w:rFonts w:ascii="Times New Roman" w:hAnsi="Times New Roman"/>
          <w:snapToGrid w:val="0"/>
          <w:sz w:val="24"/>
          <w:szCs w:val="22"/>
          <w:lang w:val="hr-HR" w:eastAsia="en-US"/>
        </w:rPr>
      </w:pPr>
      <w:r>
        <w:rPr>
          <w:rFonts w:ascii="Times New Roman" w:hAnsi="Times New Roman"/>
          <w:snapToGrid w:val="0"/>
          <w:sz w:val="24"/>
          <w:szCs w:val="22"/>
          <w:lang w:val="hr-HR" w:eastAsia="en-US"/>
        </w:rPr>
        <w:t xml:space="preserve">(2) </w:t>
      </w:r>
      <w:r w:rsidR="00012172">
        <w:rPr>
          <w:rFonts w:ascii="Times New Roman" w:hAnsi="Times New Roman"/>
          <w:snapToGrid w:val="0"/>
          <w:sz w:val="24"/>
          <w:szCs w:val="22"/>
          <w:lang w:val="hr-HR" w:eastAsia="en-US"/>
        </w:rPr>
        <w:t>Ovim planom predviđa se uređenje prostora za dječji vrtić.</w:t>
      </w:r>
    </w:p>
    <w:p w:rsidR="00012172" w:rsidRDefault="00012172"/>
    <w:p w:rsidR="00012172" w:rsidRDefault="00F237BF">
      <w:pPr>
        <w:pStyle w:val="clanak"/>
        <w:jc w:val="center"/>
        <w:rPr>
          <w:rFonts w:ascii="Times New Roman" w:hAnsi="Times New Roman"/>
          <w:snapToGrid w:val="0"/>
          <w:sz w:val="24"/>
          <w:szCs w:val="22"/>
          <w:lang w:val="hr-HR" w:eastAsia="en-US"/>
        </w:rPr>
      </w:pPr>
      <w:r>
        <w:rPr>
          <w:rFonts w:ascii="Times New Roman" w:hAnsi="Times New Roman"/>
          <w:snapToGrid w:val="0"/>
          <w:sz w:val="24"/>
          <w:szCs w:val="22"/>
          <w:lang w:val="hr-HR" w:eastAsia="en-US"/>
        </w:rPr>
        <w:t>Članak 79</w:t>
      </w:r>
      <w:r w:rsidR="00012172">
        <w:rPr>
          <w:rFonts w:ascii="Times New Roman" w:hAnsi="Times New Roman"/>
          <w:snapToGrid w:val="0"/>
          <w:sz w:val="24"/>
          <w:szCs w:val="22"/>
          <w:lang w:val="hr-HR" w:eastAsia="en-US"/>
        </w:rPr>
        <w:t>.</w:t>
      </w:r>
    </w:p>
    <w:p w:rsidR="00012172" w:rsidRDefault="00012172">
      <w:pPr>
        <w:jc w:val="both"/>
        <w:rPr>
          <w:szCs w:val="22"/>
        </w:rPr>
      </w:pPr>
      <w:r>
        <w:rPr>
          <w:szCs w:val="22"/>
        </w:rPr>
        <w:t xml:space="preserve">(1) Visina građevina iz članka 74 ne može biti viša od prizemlja + 2 kata + potkrovlje, odnosno </w:t>
      </w:r>
      <w:smartTag w:uri="urn:schemas-microsoft-com:office:smarttags" w:element="metricconverter">
        <w:smartTagPr>
          <w:attr w:name="ProductID" w:val="12,0 m"/>
        </w:smartTagPr>
        <w:r>
          <w:rPr>
            <w:szCs w:val="22"/>
          </w:rPr>
          <w:t>12,0 m</w:t>
        </w:r>
      </w:smartTag>
      <w:r>
        <w:rPr>
          <w:szCs w:val="22"/>
        </w:rPr>
        <w:t xml:space="preserve"> do vijenca građevine za športske, kulturne, sakralne i slične namjene.</w:t>
      </w:r>
    </w:p>
    <w:p w:rsidR="00012172" w:rsidRDefault="00012172">
      <w:pPr>
        <w:rPr>
          <w:szCs w:val="22"/>
        </w:rPr>
      </w:pPr>
    </w:p>
    <w:p w:rsidR="00012172" w:rsidRDefault="00012172">
      <w:pPr>
        <w:jc w:val="both"/>
        <w:rPr>
          <w:szCs w:val="22"/>
        </w:rPr>
      </w:pPr>
      <w:r>
        <w:rPr>
          <w:szCs w:val="22"/>
        </w:rPr>
        <w:t>(2) Iznimno, visine dijelova građevina crkvi mogu biti viši.</w:t>
      </w:r>
    </w:p>
    <w:p w:rsidR="00012172" w:rsidRDefault="00012172"/>
    <w:p w:rsidR="00012172" w:rsidRDefault="00F237BF">
      <w:pPr>
        <w:pStyle w:val="clanak"/>
        <w:jc w:val="center"/>
        <w:rPr>
          <w:rFonts w:ascii="Times New Roman" w:hAnsi="Times New Roman"/>
          <w:snapToGrid w:val="0"/>
          <w:sz w:val="24"/>
          <w:szCs w:val="22"/>
          <w:lang w:val="hr-HR" w:eastAsia="en-US"/>
        </w:rPr>
      </w:pPr>
      <w:r>
        <w:rPr>
          <w:rFonts w:ascii="Times New Roman" w:hAnsi="Times New Roman"/>
          <w:snapToGrid w:val="0"/>
          <w:sz w:val="24"/>
          <w:szCs w:val="22"/>
          <w:lang w:val="hr-HR" w:eastAsia="en-US"/>
        </w:rPr>
        <w:t>Članak 80</w:t>
      </w:r>
      <w:r w:rsidR="00012172">
        <w:rPr>
          <w:rFonts w:ascii="Times New Roman" w:hAnsi="Times New Roman"/>
          <w:snapToGrid w:val="0"/>
          <w:sz w:val="24"/>
          <w:szCs w:val="22"/>
          <w:lang w:val="hr-HR" w:eastAsia="en-US"/>
        </w:rPr>
        <w:t>.</w:t>
      </w:r>
    </w:p>
    <w:p w:rsidR="00012172" w:rsidRDefault="00012172">
      <w:pPr>
        <w:rPr>
          <w:szCs w:val="22"/>
        </w:rPr>
      </w:pPr>
      <w:r>
        <w:rPr>
          <w:szCs w:val="22"/>
        </w:rPr>
        <w:t xml:space="preserve">(1) Udaljenost građevina iz članka 74 mora iznositi najmanje </w:t>
      </w:r>
      <w:smartTag w:uri="urn:schemas-microsoft-com:office:smarttags" w:element="metricconverter">
        <w:smartTagPr>
          <w:attr w:name="ProductID" w:val="3,0 m"/>
        </w:smartTagPr>
        <w:r>
          <w:rPr>
            <w:szCs w:val="22"/>
          </w:rPr>
          <w:t>3,0 m</w:t>
        </w:r>
      </w:smartTag>
      <w:r>
        <w:rPr>
          <w:szCs w:val="22"/>
        </w:rPr>
        <w:t xml:space="preserve"> od susjedne međe. </w:t>
      </w:r>
    </w:p>
    <w:p w:rsidR="00012172" w:rsidRDefault="00012172">
      <w:pPr>
        <w:rPr>
          <w:rFonts w:ascii="Arial" w:hAnsi="Arial" w:cs="Arial"/>
          <w:sz w:val="22"/>
          <w:szCs w:val="22"/>
        </w:rPr>
      </w:pPr>
    </w:p>
    <w:p w:rsidR="00012172" w:rsidRDefault="00012172">
      <w:pPr>
        <w:rPr>
          <w:rFonts w:ascii="Arial" w:hAnsi="Arial" w:cs="Arial"/>
          <w:sz w:val="22"/>
          <w:szCs w:val="22"/>
        </w:rPr>
      </w:pPr>
    </w:p>
    <w:p w:rsidR="00012172" w:rsidRDefault="00012172">
      <w:pPr>
        <w:rPr>
          <w:rFonts w:ascii="Arial" w:hAnsi="Arial" w:cs="Arial"/>
          <w:sz w:val="22"/>
          <w:szCs w:val="22"/>
        </w:rPr>
      </w:pPr>
    </w:p>
    <w:p w:rsidR="00012172" w:rsidRDefault="00012172">
      <w:pPr>
        <w:pStyle w:val="Naslov1"/>
        <w:rPr>
          <w:rFonts w:ascii="Times New Roman" w:hAnsi="Times New Roman" w:cs="Times New Roman"/>
        </w:rPr>
      </w:pPr>
      <w:bookmarkStart w:id="80" w:name="_Toc49756029"/>
      <w:bookmarkStart w:id="81" w:name="_Toc95140619"/>
      <w:r>
        <w:rPr>
          <w:rFonts w:ascii="Times New Roman" w:hAnsi="Times New Roman" w:cs="Times New Roman"/>
        </w:rPr>
        <w:t>5. Uvjeti utvrđivanja koridora ili trasa i površina prometnih i drugih infrastrukturnih sustava</w:t>
      </w:r>
      <w:bookmarkEnd w:id="80"/>
      <w:bookmarkEnd w:id="81"/>
      <w:r>
        <w:rPr>
          <w:rFonts w:ascii="Times New Roman" w:hAnsi="Times New Roman" w:cs="Times New Roman"/>
        </w:rPr>
        <w:t xml:space="preserve"> </w:t>
      </w:r>
    </w:p>
    <w:p w:rsidR="00012172" w:rsidRDefault="00012172"/>
    <w:p w:rsidR="00012172" w:rsidRDefault="00F237BF">
      <w:pPr>
        <w:jc w:val="center"/>
        <w:rPr>
          <w:szCs w:val="22"/>
        </w:rPr>
      </w:pPr>
      <w:r>
        <w:rPr>
          <w:szCs w:val="22"/>
        </w:rPr>
        <w:t>Članak 81</w:t>
      </w:r>
      <w:r w:rsidR="00012172">
        <w:rPr>
          <w:szCs w:val="22"/>
        </w:rPr>
        <w:t>.</w:t>
      </w:r>
    </w:p>
    <w:p w:rsidR="00012172" w:rsidRDefault="00012172">
      <w:pPr>
        <w:jc w:val="both"/>
        <w:rPr>
          <w:szCs w:val="22"/>
        </w:rPr>
      </w:pPr>
      <w:r>
        <w:rPr>
          <w:szCs w:val="22"/>
        </w:rPr>
        <w:t xml:space="preserve">(1) </w:t>
      </w:r>
      <w:r>
        <w:rPr>
          <w:szCs w:val="22"/>
          <w:lang w:val="en-AU"/>
        </w:rPr>
        <w:t>Ovim</w:t>
      </w:r>
      <w:r>
        <w:rPr>
          <w:szCs w:val="22"/>
        </w:rPr>
        <w:t xml:space="preserve"> </w:t>
      </w:r>
      <w:r>
        <w:rPr>
          <w:szCs w:val="22"/>
          <w:lang w:val="en-AU"/>
        </w:rPr>
        <w:t>prostornim</w:t>
      </w:r>
      <w:r>
        <w:rPr>
          <w:szCs w:val="22"/>
        </w:rPr>
        <w:t xml:space="preserve"> </w:t>
      </w:r>
      <w:r>
        <w:rPr>
          <w:szCs w:val="22"/>
          <w:lang w:val="en-AU"/>
        </w:rPr>
        <w:t>planom</w:t>
      </w:r>
      <w:r>
        <w:rPr>
          <w:szCs w:val="22"/>
        </w:rPr>
        <w:t xml:space="preserve"> </w:t>
      </w:r>
      <w:r>
        <w:rPr>
          <w:szCs w:val="22"/>
          <w:lang w:val="en-AU"/>
        </w:rPr>
        <w:t>je</w:t>
      </w:r>
      <w:r>
        <w:rPr>
          <w:szCs w:val="22"/>
        </w:rPr>
        <w:t xml:space="preserve"> </w:t>
      </w:r>
      <w:r>
        <w:rPr>
          <w:szCs w:val="22"/>
          <w:lang w:val="en-AU"/>
        </w:rPr>
        <w:t>predvi</w:t>
      </w:r>
      <w:r>
        <w:rPr>
          <w:szCs w:val="22"/>
        </w:rPr>
        <w:t>đ</w:t>
      </w:r>
      <w:r>
        <w:rPr>
          <w:szCs w:val="22"/>
          <w:lang w:val="en-AU"/>
        </w:rPr>
        <w:t>eno</w:t>
      </w:r>
      <w:r>
        <w:rPr>
          <w:szCs w:val="22"/>
        </w:rPr>
        <w:t xml:space="preserve"> </w:t>
      </w:r>
      <w:r>
        <w:rPr>
          <w:szCs w:val="22"/>
          <w:lang w:val="en-AU"/>
        </w:rPr>
        <w:t>opremanje</w:t>
      </w:r>
      <w:r>
        <w:rPr>
          <w:szCs w:val="22"/>
        </w:rPr>
        <w:t xml:space="preserve"> </w:t>
      </w:r>
      <w:r>
        <w:rPr>
          <w:szCs w:val="22"/>
          <w:lang w:val="en-AU"/>
        </w:rPr>
        <w:t>podru</w:t>
      </w:r>
      <w:r>
        <w:rPr>
          <w:szCs w:val="22"/>
        </w:rPr>
        <w:t>č</w:t>
      </w:r>
      <w:r>
        <w:rPr>
          <w:szCs w:val="22"/>
          <w:lang w:val="en-AU"/>
        </w:rPr>
        <w:t>ja</w:t>
      </w:r>
      <w:r>
        <w:rPr>
          <w:szCs w:val="22"/>
        </w:rPr>
        <w:t xml:space="preserve"> </w:t>
      </w:r>
      <w:r>
        <w:rPr>
          <w:szCs w:val="22"/>
          <w:lang w:val="en-AU"/>
        </w:rPr>
        <w:t>op</w:t>
      </w:r>
      <w:r>
        <w:rPr>
          <w:szCs w:val="22"/>
        </w:rPr>
        <w:t>ć</w:t>
      </w:r>
      <w:r>
        <w:rPr>
          <w:szCs w:val="22"/>
          <w:lang w:val="en-AU"/>
        </w:rPr>
        <w:t>ine</w:t>
      </w:r>
      <w:r>
        <w:rPr>
          <w:szCs w:val="22"/>
        </w:rPr>
        <w:t xml:space="preserve">  </w:t>
      </w:r>
      <w:r>
        <w:rPr>
          <w:szCs w:val="22"/>
          <w:lang w:val="en-AU"/>
        </w:rPr>
        <w:t>Gornja</w:t>
      </w:r>
      <w:r>
        <w:rPr>
          <w:szCs w:val="22"/>
        </w:rPr>
        <w:t xml:space="preserve"> </w:t>
      </w:r>
      <w:r>
        <w:rPr>
          <w:szCs w:val="22"/>
          <w:lang w:val="en-AU"/>
        </w:rPr>
        <w:t>Rijeka</w:t>
      </w:r>
      <w:r>
        <w:rPr>
          <w:szCs w:val="22"/>
        </w:rPr>
        <w:t xml:space="preserve">  </w:t>
      </w:r>
      <w:r>
        <w:rPr>
          <w:szCs w:val="22"/>
          <w:lang w:val="en-AU"/>
        </w:rPr>
        <w:t>slijede</w:t>
      </w:r>
      <w:r>
        <w:rPr>
          <w:szCs w:val="22"/>
        </w:rPr>
        <w:t>ć</w:t>
      </w:r>
      <w:r>
        <w:rPr>
          <w:szCs w:val="22"/>
          <w:lang w:val="en-AU"/>
        </w:rPr>
        <w:t>om</w:t>
      </w:r>
      <w:r>
        <w:rPr>
          <w:szCs w:val="22"/>
        </w:rPr>
        <w:t xml:space="preserve"> </w:t>
      </w:r>
      <w:r>
        <w:rPr>
          <w:szCs w:val="22"/>
          <w:lang w:val="en-AU"/>
        </w:rPr>
        <w:t>prometnom</w:t>
      </w:r>
      <w:r>
        <w:rPr>
          <w:szCs w:val="22"/>
        </w:rPr>
        <w:t xml:space="preserve"> </w:t>
      </w:r>
      <w:r>
        <w:rPr>
          <w:szCs w:val="22"/>
          <w:lang w:val="en-AU"/>
        </w:rPr>
        <w:t>i</w:t>
      </w:r>
      <w:r>
        <w:rPr>
          <w:szCs w:val="22"/>
        </w:rPr>
        <w:t xml:space="preserve"> </w:t>
      </w:r>
      <w:r>
        <w:rPr>
          <w:szCs w:val="22"/>
          <w:lang w:val="en-AU"/>
        </w:rPr>
        <w:t>komunalnom</w:t>
      </w:r>
      <w:r>
        <w:rPr>
          <w:szCs w:val="22"/>
        </w:rPr>
        <w:t xml:space="preserve"> </w:t>
      </w:r>
      <w:r>
        <w:rPr>
          <w:szCs w:val="22"/>
          <w:lang w:val="en-AU"/>
        </w:rPr>
        <w:t>infrastrukturom</w:t>
      </w:r>
      <w:r>
        <w:rPr>
          <w:szCs w:val="22"/>
        </w:rPr>
        <w:t>:</w:t>
      </w:r>
    </w:p>
    <w:p w:rsidR="00012172" w:rsidRDefault="00012172">
      <w:pPr>
        <w:tabs>
          <w:tab w:val="num" w:pos="840"/>
        </w:tabs>
        <w:overflowPunct w:val="0"/>
        <w:autoSpaceDE w:val="0"/>
        <w:autoSpaceDN w:val="0"/>
        <w:adjustRightInd w:val="0"/>
        <w:ind w:left="849" w:hanging="360"/>
        <w:jc w:val="both"/>
        <w:textAlignment w:val="baseline"/>
        <w:rPr>
          <w:szCs w:val="22"/>
        </w:rPr>
      </w:pPr>
      <w:r>
        <w:rPr>
          <w:szCs w:val="22"/>
          <w:lang w:val="de-DE"/>
        </w:rPr>
        <w:t>prometnim</w:t>
      </w:r>
      <w:r>
        <w:rPr>
          <w:szCs w:val="22"/>
        </w:rPr>
        <w:t xml:space="preserve"> </w:t>
      </w:r>
      <w:r>
        <w:rPr>
          <w:szCs w:val="22"/>
          <w:lang w:val="de-DE"/>
        </w:rPr>
        <w:t>povr</w:t>
      </w:r>
      <w:r>
        <w:rPr>
          <w:szCs w:val="22"/>
        </w:rPr>
        <w:t>š</w:t>
      </w:r>
      <w:r>
        <w:rPr>
          <w:szCs w:val="22"/>
          <w:lang w:val="de-DE"/>
        </w:rPr>
        <w:t>inama</w:t>
      </w:r>
      <w:r>
        <w:rPr>
          <w:szCs w:val="22"/>
        </w:rPr>
        <w:t>,</w:t>
      </w:r>
    </w:p>
    <w:p w:rsidR="00012172" w:rsidRDefault="00012172">
      <w:pPr>
        <w:tabs>
          <w:tab w:val="num" w:pos="840"/>
        </w:tabs>
        <w:overflowPunct w:val="0"/>
        <w:autoSpaceDE w:val="0"/>
        <w:autoSpaceDN w:val="0"/>
        <w:adjustRightInd w:val="0"/>
        <w:ind w:left="849" w:hanging="360"/>
        <w:jc w:val="both"/>
        <w:textAlignment w:val="baseline"/>
        <w:rPr>
          <w:szCs w:val="22"/>
        </w:rPr>
      </w:pPr>
      <w:r>
        <w:rPr>
          <w:szCs w:val="22"/>
          <w:lang w:val="de-DE"/>
        </w:rPr>
        <w:t>mre</w:t>
      </w:r>
      <w:r>
        <w:rPr>
          <w:szCs w:val="22"/>
        </w:rPr>
        <w:t>ž</w:t>
      </w:r>
      <w:r>
        <w:rPr>
          <w:szCs w:val="22"/>
          <w:lang w:val="de-DE"/>
        </w:rPr>
        <w:t>om</w:t>
      </w:r>
      <w:r>
        <w:rPr>
          <w:szCs w:val="22"/>
        </w:rPr>
        <w:t xml:space="preserve"> </w:t>
      </w:r>
      <w:r>
        <w:rPr>
          <w:szCs w:val="22"/>
          <w:lang w:val="de-DE"/>
        </w:rPr>
        <w:t>telekomunikacija</w:t>
      </w:r>
      <w:r>
        <w:rPr>
          <w:szCs w:val="22"/>
        </w:rPr>
        <w:t xml:space="preserve"> </w:t>
      </w:r>
      <w:r>
        <w:rPr>
          <w:szCs w:val="22"/>
          <w:lang w:val="de-DE"/>
        </w:rPr>
        <w:t>i</w:t>
      </w:r>
      <w:r>
        <w:rPr>
          <w:szCs w:val="22"/>
        </w:rPr>
        <w:t xml:space="preserve"> </w:t>
      </w:r>
      <w:r>
        <w:rPr>
          <w:szCs w:val="22"/>
          <w:lang w:val="de-DE"/>
        </w:rPr>
        <w:t>po</w:t>
      </w:r>
      <w:r>
        <w:rPr>
          <w:szCs w:val="22"/>
        </w:rPr>
        <w:t>š</w:t>
      </w:r>
      <w:r>
        <w:rPr>
          <w:szCs w:val="22"/>
          <w:lang w:val="de-DE"/>
        </w:rPr>
        <w:t>te</w:t>
      </w:r>
      <w:r>
        <w:rPr>
          <w:szCs w:val="22"/>
        </w:rPr>
        <w:t>,</w:t>
      </w:r>
    </w:p>
    <w:p w:rsidR="00012172" w:rsidRDefault="00012172">
      <w:pPr>
        <w:tabs>
          <w:tab w:val="num" w:pos="840"/>
        </w:tabs>
        <w:overflowPunct w:val="0"/>
        <w:autoSpaceDE w:val="0"/>
        <w:autoSpaceDN w:val="0"/>
        <w:adjustRightInd w:val="0"/>
        <w:ind w:left="849" w:hanging="360"/>
        <w:jc w:val="both"/>
        <w:textAlignment w:val="baseline"/>
        <w:rPr>
          <w:szCs w:val="22"/>
        </w:rPr>
      </w:pPr>
      <w:r>
        <w:rPr>
          <w:szCs w:val="22"/>
          <w:lang w:val="de-DE"/>
        </w:rPr>
        <w:t>elektroopskrbnom</w:t>
      </w:r>
      <w:r>
        <w:rPr>
          <w:szCs w:val="22"/>
        </w:rPr>
        <w:t xml:space="preserve"> </w:t>
      </w:r>
      <w:r>
        <w:rPr>
          <w:szCs w:val="22"/>
          <w:lang w:val="de-DE"/>
        </w:rPr>
        <w:t>mre</w:t>
      </w:r>
      <w:r>
        <w:rPr>
          <w:szCs w:val="22"/>
        </w:rPr>
        <w:t>ž</w:t>
      </w:r>
      <w:r>
        <w:rPr>
          <w:szCs w:val="22"/>
          <w:lang w:val="de-DE"/>
        </w:rPr>
        <w:t>om</w:t>
      </w:r>
      <w:r>
        <w:rPr>
          <w:szCs w:val="22"/>
        </w:rPr>
        <w:t>,</w:t>
      </w:r>
    </w:p>
    <w:p w:rsidR="00012172" w:rsidRDefault="00012172">
      <w:pPr>
        <w:tabs>
          <w:tab w:val="num" w:pos="840"/>
        </w:tabs>
        <w:overflowPunct w:val="0"/>
        <w:autoSpaceDE w:val="0"/>
        <w:autoSpaceDN w:val="0"/>
        <w:adjustRightInd w:val="0"/>
        <w:ind w:left="849" w:hanging="360"/>
        <w:jc w:val="both"/>
        <w:textAlignment w:val="baseline"/>
        <w:rPr>
          <w:szCs w:val="22"/>
        </w:rPr>
      </w:pPr>
      <w:r>
        <w:rPr>
          <w:szCs w:val="22"/>
          <w:lang w:val="de-DE"/>
        </w:rPr>
        <w:t>vodoopskrbnom</w:t>
      </w:r>
      <w:r>
        <w:rPr>
          <w:szCs w:val="22"/>
        </w:rPr>
        <w:t xml:space="preserve"> </w:t>
      </w:r>
      <w:r>
        <w:rPr>
          <w:szCs w:val="22"/>
          <w:lang w:val="de-DE"/>
        </w:rPr>
        <w:t>mre</w:t>
      </w:r>
      <w:r>
        <w:rPr>
          <w:szCs w:val="22"/>
        </w:rPr>
        <w:t>ž</w:t>
      </w:r>
      <w:r>
        <w:rPr>
          <w:szCs w:val="22"/>
          <w:lang w:val="de-DE"/>
        </w:rPr>
        <w:t>om</w:t>
      </w:r>
      <w:r>
        <w:rPr>
          <w:szCs w:val="22"/>
        </w:rPr>
        <w:t xml:space="preserve"> </w:t>
      </w:r>
      <w:r>
        <w:rPr>
          <w:szCs w:val="22"/>
          <w:lang w:val="de-DE"/>
        </w:rPr>
        <w:t>i</w:t>
      </w:r>
    </w:p>
    <w:p w:rsidR="00012172" w:rsidRDefault="00012172">
      <w:pPr>
        <w:tabs>
          <w:tab w:val="num" w:pos="840"/>
        </w:tabs>
        <w:overflowPunct w:val="0"/>
        <w:autoSpaceDE w:val="0"/>
        <w:autoSpaceDN w:val="0"/>
        <w:adjustRightInd w:val="0"/>
        <w:ind w:left="849" w:hanging="360"/>
        <w:jc w:val="both"/>
        <w:textAlignment w:val="baseline"/>
        <w:rPr>
          <w:szCs w:val="22"/>
        </w:rPr>
      </w:pPr>
      <w:r>
        <w:rPr>
          <w:szCs w:val="22"/>
          <w:lang w:val="de-DE"/>
        </w:rPr>
        <w:t>mre</w:t>
      </w:r>
      <w:r>
        <w:rPr>
          <w:szCs w:val="22"/>
        </w:rPr>
        <w:t>ž</w:t>
      </w:r>
      <w:r>
        <w:rPr>
          <w:szCs w:val="22"/>
          <w:lang w:val="de-DE"/>
        </w:rPr>
        <w:t>om</w:t>
      </w:r>
      <w:r>
        <w:rPr>
          <w:szCs w:val="22"/>
        </w:rPr>
        <w:t xml:space="preserve"> </w:t>
      </w:r>
      <w:r>
        <w:rPr>
          <w:szCs w:val="22"/>
          <w:lang w:val="de-DE"/>
        </w:rPr>
        <w:t>odvodnje</w:t>
      </w:r>
      <w:r>
        <w:rPr>
          <w:szCs w:val="22"/>
        </w:rPr>
        <w:t>.</w:t>
      </w:r>
    </w:p>
    <w:p w:rsidR="00012172" w:rsidRDefault="00012172">
      <w:pPr>
        <w:jc w:val="both"/>
        <w:rPr>
          <w:rFonts w:ascii="Arial" w:hAnsi="Arial"/>
        </w:rPr>
      </w:pPr>
    </w:p>
    <w:p w:rsidR="00012172" w:rsidRDefault="00012172">
      <w:pPr>
        <w:jc w:val="both"/>
        <w:rPr>
          <w:szCs w:val="22"/>
        </w:rPr>
      </w:pPr>
      <w:r>
        <w:rPr>
          <w:szCs w:val="22"/>
        </w:rPr>
        <w:t xml:space="preserve">(2) </w:t>
      </w:r>
      <w:r>
        <w:rPr>
          <w:szCs w:val="22"/>
          <w:lang w:val="de-DE"/>
        </w:rPr>
        <w:t>Detaljno</w:t>
      </w:r>
      <w:r>
        <w:rPr>
          <w:szCs w:val="22"/>
        </w:rPr>
        <w:t xml:space="preserve"> </w:t>
      </w:r>
      <w:r>
        <w:rPr>
          <w:szCs w:val="22"/>
          <w:lang w:val="de-DE"/>
        </w:rPr>
        <w:t>odre</w:t>
      </w:r>
      <w:r>
        <w:rPr>
          <w:szCs w:val="22"/>
        </w:rPr>
        <w:t>đ</w:t>
      </w:r>
      <w:r>
        <w:rPr>
          <w:szCs w:val="22"/>
          <w:lang w:val="de-DE"/>
        </w:rPr>
        <w:t>ivanje</w:t>
      </w:r>
      <w:r>
        <w:rPr>
          <w:szCs w:val="22"/>
        </w:rPr>
        <w:t xml:space="preserve"> </w:t>
      </w:r>
      <w:r>
        <w:rPr>
          <w:szCs w:val="22"/>
          <w:lang w:val="de-DE"/>
        </w:rPr>
        <w:t>trasa</w:t>
      </w:r>
      <w:r>
        <w:rPr>
          <w:szCs w:val="22"/>
        </w:rPr>
        <w:t xml:space="preserve"> </w:t>
      </w:r>
      <w:r>
        <w:rPr>
          <w:szCs w:val="22"/>
          <w:lang w:val="de-DE"/>
        </w:rPr>
        <w:t>prometnica</w:t>
      </w:r>
      <w:r>
        <w:rPr>
          <w:szCs w:val="22"/>
        </w:rPr>
        <w:t xml:space="preserve">, </w:t>
      </w:r>
      <w:r>
        <w:rPr>
          <w:szCs w:val="22"/>
          <w:lang w:val="de-DE"/>
        </w:rPr>
        <w:t>komunalne</w:t>
      </w:r>
      <w:r>
        <w:rPr>
          <w:szCs w:val="22"/>
        </w:rPr>
        <w:t xml:space="preserve"> </w:t>
      </w:r>
      <w:r>
        <w:rPr>
          <w:szCs w:val="22"/>
          <w:lang w:val="de-DE"/>
        </w:rPr>
        <w:t>i</w:t>
      </w:r>
      <w:r>
        <w:rPr>
          <w:szCs w:val="22"/>
        </w:rPr>
        <w:t xml:space="preserve"> </w:t>
      </w:r>
      <w:r>
        <w:rPr>
          <w:szCs w:val="22"/>
          <w:lang w:val="de-DE"/>
        </w:rPr>
        <w:t>energetske</w:t>
      </w:r>
      <w:r>
        <w:rPr>
          <w:szCs w:val="22"/>
        </w:rPr>
        <w:t xml:space="preserve"> </w:t>
      </w:r>
      <w:r>
        <w:rPr>
          <w:szCs w:val="22"/>
          <w:lang w:val="de-DE"/>
        </w:rPr>
        <w:t>infrastrukture</w:t>
      </w:r>
      <w:r>
        <w:rPr>
          <w:szCs w:val="22"/>
        </w:rPr>
        <w:t xml:space="preserve"> </w:t>
      </w:r>
      <w:r>
        <w:rPr>
          <w:szCs w:val="22"/>
          <w:lang w:val="de-DE"/>
        </w:rPr>
        <w:t>koje</w:t>
      </w:r>
      <w:r>
        <w:rPr>
          <w:szCs w:val="22"/>
        </w:rPr>
        <w:t xml:space="preserve"> </w:t>
      </w:r>
      <w:r>
        <w:rPr>
          <w:szCs w:val="22"/>
          <w:lang w:val="de-DE"/>
        </w:rPr>
        <w:t>su</w:t>
      </w:r>
      <w:r>
        <w:rPr>
          <w:szCs w:val="22"/>
        </w:rPr>
        <w:t xml:space="preserve"> </w:t>
      </w:r>
      <w:r>
        <w:rPr>
          <w:szCs w:val="22"/>
          <w:lang w:val="de-DE"/>
        </w:rPr>
        <w:t>odre</w:t>
      </w:r>
      <w:r>
        <w:rPr>
          <w:szCs w:val="22"/>
        </w:rPr>
        <w:t>đ</w:t>
      </w:r>
      <w:r>
        <w:rPr>
          <w:szCs w:val="22"/>
          <w:lang w:val="de-DE"/>
        </w:rPr>
        <w:t>ene</w:t>
      </w:r>
      <w:r>
        <w:rPr>
          <w:szCs w:val="22"/>
        </w:rPr>
        <w:t xml:space="preserve"> </w:t>
      </w:r>
      <w:r>
        <w:rPr>
          <w:szCs w:val="22"/>
          <w:lang w:val="de-DE"/>
        </w:rPr>
        <w:t>ovim</w:t>
      </w:r>
      <w:r>
        <w:rPr>
          <w:szCs w:val="22"/>
        </w:rPr>
        <w:t xml:space="preserve"> </w:t>
      </w:r>
      <w:r>
        <w:rPr>
          <w:szCs w:val="22"/>
          <w:lang w:val="de-DE"/>
        </w:rPr>
        <w:t>prostornim</w:t>
      </w:r>
      <w:r>
        <w:rPr>
          <w:szCs w:val="22"/>
        </w:rPr>
        <w:t xml:space="preserve"> </w:t>
      </w:r>
      <w:r>
        <w:rPr>
          <w:szCs w:val="22"/>
          <w:lang w:val="de-DE"/>
        </w:rPr>
        <w:t>planom</w:t>
      </w:r>
      <w:r>
        <w:rPr>
          <w:szCs w:val="22"/>
        </w:rPr>
        <w:t xml:space="preserve">, </w:t>
      </w:r>
      <w:r>
        <w:rPr>
          <w:szCs w:val="22"/>
          <w:lang w:val="de-DE"/>
        </w:rPr>
        <w:t>utvr</w:t>
      </w:r>
      <w:r>
        <w:rPr>
          <w:szCs w:val="22"/>
        </w:rPr>
        <w:t>đ</w:t>
      </w:r>
      <w:r>
        <w:rPr>
          <w:szCs w:val="22"/>
          <w:lang w:val="de-DE"/>
        </w:rPr>
        <w:t>uje</w:t>
      </w:r>
      <w:r>
        <w:rPr>
          <w:szCs w:val="22"/>
        </w:rPr>
        <w:t xml:space="preserve"> </w:t>
      </w:r>
      <w:r>
        <w:rPr>
          <w:szCs w:val="22"/>
          <w:lang w:val="de-DE"/>
        </w:rPr>
        <w:t>se</w:t>
      </w:r>
      <w:r>
        <w:rPr>
          <w:szCs w:val="22"/>
        </w:rPr>
        <w:t xml:space="preserve"> </w:t>
      </w:r>
      <w:r>
        <w:rPr>
          <w:szCs w:val="22"/>
          <w:lang w:val="de-DE"/>
        </w:rPr>
        <w:t>idejnim</w:t>
      </w:r>
      <w:r>
        <w:rPr>
          <w:szCs w:val="22"/>
        </w:rPr>
        <w:t xml:space="preserve"> </w:t>
      </w:r>
      <w:r>
        <w:rPr>
          <w:szCs w:val="22"/>
          <w:lang w:val="de-DE"/>
        </w:rPr>
        <w:t>rje</w:t>
      </w:r>
      <w:r>
        <w:rPr>
          <w:szCs w:val="22"/>
        </w:rPr>
        <w:t>š</w:t>
      </w:r>
      <w:r>
        <w:rPr>
          <w:szCs w:val="22"/>
          <w:lang w:val="de-DE"/>
        </w:rPr>
        <w:t>enjem</w:t>
      </w:r>
      <w:r>
        <w:rPr>
          <w:szCs w:val="22"/>
        </w:rPr>
        <w:t xml:space="preserve"> </w:t>
      </w:r>
      <w:r>
        <w:rPr>
          <w:szCs w:val="22"/>
          <w:lang w:val="de-DE"/>
        </w:rPr>
        <w:t>za</w:t>
      </w:r>
      <w:r>
        <w:rPr>
          <w:szCs w:val="22"/>
        </w:rPr>
        <w:t xml:space="preserve"> </w:t>
      </w:r>
      <w:r>
        <w:rPr>
          <w:szCs w:val="22"/>
          <w:lang w:val="de-DE"/>
        </w:rPr>
        <w:t>izdavanje</w:t>
      </w:r>
      <w:r>
        <w:rPr>
          <w:szCs w:val="22"/>
        </w:rPr>
        <w:t xml:space="preserve"> </w:t>
      </w:r>
      <w:r>
        <w:rPr>
          <w:szCs w:val="22"/>
          <w:lang w:val="de-DE"/>
        </w:rPr>
        <w:t>uvjeta</w:t>
      </w:r>
      <w:r>
        <w:rPr>
          <w:szCs w:val="22"/>
        </w:rPr>
        <w:t xml:space="preserve"> </w:t>
      </w:r>
      <w:r>
        <w:rPr>
          <w:szCs w:val="22"/>
          <w:lang w:val="de-DE"/>
        </w:rPr>
        <w:t>za</w:t>
      </w:r>
      <w:r>
        <w:rPr>
          <w:szCs w:val="22"/>
        </w:rPr>
        <w:t xml:space="preserve"> </w:t>
      </w:r>
      <w:r>
        <w:rPr>
          <w:szCs w:val="22"/>
          <w:lang w:val="de-DE"/>
        </w:rPr>
        <w:t>izgradnju</w:t>
      </w:r>
      <w:r>
        <w:rPr>
          <w:szCs w:val="22"/>
        </w:rPr>
        <w:t xml:space="preserve">, </w:t>
      </w:r>
      <w:r>
        <w:rPr>
          <w:szCs w:val="22"/>
          <w:lang w:val="de-DE"/>
        </w:rPr>
        <w:t>vode</w:t>
      </w:r>
      <w:r>
        <w:rPr>
          <w:szCs w:val="22"/>
        </w:rPr>
        <w:t>ć</w:t>
      </w:r>
      <w:r>
        <w:rPr>
          <w:szCs w:val="22"/>
          <w:lang w:val="de-DE"/>
        </w:rPr>
        <w:t>i</w:t>
      </w:r>
      <w:r>
        <w:rPr>
          <w:szCs w:val="22"/>
        </w:rPr>
        <w:t xml:space="preserve"> </w:t>
      </w:r>
      <w:r>
        <w:rPr>
          <w:szCs w:val="22"/>
          <w:lang w:val="de-DE"/>
        </w:rPr>
        <w:t>ra</w:t>
      </w:r>
      <w:r>
        <w:rPr>
          <w:szCs w:val="22"/>
        </w:rPr>
        <w:t>č</w:t>
      </w:r>
      <w:r>
        <w:rPr>
          <w:szCs w:val="22"/>
          <w:lang w:val="de-DE"/>
        </w:rPr>
        <w:t>una</w:t>
      </w:r>
      <w:r>
        <w:rPr>
          <w:szCs w:val="22"/>
        </w:rPr>
        <w:t xml:space="preserve"> </w:t>
      </w:r>
      <w:r>
        <w:rPr>
          <w:szCs w:val="22"/>
          <w:lang w:val="de-DE"/>
        </w:rPr>
        <w:t>o</w:t>
      </w:r>
      <w:r>
        <w:rPr>
          <w:szCs w:val="22"/>
        </w:rPr>
        <w:t xml:space="preserve"> </w:t>
      </w:r>
      <w:r>
        <w:rPr>
          <w:szCs w:val="22"/>
          <w:lang w:val="de-DE"/>
        </w:rPr>
        <w:t>konfiguraciji</w:t>
      </w:r>
      <w:r>
        <w:rPr>
          <w:szCs w:val="22"/>
        </w:rPr>
        <w:t xml:space="preserve"> </w:t>
      </w:r>
      <w:r>
        <w:rPr>
          <w:szCs w:val="22"/>
          <w:lang w:val="de-DE"/>
        </w:rPr>
        <w:t>tla</w:t>
      </w:r>
      <w:r>
        <w:rPr>
          <w:szCs w:val="22"/>
        </w:rPr>
        <w:t xml:space="preserve">, </w:t>
      </w:r>
      <w:r>
        <w:rPr>
          <w:szCs w:val="22"/>
          <w:lang w:val="de-DE"/>
        </w:rPr>
        <w:t>posebnim</w:t>
      </w:r>
      <w:r>
        <w:rPr>
          <w:szCs w:val="22"/>
        </w:rPr>
        <w:t xml:space="preserve"> </w:t>
      </w:r>
      <w:r>
        <w:rPr>
          <w:szCs w:val="22"/>
          <w:lang w:val="de-DE"/>
        </w:rPr>
        <w:t>uvjetima</w:t>
      </w:r>
      <w:r>
        <w:rPr>
          <w:szCs w:val="22"/>
        </w:rPr>
        <w:t xml:space="preserve">, </w:t>
      </w:r>
      <w:r>
        <w:rPr>
          <w:szCs w:val="22"/>
          <w:lang w:val="de-DE"/>
        </w:rPr>
        <w:t>pravilima</w:t>
      </w:r>
      <w:r>
        <w:rPr>
          <w:szCs w:val="22"/>
        </w:rPr>
        <w:t xml:space="preserve"> </w:t>
      </w:r>
      <w:r>
        <w:rPr>
          <w:szCs w:val="22"/>
          <w:lang w:val="de-DE"/>
        </w:rPr>
        <w:t>struke</w:t>
      </w:r>
      <w:r>
        <w:rPr>
          <w:szCs w:val="22"/>
        </w:rPr>
        <w:t xml:space="preserve"> </w:t>
      </w:r>
      <w:r>
        <w:rPr>
          <w:szCs w:val="22"/>
          <w:lang w:val="de-DE"/>
        </w:rPr>
        <w:t>i</w:t>
      </w:r>
      <w:r>
        <w:rPr>
          <w:szCs w:val="22"/>
        </w:rPr>
        <w:t xml:space="preserve"> </w:t>
      </w:r>
      <w:r>
        <w:rPr>
          <w:szCs w:val="22"/>
          <w:lang w:val="de-DE"/>
        </w:rPr>
        <w:t>drugim</w:t>
      </w:r>
      <w:r>
        <w:rPr>
          <w:szCs w:val="22"/>
        </w:rPr>
        <w:t xml:space="preserve"> </w:t>
      </w:r>
      <w:r>
        <w:rPr>
          <w:szCs w:val="22"/>
          <w:lang w:val="de-DE"/>
        </w:rPr>
        <w:t>okolnostima</w:t>
      </w:r>
      <w:r>
        <w:rPr>
          <w:szCs w:val="22"/>
        </w:rPr>
        <w:t>.</w:t>
      </w:r>
    </w:p>
    <w:p w:rsidR="00012172" w:rsidRDefault="00012172">
      <w:pPr>
        <w:jc w:val="both"/>
        <w:rPr>
          <w:rFonts w:ascii="Arial" w:hAnsi="Arial"/>
        </w:rPr>
      </w:pPr>
    </w:p>
    <w:p w:rsidR="00012172" w:rsidRDefault="00012172">
      <w:pPr>
        <w:jc w:val="both"/>
      </w:pPr>
      <w:r>
        <w:rPr>
          <w:szCs w:val="22"/>
        </w:rPr>
        <w:t xml:space="preserve">(3) </w:t>
      </w:r>
      <w:r>
        <w:rPr>
          <w:szCs w:val="22"/>
          <w:lang w:val="de-DE"/>
        </w:rPr>
        <w:t>Pri</w:t>
      </w:r>
      <w:r>
        <w:rPr>
          <w:szCs w:val="22"/>
        </w:rPr>
        <w:t xml:space="preserve"> </w:t>
      </w:r>
      <w:r>
        <w:rPr>
          <w:szCs w:val="22"/>
          <w:lang w:val="de-DE"/>
        </w:rPr>
        <w:t>projektiranju</w:t>
      </w:r>
      <w:r>
        <w:rPr>
          <w:szCs w:val="22"/>
        </w:rPr>
        <w:t xml:space="preserve"> </w:t>
      </w:r>
      <w:r>
        <w:rPr>
          <w:szCs w:val="22"/>
          <w:lang w:val="de-DE"/>
        </w:rPr>
        <w:t>i</w:t>
      </w:r>
      <w:r>
        <w:rPr>
          <w:szCs w:val="22"/>
        </w:rPr>
        <w:t xml:space="preserve"> </w:t>
      </w:r>
      <w:r>
        <w:rPr>
          <w:szCs w:val="22"/>
          <w:lang w:val="de-DE"/>
        </w:rPr>
        <w:t>izvo</w:t>
      </w:r>
      <w:r>
        <w:rPr>
          <w:szCs w:val="22"/>
        </w:rPr>
        <w:t>đ</w:t>
      </w:r>
      <w:r>
        <w:rPr>
          <w:szCs w:val="22"/>
          <w:lang w:val="de-DE"/>
        </w:rPr>
        <w:t>enju</w:t>
      </w:r>
      <w:r>
        <w:rPr>
          <w:szCs w:val="22"/>
        </w:rPr>
        <w:t xml:space="preserve"> </w:t>
      </w:r>
      <w:r>
        <w:rPr>
          <w:szCs w:val="22"/>
          <w:lang w:val="de-DE"/>
        </w:rPr>
        <w:t>pojedinih</w:t>
      </w:r>
      <w:r>
        <w:rPr>
          <w:szCs w:val="22"/>
        </w:rPr>
        <w:t xml:space="preserve"> </w:t>
      </w:r>
      <w:r>
        <w:rPr>
          <w:szCs w:val="22"/>
          <w:lang w:val="de-DE"/>
        </w:rPr>
        <w:t>gra</w:t>
      </w:r>
      <w:r>
        <w:rPr>
          <w:szCs w:val="22"/>
        </w:rPr>
        <w:t>đ</w:t>
      </w:r>
      <w:r>
        <w:rPr>
          <w:szCs w:val="22"/>
          <w:lang w:val="de-DE"/>
        </w:rPr>
        <w:t>evina</w:t>
      </w:r>
      <w:r>
        <w:rPr>
          <w:szCs w:val="22"/>
        </w:rPr>
        <w:t xml:space="preserve"> </w:t>
      </w:r>
      <w:r>
        <w:rPr>
          <w:szCs w:val="22"/>
          <w:lang w:val="de-DE"/>
        </w:rPr>
        <w:t>i</w:t>
      </w:r>
      <w:r>
        <w:rPr>
          <w:szCs w:val="22"/>
        </w:rPr>
        <w:t xml:space="preserve"> </w:t>
      </w:r>
      <w:r>
        <w:rPr>
          <w:szCs w:val="22"/>
          <w:lang w:val="de-DE"/>
        </w:rPr>
        <w:t>ure</w:t>
      </w:r>
      <w:r>
        <w:rPr>
          <w:szCs w:val="22"/>
        </w:rPr>
        <w:t>đ</w:t>
      </w:r>
      <w:r>
        <w:rPr>
          <w:szCs w:val="22"/>
          <w:lang w:val="de-DE"/>
        </w:rPr>
        <w:t>aja</w:t>
      </w:r>
      <w:r>
        <w:rPr>
          <w:szCs w:val="22"/>
        </w:rPr>
        <w:t xml:space="preserve"> </w:t>
      </w:r>
      <w:r>
        <w:rPr>
          <w:szCs w:val="22"/>
          <w:lang w:val="de-DE"/>
        </w:rPr>
        <w:t>komunalne</w:t>
      </w:r>
      <w:r>
        <w:rPr>
          <w:szCs w:val="22"/>
        </w:rPr>
        <w:t xml:space="preserve"> </w:t>
      </w:r>
      <w:r>
        <w:rPr>
          <w:szCs w:val="22"/>
          <w:lang w:val="de-DE"/>
        </w:rPr>
        <w:t>infrastrukture</w:t>
      </w:r>
      <w:r>
        <w:rPr>
          <w:szCs w:val="22"/>
        </w:rPr>
        <w:t xml:space="preserve"> </w:t>
      </w:r>
      <w:r>
        <w:rPr>
          <w:szCs w:val="22"/>
          <w:lang w:val="de-DE"/>
        </w:rPr>
        <w:t>potrebno</w:t>
      </w:r>
      <w:r>
        <w:rPr>
          <w:szCs w:val="22"/>
        </w:rPr>
        <w:t xml:space="preserve"> </w:t>
      </w:r>
      <w:r>
        <w:rPr>
          <w:szCs w:val="22"/>
          <w:lang w:val="de-DE"/>
        </w:rPr>
        <w:t>se</w:t>
      </w:r>
      <w:r>
        <w:rPr>
          <w:szCs w:val="22"/>
        </w:rPr>
        <w:t xml:space="preserve"> </w:t>
      </w:r>
      <w:r>
        <w:rPr>
          <w:szCs w:val="22"/>
          <w:lang w:val="de-DE"/>
        </w:rPr>
        <w:t>pridr</w:t>
      </w:r>
      <w:r>
        <w:rPr>
          <w:szCs w:val="22"/>
        </w:rPr>
        <w:t>ž</w:t>
      </w:r>
      <w:r>
        <w:rPr>
          <w:szCs w:val="22"/>
          <w:lang w:val="de-DE"/>
        </w:rPr>
        <w:t>avati</w:t>
      </w:r>
      <w:r>
        <w:rPr>
          <w:szCs w:val="22"/>
        </w:rPr>
        <w:t xml:space="preserve"> </w:t>
      </w:r>
      <w:r>
        <w:rPr>
          <w:szCs w:val="22"/>
          <w:lang w:val="de-DE"/>
        </w:rPr>
        <w:t>va</w:t>
      </w:r>
      <w:r>
        <w:rPr>
          <w:szCs w:val="22"/>
        </w:rPr>
        <w:t>ž</w:t>
      </w:r>
      <w:r>
        <w:rPr>
          <w:szCs w:val="22"/>
          <w:lang w:val="de-DE"/>
        </w:rPr>
        <w:t>e</w:t>
      </w:r>
      <w:r>
        <w:rPr>
          <w:szCs w:val="22"/>
        </w:rPr>
        <w:t>ć</w:t>
      </w:r>
      <w:r>
        <w:rPr>
          <w:szCs w:val="22"/>
          <w:lang w:val="de-DE"/>
        </w:rPr>
        <w:t>ih</w:t>
      </w:r>
      <w:r>
        <w:rPr>
          <w:szCs w:val="22"/>
        </w:rPr>
        <w:t xml:space="preserve"> </w:t>
      </w:r>
      <w:r>
        <w:rPr>
          <w:szCs w:val="22"/>
          <w:lang w:val="de-DE"/>
        </w:rPr>
        <w:t>propisa</w:t>
      </w:r>
      <w:r>
        <w:rPr>
          <w:szCs w:val="22"/>
        </w:rPr>
        <w:t xml:space="preserve">, </w:t>
      </w:r>
      <w:r>
        <w:rPr>
          <w:szCs w:val="22"/>
          <w:lang w:val="de-DE"/>
        </w:rPr>
        <w:t>kao</w:t>
      </w:r>
      <w:r>
        <w:rPr>
          <w:szCs w:val="22"/>
        </w:rPr>
        <w:t xml:space="preserve"> </w:t>
      </w:r>
      <w:r>
        <w:rPr>
          <w:szCs w:val="22"/>
          <w:lang w:val="de-DE"/>
        </w:rPr>
        <w:t>i</w:t>
      </w:r>
      <w:r>
        <w:rPr>
          <w:szCs w:val="22"/>
        </w:rPr>
        <w:t xml:space="preserve"> </w:t>
      </w:r>
      <w:r>
        <w:rPr>
          <w:szCs w:val="22"/>
          <w:lang w:val="de-DE"/>
        </w:rPr>
        <w:t>propisanih</w:t>
      </w:r>
      <w:r>
        <w:rPr>
          <w:szCs w:val="22"/>
        </w:rPr>
        <w:t xml:space="preserve"> </w:t>
      </w:r>
      <w:r>
        <w:rPr>
          <w:szCs w:val="22"/>
          <w:lang w:val="de-DE"/>
        </w:rPr>
        <w:t>udaljenosti</w:t>
      </w:r>
      <w:r>
        <w:rPr>
          <w:szCs w:val="22"/>
        </w:rPr>
        <w:t xml:space="preserve"> </w:t>
      </w:r>
      <w:r>
        <w:rPr>
          <w:szCs w:val="22"/>
          <w:lang w:val="de-DE"/>
        </w:rPr>
        <w:t>od</w:t>
      </w:r>
      <w:r>
        <w:rPr>
          <w:szCs w:val="22"/>
        </w:rPr>
        <w:t xml:space="preserve"> </w:t>
      </w:r>
      <w:r>
        <w:rPr>
          <w:szCs w:val="22"/>
          <w:lang w:val="de-DE"/>
        </w:rPr>
        <w:t>ostalih</w:t>
      </w:r>
      <w:r>
        <w:rPr>
          <w:szCs w:val="22"/>
        </w:rPr>
        <w:t xml:space="preserve"> </w:t>
      </w:r>
      <w:r>
        <w:rPr>
          <w:szCs w:val="22"/>
          <w:lang w:val="de-DE"/>
        </w:rPr>
        <w:t>infrastrukturnih</w:t>
      </w:r>
      <w:r>
        <w:rPr>
          <w:szCs w:val="22"/>
        </w:rPr>
        <w:t xml:space="preserve"> </w:t>
      </w:r>
      <w:r>
        <w:rPr>
          <w:szCs w:val="22"/>
          <w:lang w:val="de-DE"/>
        </w:rPr>
        <w:t>gra</w:t>
      </w:r>
      <w:r>
        <w:rPr>
          <w:szCs w:val="22"/>
        </w:rPr>
        <w:t>đ</w:t>
      </w:r>
      <w:r>
        <w:rPr>
          <w:szCs w:val="22"/>
          <w:lang w:val="de-DE"/>
        </w:rPr>
        <w:t>evina</w:t>
      </w:r>
      <w:r>
        <w:rPr>
          <w:szCs w:val="22"/>
        </w:rPr>
        <w:t xml:space="preserve"> </w:t>
      </w:r>
      <w:r>
        <w:rPr>
          <w:szCs w:val="22"/>
          <w:lang w:val="de-DE"/>
        </w:rPr>
        <w:t>i</w:t>
      </w:r>
      <w:r>
        <w:rPr>
          <w:szCs w:val="22"/>
        </w:rPr>
        <w:t xml:space="preserve"> </w:t>
      </w:r>
      <w:r>
        <w:rPr>
          <w:szCs w:val="22"/>
          <w:lang w:val="de-DE"/>
        </w:rPr>
        <w:t>ure</w:t>
      </w:r>
      <w:r>
        <w:rPr>
          <w:szCs w:val="22"/>
        </w:rPr>
        <w:t>đ</w:t>
      </w:r>
      <w:r>
        <w:rPr>
          <w:szCs w:val="22"/>
          <w:lang w:val="de-DE"/>
        </w:rPr>
        <w:t>aja</w:t>
      </w:r>
      <w:r>
        <w:rPr>
          <w:szCs w:val="22"/>
        </w:rPr>
        <w:t xml:space="preserve">, </w:t>
      </w:r>
      <w:r>
        <w:rPr>
          <w:szCs w:val="22"/>
          <w:lang w:val="de-DE"/>
        </w:rPr>
        <w:t>te</w:t>
      </w:r>
      <w:r>
        <w:rPr>
          <w:szCs w:val="22"/>
        </w:rPr>
        <w:t xml:space="preserve"> </w:t>
      </w:r>
      <w:r>
        <w:rPr>
          <w:szCs w:val="22"/>
          <w:lang w:val="de-DE"/>
        </w:rPr>
        <w:t>pribaviti</w:t>
      </w:r>
      <w:r>
        <w:rPr>
          <w:szCs w:val="22"/>
        </w:rPr>
        <w:t xml:space="preserve"> </w:t>
      </w:r>
      <w:r>
        <w:rPr>
          <w:szCs w:val="22"/>
          <w:lang w:val="de-DE"/>
        </w:rPr>
        <w:t>suglasnosti</w:t>
      </w:r>
      <w:r>
        <w:rPr>
          <w:szCs w:val="22"/>
        </w:rPr>
        <w:t xml:space="preserve"> </w:t>
      </w:r>
      <w:r>
        <w:rPr>
          <w:szCs w:val="22"/>
          <w:lang w:val="de-DE"/>
        </w:rPr>
        <w:t>ostalih</w:t>
      </w:r>
      <w:r>
        <w:rPr>
          <w:szCs w:val="22"/>
        </w:rPr>
        <w:t xml:space="preserve"> </w:t>
      </w:r>
      <w:r>
        <w:rPr>
          <w:szCs w:val="22"/>
          <w:lang w:val="de-DE"/>
        </w:rPr>
        <w:t>korisnika</w:t>
      </w:r>
      <w:r>
        <w:rPr>
          <w:szCs w:val="22"/>
        </w:rPr>
        <w:t xml:space="preserve"> </w:t>
      </w:r>
      <w:r>
        <w:rPr>
          <w:szCs w:val="22"/>
          <w:lang w:val="de-DE"/>
        </w:rPr>
        <w:t>infrastrukturnih</w:t>
      </w:r>
      <w:r>
        <w:rPr>
          <w:szCs w:val="22"/>
        </w:rPr>
        <w:t xml:space="preserve"> </w:t>
      </w:r>
      <w:r>
        <w:rPr>
          <w:szCs w:val="22"/>
          <w:lang w:val="de-DE"/>
        </w:rPr>
        <w:t>koridora</w:t>
      </w:r>
      <w:r>
        <w:rPr>
          <w:szCs w:val="22"/>
        </w:rPr>
        <w:t>.</w:t>
      </w:r>
    </w:p>
    <w:p w:rsidR="00012172" w:rsidRDefault="00012172">
      <w:pPr>
        <w:jc w:val="both"/>
      </w:pPr>
    </w:p>
    <w:p w:rsidR="00012172" w:rsidRDefault="00012172">
      <w:pPr>
        <w:jc w:val="both"/>
      </w:pPr>
      <w:r>
        <w:t xml:space="preserve">(4) Koridori, trase i površine za infrastrukturne sustave prikazane su u kartografskom prikazu broj 1 i </w:t>
      </w:r>
      <w:smartTag w:uri="urn:schemas-microsoft-com:office:smarttags" w:element="metricconverter">
        <w:smartTagPr>
          <w:attr w:name="ProductID" w:val="2, a"/>
        </w:smartTagPr>
        <w:r>
          <w:t>2, a</w:t>
        </w:r>
      </w:smartTag>
      <w:r>
        <w:t xml:space="preserve"> koriste se i izgrađuju prema posebnim uvjetima. </w:t>
      </w:r>
    </w:p>
    <w:p w:rsidR="00170AE6" w:rsidRPr="000A72E7" w:rsidRDefault="00170AE6">
      <w:pPr>
        <w:pStyle w:val="Naslov6"/>
        <w:rPr>
          <w:rFonts w:cs="Arial"/>
          <w:bCs w:val="0"/>
          <w:szCs w:val="22"/>
        </w:rPr>
      </w:pPr>
    </w:p>
    <w:p w:rsidR="00012172" w:rsidRDefault="00012172">
      <w:pPr>
        <w:pStyle w:val="Naslov6"/>
        <w:rPr>
          <w:rFonts w:cs="Arial"/>
          <w:bCs w:val="0"/>
          <w:szCs w:val="22"/>
        </w:rPr>
      </w:pPr>
      <w:r>
        <w:rPr>
          <w:rFonts w:cs="Arial"/>
          <w:bCs w:val="0"/>
          <w:szCs w:val="22"/>
          <w:lang w:val="de-DE"/>
        </w:rPr>
        <w:t>Promet</w:t>
      </w:r>
    </w:p>
    <w:p w:rsidR="00012172" w:rsidRDefault="00012172">
      <w:pPr>
        <w:rPr>
          <w:rFonts w:ascii="Arial" w:hAnsi="Arial" w:cs="Arial"/>
          <w:b/>
          <w:sz w:val="22"/>
          <w:szCs w:val="22"/>
        </w:rPr>
      </w:pPr>
    </w:p>
    <w:p w:rsidR="00012172" w:rsidRDefault="00012172">
      <w:pPr>
        <w:jc w:val="center"/>
        <w:rPr>
          <w:szCs w:val="22"/>
        </w:rPr>
      </w:pPr>
      <w:r>
        <w:rPr>
          <w:szCs w:val="22"/>
        </w:rPr>
        <w:t>Č</w:t>
      </w:r>
      <w:r>
        <w:rPr>
          <w:szCs w:val="22"/>
          <w:lang w:val="de-DE"/>
        </w:rPr>
        <w:t>lanak</w:t>
      </w:r>
      <w:r w:rsidR="004B0466">
        <w:rPr>
          <w:szCs w:val="22"/>
        </w:rPr>
        <w:t xml:space="preserve"> </w:t>
      </w:r>
      <w:r>
        <w:rPr>
          <w:szCs w:val="22"/>
        </w:rPr>
        <w:t>8</w:t>
      </w:r>
      <w:r w:rsidR="00F237BF">
        <w:rPr>
          <w:szCs w:val="22"/>
        </w:rPr>
        <w:t>2</w:t>
      </w:r>
      <w:r>
        <w:rPr>
          <w:szCs w:val="22"/>
        </w:rPr>
        <w:t>.</w:t>
      </w:r>
    </w:p>
    <w:p w:rsidR="00012172" w:rsidRDefault="00012172">
      <w:pPr>
        <w:jc w:val="both"/>
        <w:rPr>
          <w:szCs w:val="22"/>
        </w:rPr>
      </w:pPr>
      <w:r>
        <w:rPr>
          <w:szCs w:val="22"/>
        </w:rPr>
        <w:t xml:space="preserve">(1) </w:t>
      </w:r>
      <w:r>
        <w:rPr>
          <w:szCs w:val="22"/>
          <w:lang w:val="en-AU"/>
        </w:rPr>
        <w:t>Podru</w:t>
      </w:r>
      <w:r>
        <w:rPr>
          <w:szCs w:val="22"/>
        </w:rPr>
        <w:t>č</w:t>
      </w:r>
      <w:r>
        <w:rPr>
          <w:szCs w:val="22"/>
          <w:lang w:val="en-AU"/>
        </w:rPr>
        <w:t>jem</w:t>
      </w:r>
      <w:r>
        <w:rPr>
          <w:szCs w:val="22"/>
        </w:rPr>
        <w:t xml:space="preserve"> </w:t>
      </w:r>
      <w:r>
        <w:rPr>
          <w:szCs w:val="22"/>
          <w:lang w:val="en-AU"/>
        </w:rPr>
        <w:t>op</w:t>
      </w:r>
      <w:r>
        <w:rPr>
          <w:szCs w:val="22"/>
        </w:rPr>
        <w:t>ć</w:t>
      </w:r>
      <w:r>
        <w:rPr>
          <w:szCs w:val="22"/>
          <w:lang w:val="en-AU"/>
        </w:rPr>
        <w:t>ine</w:t>
      </w:r>
      <w:r>
        <w:rPr>
          <w:szCs w:val="22"/>
        </w:rPr>
        <w:t xml:space="preserve"> </w:t>
      </w:r>
      <w:r>
        <w:rPr>
          <w:szCs w:val="22"/>
          <w:lang w:val="en-AU"/>
        </w:rPr>
        <w:t>Gornja</w:t>
      </w:r>
      <w:r>
        <w:rPr>
          <w:szCs w:val="22"/>
        </w:rPr>
        <w:t xml:space="preserve"> </w:t>
      </w:r>
      <w:r>
        <w:rPr>
          <w:szCs w:val="22"/>
          <w:lang w:val="en-AU"/>
        </w:rPr>
        <w:t>Rijeka</w:t>
      </w:r>
      <w:r>
        <w:rPr>
          <w:szCs w:val="22"/>
        </w:rPr>
        <w:t xml:space="preserve"> </w:t>
      </w:r>
      <w:r>
        <w:rPr>
          <w:szCs w:val="22"/>
          <w:lang w:val="en-AU"/>
        </w:rPr>
        <w:t>prolazi</w:t>
      </w:r>
      <w:r>
        <w:rPr>
          <w:szCs w:val="22"/>
        </w:rPr>
        <w:t xml:space="preserve"> </w:t>
      </w:r>
      <w:r>
        <w:rPr>
          <w:szCs w:val="22"/>
          <w:lang w:val="en-AU"/>
        </w:rPr>
        <w:t>mre</w:t>
      </w:r>
      <w:r>
        <w:rPr>
          <w:szCs w:val="22"/>
        </w:rPr>
        <w:t>ž</w:t>
      </w:r>
      <w:r>
        <w:rPr>
          <w:szCs w:val="22"/>
          <w:lang w:val="en-AU"/>
        </w:rPr>
        <w:t>a</w:t>
      </w:r>
      <w:r>
        <w:rPr>
          <w:szCs w:val="22"/>
        </w:rPr>
        <w:t xml:space="preserve"> </w:t>
      </w:r>
      <w:r>
        <w:rPr>
          <w:szCs w:val="22"/>
          <w:lang w:val="en-AU"/>
        </w:rPr>
        <w:t>kategoriziranih</w:t>
      </w:r>
      <w:r>
        <w:rPr>
          <w:szCs w:val="22"/>
        </w:rPr>
        <w:t xml:space="preserve"> </w:t>
      </w:r>
      <w:r>
        <w:rPr>
          <w:szCs w:val="22"/>
          <w:lang w:val="en-AU"/>
        </w:rPr>
        <w:t>javnih</w:t>
      </w:r>
      <w:r>
        <w:rPr>
          <w:szCs w:val="22"/>
        </w:rPr>
        <w:t xml:space="preserve"> </w:t>
      </w:r>
      <w:r>
        <w:rPr>
          <w:szCs w:val="22"/>
          <w:lang w:val="en-AU"/>
        </w:rPr>
        <w:t>cesta</w:t>
      </w:r>
      <w:r>
        <w:rPr>
          <w:szCs w:val="22"/>
        </w:rPr>
        <w:t xml:space="preserve"> č</w:t>
      </w:r>
      <w:r>
        <w:rPr>
          <w:szCs w:val="22"/>
          <w:lang w:val="en-AU"/>
        </w:rPr>
        <w:t>iji</w:t>
      </w:r>
      <w:r>
        <w:rPr>
          <w:szCs w:val="22"/>
        </w:rPr>
        <w:t xml:space="preserve"> </w:t>
      </w:r>
      <w:r>
        <w:rPr>
          <w:szCs w:val="22"/>
          <w:lang w:val="en-AU"/>
        </w:rPr>
        <w:t>su</w:t>
      </w:r>
      <w:r>
        <w:rPr>
          <w:szCs w:val="22"/>
        </w:rPr>
        <w:t xml:space="preserve"> </w:t>
      </w:r>
      <w:r>
        <w:rPr>
          <w:szCs w:val="22"/>
          <w:lang w:val="en-AU"/>
        </w:rPr>
        <w:t>koridori</w:t>
      </w:r>
      <w:r>
        <w:rPr>
          <w:szCs w:val="22"/>
        </w:rPr>
        <w:t xml:space="preserve"> </w:t>
      </w:r>
      <w:r>
        <w:rPr>
          <w:szCs w:val="22"/>
          <w:lang w:val="en-AU"/>
        </w:rPr>
        <w:t>definirani</w:t>
      </w:r>
      <w:r>
        <w:rPr>
          <w:szCs w:val="22"/>
        </w:rPr>
        <w:t xml:space="preserve"> </w:t>
      </w:r>
      <w:r>
        <w:rPr>
          <w:szCs w:val="22"/>
          <w:lang w:val="en-AU"/>
        </w:rPr>
        <w:t>kartografskim</w:t>
      </w:r>
      <w:r>
        <w:rPr>
          <w:szCs w:val="22"/>
        </w:rPr>
        <w:t xml:space="preserve"> </w:t>
      </w:r>
      <w:r>
        <w:rPr>
          <w:szCs w:val="22"/>
          <w:lang w:val="en-AU"/>
        </w:rPr>
        <w:t>prikazom</w:t>
      </w:r>
      <w:r>
        <w:rPr>
          <w:szCs w:val="22"/>
        </w:rPr>
        <w:t xml:space="preserve">, </w:t>
      </w:r>
      <w:r>
        <w:rPr>
          <w:szCs w:val="22"/>
          <w:lang w:val="en-AU"/>
        </w:rPr>
        <w:t>br</w:t>
      </w:r>
      <w:r>
        <w:rPr>
          <w:szCs w:val="22"/>
        </w:rPr>
        <w:t>. 1. “</w:t>
      </w:r>
      <w:r>
        <w:rPr>
          <w:szCs w:val="22"/>
          <w:lang w:val="en-AU"/>
        </w:rPr>
        <w:t>Kori</w:t>
      </w:r>
      <w:r>
        <w:rPr>
          <w:szCs w:val="22"/>
        </w:rPr>
        <w:t>š</w:t>
      </w:r>
      <w:r>
        <w:rPr>
          <w:szCs w:val="22"/>
          <w:lang w:val="en-AU"/>
        </w:rPr>
        <w:t>tenje</w:t>
      </w:r>
      <w:r>
        <w:rPr>
          <w:szCs w:val="22"/>
        </w:rPr>
        <w:t xml:space="preserve"> </w:t>
      </w:r>
      <w:r>
        <w:rPr>
          <w:szCs w:val="22"/>
          <w:lang w:val="en-AU"/>
        </w:rPr>
        <w:t>i</w:t>
      </w:r>
      <w:r>
        <w:rPr>
          <w:szCs w:val="22"/>
        </w:rPr>
        <w:t xml:space="preserve"> </w:t>
      </w:r>
      <w:r>
        <w:rPr>
          <w:szCs w:val="22"/>
          <w:lang w:val="en-AU"/>
        </w:rPr>
        <w:t>namjena</w:t>
      </w:r>
      <w:r>
        <w:rPr>
          <w:szCs w:val="22"/>
        </w:rPr>
        <w:t xml:space="preserve"> </w:t>
      </w:r>
      <w:r>
        <w:rPr>
          <w:szCs w:val="22"/>
          <w:lang w:val="en-AU"/>
        </w:rPr>
        <w:t>povr</w:t>
      </w:r>
      <w:r>
        <w:rPr>
          <w:szCs w:val="22"/>
        </w:rPr>
        <w:t>š</w:t>
      </w:r>
      <w:r>
        <w:rPr>
          <w:szCs w:val="22"/>
          <w:lang w:val="en-AU"/>
        </w:rPr>
        <w:t>ina</w:t>
      </w:r>
      <w:r>
        <w:rPr>
          <w:szCs w:val="22"/>
        </w:rPr>
        <w:t xml:space="preserve">” </w:t>
      </w:r>
      <w:r>
        <w:rPr>
          <w:szCs w:val="22"/>
          <w:lang w:val="en-AU"/>
        </w:rPr>
        <w:t>a</w:t>
      </w:r>
      <w:r>
        <w:rPr>
          <w:szCs w:val="22"/>
        </w:rPr>
        <w:t xml:space="preserve"> </w:t>
      </w:r>
      <w:r>
        <w:rPr>
          <w:szCs w:val="22"/>
          <w:lang w:val="en-AU"/>
        </w:rPr>
        <w:t>njihova</w:t>
      </w:r>
      <w:r>
        <w:rPr>
          <w:szCs w:val="22"/>
        </w:rPr>
        <w:t xml:space="preserve"> </w:t>
      </w:r>
      <w:r>
        <w:rPr>
          <w:szCs w:val="22"/>
          <w:lang w:val="en-AU"/>
        </w:rPr>
        <w:t>to</w:t>
      </w:r>
      <w:r>
        <w:rPr>
          <w:szCs w:val="22"/>
        </w:rPr>
        <w:t>č</w:t>
      </w:r>
      <w:r>
        <w:rPr>
          <w:szCs w:val="22"/>
          <w:lang w:val="en-AU"/>
        </w:rPr>
        <w:t>na</w:t>
      </w:r>
      <w:r>
        <w:rPr>
          <w:szCs w:val="22"/>
        </w:rPr>
        <w:t xml:space="preserve"> š</w:t>
      </w:r>
      <w:r>
        <w:rPr>
          <w:szCs w:val="22"/>
          <w:lang w:val="en-AU"/>
        </w:rPr>
        <w:t>irina</w:t>
      </w:r>
      <w:r>
        <w:rPr>
          <w:szCs w:val="22"/>
        </w:rPr>
        <w:t xml:space="preserve"> </w:t>
      </w:r>
      <w:r>
        <w:rPr>
          <w:szCs w:val="22"/>
          <w:lang w:val="en-AU"/>
        </w:rPr>
        <w:t>posebnim</w:t>
      </w:r>
      <w:r>
        <w:rPr>
          <w:szCs w:val="22"/>
        </w:rPr>
        <w:t xml:space="preserve"> </w:t>
      </w:r>
      <w:r>
        <w:rPr>
          <w:szCs w:val="22"/>
          <w:lang w:val="en-AU"/>
        </w:rPr>
        <w:t>zakonskim</w:t>
      </w:r>
      <w:r>
        <w:rPr>
          <w:szCs w:val="22"/>
        </w:rPr>
        <w:t xml:space="preserve"> </w:t>
      </w:r>
      <w:r>
        <w:rPr>
          <w:szCs w:val="22"/>
          <w:lang w:val="en-AU"/>
        </w:rPr>
        <w:t>i</w:t>
      </w:r>
      <w:r>
        <w:rPr>
          <w:szCs w:val="22"/>
        </w:rPr>
        <w:t xml:space="preserve"> </w:t>
      </w:r>
      <w:r>
        <w:rPr>
          <w:szCs w:val="22"/>
          <w:lang w:val="en-AU"/>
        </w:rPr>
        <w:t>podzakonskim</w:t>
      </w:r>
      <w:r>
        <w:rPr>
          <w:szCs w:val="22"/>
        </w:rPr>
        <w:t xml:space="preserve"> </w:t>
      </w:r>
      <w:r>
        <w:rPr>
          <w:szCs w:val="22"/>
          <w:lang w:val="en-AU"/>
        </w:rPr>
        <w:t>propisima</w:t>
      </w:r>
      <w:r>
        <w:rPr>
          <w:szCs w:val="22"/>
        </w:rPr>
        <w:t>.</w:t>
      </w:r>
    </w:p>
    <w:p w:rsidR="00012172" w:rsidRDefault="00012172">
      <w:pPr>
        <w:rPr>
          <w:rFonts w:ascii="Arial" w:hAnsi="Arial" w:cs="Arial"/>
          <w:b/>
          <w:sz w:val="22"/>
          <w:szCs w:val="22"/>
        </w:rPr>
      </w:pPr>
    </w:p>
    <w:p w:rsidR="00012172" w:rsidRDefault="00012172">
      <w:pPr>
        <w:jc w:val="center"/>
        <w:rPr>
          <w:szCs w:val="22"/>
        </w:rPr>
      </w:pPr>
      <w:r>
        <w:rPr>
          <w:szCs w:val="22"/>
        </w:rPr>
        <w:t>Č</w:t>
      </w:r>
      <w:r>
        <w:rPr>
          <w:szCs w:val="22"/>
          <w:lang w:val="de-DE"/>
        </w:rPr>
        <w:t>lanak</w:t>
      </w:r>
      <w:r>
        <w:rPr>
          <w:szCs w:val="22"/>
        </w:rPr>
        <w:t xml:space="preserve"> </w:t>
      </w:r>
      <w:r w:rsidR="00F237BF">
        <w:rPr>
          <w:szCs w:val="22"/>
        </w:rPr>
        <w:t>83</w:t>
      </w:r>
      <w:r>
        <w:rPr>
          <w:szCs w:val="22"/>
        </w:rPr>
        <w:t>.</w:t>
      </w:r>
    </w:p>
    <w:p w:rsidR="00012172" w:rsidRDefault="00012172">
      <w:pPr>
        <w:jc w:val="both"/>
        <w:rPr>
          <w:bCs/>
          <w:szCs w:val="22"/>
        </w:rPr>
      </w:pPr>
      <w:r>
        <w:rPr>
          <w:bCs/>
          <w:szCs w:val="22"/>
        </w:rPr>
        <w:t xml:space="preserve">(1) Za trasu planirane </w:t>
      </w:r>
      <w:r w:rsidR="000A1F1E">
        <w:rPr>
          <w:bCs/>
          <w:szCs w:val="22"/>
        </w:rPr>
        <w:t>nove ces</w:t>
      </w:r>
      <w:r w:rsidR="00242015">
        <w:rPr>
          <w:bCs/>
          <w:szCs w:val="22"/>
        </w:rPr>
        <w:t>te u  Gornjoj Rijeci</w:t>
      </w:r>
      <w:r>
        <w:rPr>
          <w:bCs/>
          <w:szCs w:val="22"/>
        </w:rPr>
        <w:t xml:space="preserve"> osigurava se koridor od </w:t>
      </w:r>
      <w:smartTag w:uri="urn:schemas-microsoft-com:office:smarttags" w:element="metricconverter">
        <w:smartTagPr>
          <w:attr w:name="ProductID" w:val="25 m"/>
        </w:smartTagPr>
        <w:r>
          <w:rPr>
            <w:bCs/>
            <w:szCs w:val="22"/>
          </w:rPr>
          <w:t>25 m</w:t>
        </w:r>
      </w:smartTag>
      <w:r w:rsidR="000A1F1E">
        <w:rPr>
          <w:bCs/>
          <w:szCs w:val="22"/>
        </w:rPr>
        <w:t xml:space="preserve"> koji se može izmicati u skladu s prilagođavanjem konfiguraciji terena.</w:t>
      </w:r>
      <w:r w:rsidR="00733344">
        <w:rPr>
          <w:bCs/>
          <w:szCs w:val="22"/>
        </w:rPr>
        <w:t xml:space="preserve"> Prometni koridor moguće je izmaknuti u odnosu na grafički dio ako se radi o opravdanim razlozima</w:t>
      </w:r>
      <w:r w:rsidR="00515186">
        <w:rPr>
          <w:bCs/>
          <w:szCs w:val="22"/>
        </w:rPr>
        <w:t xml:space="preserve"> (reljef, tlo, izgrađenost, arheološki nalazi i sl.).</w:t>
      </w:r>
    </w:p>
    <w:p w:rsidR="00012172" w:rsidRDefault="00012172">
      <w:pPr>
        <w:rPr>
          <w:rFonts w:ascii="Arial" w:hAnsi="Arial" w:cs="Arial"/>
          <w:b/>
          <w:sz w:val="22"/>
          <w:szCs w:val="22"/>
        </w:rPr>
      </w:pPr>
    </w:p>
    <w:p w:rsidR="00012172" w:rsidRDefault="00012172">
      <w:pPr>
        <w:jc w:val="center"/>
        <w:rPr>
          <w:szCs w:val="22"/>
        </w:rPr>
      </w:pPr>
      <w:r>
        <w:rPr>
          <w:szCs w:val="22"/>
        </w:rPr>
        <w:t>Č</w:t>
      </w:r>
      <w:r>
        <w:rPr>
          <w:szCs w:val="22"/>
          <w:lang w:val="de-DE"/>
        </w:rPr>
        <w:t>lanak</w:t>
      </w:r>
      <w:r w:rsidR="00F237BF">
        <w:rPr>
          <w:szCs w:val="22"/>
        </w:rPr>
        <w:t xml:space="preserve"> 84</w:t>
      </w:r>
      <w:r>
        <w:rPr>
          <w:szCs w:val="22"/>
        </w:rPr>
        <w:t>.</w:t>
      </w:r>
    </w:p>
    <w:p w:rsidR="00012172" w:rsidRDefault="00012172">
      <w:pPr>
        <w:jc w:val="both"/>
        <w:rPr>
          <w:szCs w:val="22"/>
        </w:rPr>
      </w:pPr>
      <w:r>
        <w:rPr>
          <w:szCs w:val="22"/>
        </w:rPr>
        <w:t xml:space="preserve">(1) </w:t>
      </w:r>
      <w:r>
        <w:rPr>
          <w:szCs w:val="22"/>
          <w:lang w:val="de-DE"/>
        </w:rPr>
        <w:t>Sve</w:t>
      </w:r>
      <w:r>
        <w:rPr>
          <w:szCs w:val="22"/>
        </w:rPr>
        <w:t xml:space="preserve"> </w:t>
      </w:r>
      <w:r>
        <w:rPr>
          <w:szCs w:val="22"/>
          <w:lang w:val="de-DE"/>
        </w:rPr>
        <w:t>javne</w:t>
      </w:r>
      <w:r>
        <w:rPr>
          <w:szCs w:val="22"/>
        </w:rPr>
        <w:t xml:space="preserve"> </w:t>
      </w:r>
      <w:r>
        <w:rPr>
          <w:szCs w:val="22"/>
          <w:lang w:val="de-DE"/>
        </w:rPr>
        <w:t>prometne</w:t>
      </w:r>
      <w:r>
        <w:rPr>
          <w:szCs w:val="22"/>
        </w:rPr>
        <w:t xml:space="preserve"> </w:t>
      </w:r>
      <w:r>
        <w:rPr>
          <w:szCs w:val="22"/>
          <w:lang w:val="de-DE"/>
        </w:rPr>
        <w:t>povr</w:t>
      </w:r>
      <w:r>
        <w:rPr>
          <w:szCs w:val="22"/>
        </w:rPr>
        <w:t>š</w:t>
      </w:r>
      <w:r>
        <w:rPr>
          <w:szCs w:val="22"/>
          <w:lang w:val="de-DE"/>
        </w:rPr>
        <w:t>ine</w:t>
      </w:r>
      <w:r>
        <w:rPr>
          <w:szCs w:val="22"/>
        </w:rPr>
        <w:t xml:space="preserve"> </w:t>
      </w:r>
      <w:r>
        <w:rPr>
          <w:szCs w:val="22"/>
          <w:lang w:val="de-DE"/>
        </w:rPr>
        <w:t>unutar</w:t>
      </w:r>
      <w:r>
        <w:rPr>
          <w:szCs w:val="22"/>
        </w:rPr>
        <w:t xml:space="preserve"> </w:t>
      </w:r>
      <w:r>
        <w:rPr>
          <w:szCs w:val="22"/>
          <w:lang w:val="de-DE"/>
        </w:rPr>
        <w:t>gra</w:t>
      </w:r>
      <w:r>
        <w:rPr>
          <w:szCs w:val="22"/>
        </w:rPr>
        <w:t>đ</w:t>
      </w:r>
      <w:r>
        <w:rPr>
          <w:szCs w:val="22"/>
          <w:lang w:val="de-DE"/>
        </w:rPr>
        <w:t>evinskog</w:t>
      </w:r>
      <w:r>
        <w:rPr>
          <w:szCs w:val="22"/>
        </w:rPr>
        <w:t xml:space="preserve"> </w:t>
      </w:r>
      <w:r>
        <w:rPr>
          <w:szCs w:val="22"/>
          <w:lang w:val="de-DE"/>
        </w:rPr>
        <w:t>podru</w:t>
      </w:r>
      <w:r>
        <w:rPr>
          <w:szCs w:val="22"/>
        </w:rPr>
        <w:t>č</w:t>
      </w:r>
      <w:r>
        <w:rPr>
          <w:szCs w:val="22"/>
          <w:lang w:val="de-DE"/>
        </w:rPr>
        <w:t>ja</w:t>
      </w:r>
      <w:r>
        <w:rPr>
          <w:szCs w:val="22"/>
        </w:rPr>
        <w:t xml:space="preserve"> </w:t>
      </w:r>
      <w:r>
        <w:rPr>
          <w:szCs w:val="22"/>
          <w:lang w:val="de-DE"/>
        </w:rPr>
        <w:t>na</w:t>
      </w:r>
      <w:r>
        <w:rPr>
          <w:szCs w:val="22"/>
        </w:rPr>
        <w:t xml:space="preserve"> </w:t>
      </w:r>
      <w:r>
        <w:rPr>
          <w:szCs w:val="22"/>
          <w:lang w:val="de-DE"/>
        </w:rPr>
        <w:t>koje</w:t>
      </w:r>
      <w:r>
        <w:rPr>
          <w:szCs w:val="22"/>
        </w:rPr>
        <w:t xml:space="preserve"> </w:t>
      </w:r>
      <w:r>
        <w:rPr>
          <w:szCs w:val="22"/>
          <w:lang w:val="de-DE"/>
        </w:rPr>
        <w:t>postoji</w:t>
      </w:r>
      <w:r>
        <w:rPr>
          <w:szCs w:val="22"/>
        </w:rPr>
        <w:t xml:space="preserve"> </w:t>
      </w:r>
      <w:r>
        <w:rPr>
          <w:szCs w:val="22"/>
          <w:lang w:val="de-DE"/>
        </w:rPr>
        <w:t>neposredan</w:t>
      </w:r>
      <w:r>
        <w:rPr>
          <w:szCs w:val="22"/>
        </w:rPr>
        <w:t xml:space="preserve"> </w:t>
      </w:r>
      <w:r>
        <w:rPr>
          <w:szCs w:val="22"/>
          <w:lang w:val="de-DE"/>
        </w:rPr>
        <w:t>pristup</w:t>
      </w:r>
      <w:r>
        <w:rPr>
          <w:szCs w:val="22"/>
        </w:rPr>
        <w:t xml:space="preserve"> </w:t>
      </w:r>
      <w:r>
        <w:rPr>
          <w:szCs w:val="22"/>
          <w:lang w:val="de-DE"/>
        </w:rPr>
        <w:t>sa</w:t>
      </w:r>
      <w:r>
        <w:rPr>
          <w:szCs w:val="22"/>
        </w:rPr>
        <w:t xml:space="preserve"> </w:t>
      </w:r>
      <w:r>
        <w:rPr>
          <w:szCs w:val="22"/>
          <w:lang w:val="de-DE"/>
        </w:rPr>
        <w:t>gra</w:t>
      </w:r>
      <w:r>
        <w:rPr>
          <w:szCs w:val="22"/>
        </w:rPr>
        <w:t>đ</w:t>
      </w:r>
      <w:r>
        <w:rPr>
          <w:szCs w:val="22"/>
          <w:lang w:val="de-DE"/>
        </w:rPr>
        <w:t>evinskih</w:t>
      </w:r>
      <w:r>
        <w:rPr>
          <w:szCs w:val="22"/>
        </w:rPr>
        <w:t xml:space="preserve"> </w:t>
      </w:r>
      <w:r>
        <w:rPr>
          <w:szCs w:val="22"/>
          <w:lang w:val="de-DE"/>
        </w:rPr>
        <w:t>parcela</w:t>
      </w:r>
      <w:r>
        <w:rPr>
          <w:szCs w:val="22"/>
        </w:rPr>
        <w:t xml:space="preserve">, </w:t>
      </w:r>
      <w:r>
        <w:rPr>
          <w:szCs w:val="22"/>
          <w:lang w:val="de-DE"/>
        </w:rPr>
        <w:t>ili</w:t>
      </w:r>
      <w:r>
        <w:rPr>
          <w:szCs w:val="22"/>
        </w:rPr>
        <w:t xml:space="preserve"> </w:t>
      </w:r>
      <w:r>
        <w:rPr>
          <w:szCs w:val="22"/>
          <w:lang w:val="de-DE"/>
        </w:rPr>
        <w:t>su</w:t>
      </w:r>
      <w:r>
        <w:rPr>
          <w:szCs w:val="22"/>
        </w:rPr>
        <w:t xml:space="preserve"> </w:t>
      </w:r>
      <w:r>
        <w:rPr>
          <w:szCs w:val="22"/>
          <w:lang w:val="de-DE"/>
        </w:rPr>
        <w:t>uvjet</w:t>
      </w:r>
      <w:r>
        <w:rPr>
          <w:szCs w:val="22"/>
        </w:rPr>
        <w:t xml:space="preserve"> </w:t>
      </w:r>
      <w:r>
        <w:rPr>
          <w:szCs w:val="22"/>
          <w:lang w:val="de-DE"/>
        </w:rPr>
        <w:t>za</w:t>
      </w:r>
      <w:r>
        <w:rPr>
          <w:szCs w:val="22"/>
        </w:rPr>
        <w:t xml:space="preserve"> </w:t>
      </w:r>
      <w:r>
        <w:rPr>
          <w:szCs w:val="22"/>
          <w:lang w:val="de-DE"/>
        </w:rPr>
        <w:t>formiranje</w:t>
      </w:r>
      <w:r>
        <w:rPr>
          <w:szCs w:val="22"/>
        </w:rPr>
        <w:t xml:space="preserve"> </w:t>
      </w:r>
      <w:r>
        <w:rPr>
          <w:szCs w:val="22"/>
          <w:lang w:val="de-DE"/>
        </w:rPr>
        <w:t>gra</w:t>
      </w:r>
      <w:r>
        <w:rPr>
          <w:szCs w:val="22"/>
        </w:rPr>
        <w:t>đ</w:t>
      </w:r>
      <w:r>
        <w:rPr>
          <w:szCs w:val="22"/>
          <w:lang w:val="de-DE"/>
        </w:rPr>
        <w:t>evinske</w:t>
      </w:r>
      <w:r>
        <w:rPr>
          <w:szCs w:val="22"/>
        </w:rPr>
        <w:t xml:space="preserve"> </w:t>
      </w:r>
      <w:r>
        <w:rPr>
          <w:szCs w:val="22"/>
          <w:lang w:val="de-DE"/>
        </w:rPr>
        <w:t>parcele</w:t>
      </w:r>
      <w:r>
        <w:rPr>
          <w:szCs w:val="22"/>
        </w:rPr>
        <w:t xml:space="preserve">, </w:t>
      </w:r>
      <w:r>
        <w:rPr>
          <w:szCs w:val="22"/>
          <w:lang w:val="de-DE"/>
        </w:rPr>
        <w:t>moraju</w:t>
      </w:r>
      <w:r>
        <w:rPr>
          <w:szCs w:val="22"/>
        </w:rPr>
        <w:t xml:space="preserve"> </w:t>
      </w:r>
      <w:r>
        <w:rPr>
          <w:szCs w:val="22"/>
          <w:lang w:val="de-DE"/>
        </w:rPr>
        <w:t>se</w:t>
      </w:r>
      <w:r>
        <w:rPr>
          <w:szCs w:val="22"/>
        </w:rPr>
        <w:t xml:space="preserve"> </w:t>
      </w:r>
      <w:r>
        <w:rPr>
          <w:szCs w:val="22"/>
          <w:lang w:val="de-DE"/>
        </w:rPr>
        <w:t>projektirati</w:t>
      </w:r>
      <w:r>
        <w:rPr>
          <w:szCs w:val="22"/>
        </w:rPr>
        <w:t xml:space="preserve">, </w:t>
      </w:r>
      <w:r>
        <w:rPr>
          <w:szCs w:val="22"/>
          <w:lang w:val="de-DE"/>
        </w:rPr>
        <w:t>graditi</w:t>
      </w:r>
      <w:r>
        <w:rPr>
          <w:szCs w:val="22"/>
        </w:rPr>
        <w:t xml:space="preserve"> </w:t>
      </w:r>
      <w:r>
        <w:rPr>
          <w:szCs w:val="22"/>
          <w:lang w:val="de-DE"/>
        </w:rPr>
        <w:t>i</w:t>
      </w:r>
      <w:r>
        <w:rPr>
          <w:szCs w:val="22"/>
        </w:rPr>
        <w:t xml:space="preserve"> </w:t>
      </w:r>
      <w:r>
        <w:rPr>
          <w:szCs w:val="22"/>
          <w:lang w:val="de-DE"/>
        </w:rPr>
        <w:t>ure</w:t>
      </w:r>
      <w:r>
        <w:rPr>
          <w:szCs w:val="22"/>
        </w:rPr>
        <w:t>đ</w:t>
      </w:r>
      <w:r>
        <w:rPr>
          <w:szCs w:val="22"/>
          <w:lang w:val="de-DE"/>
        </w:rPr>
        <w:t>ivati</w:t>
      </w:r>
      <w:r>
        <w:rPr>
          <w:szCs w:val="22"/>
        </w:rPr>
        <w:t xml:space="preserve"> </w:t>
      </w:r>
      <w:r>
        <w:rPr>
          <w:szCs w:val="22"/>
          <w:lang w:val="de-DE"/>
        </w:rPr>
        <w:t>na</w:t>
      </w:r>
      <w:r>
        <w:rPr>
          <w:szCs w:val="22"/>
        </w:rPr>
        <w:t xml:space="preserve"> </w:t>
      </w:r>
      <w:r>
        <w:rPr>
          <w:szCs w:val="22"/>
          <w:lang w:val="de-DE"/>
        </w:rPr>
        <w:t>na</w:t>
      </w:r>
      <w:r>
        <w:rPr>
          <w:szCs w:val="22"/>
        </w:rPr>
        <w:t>č</w:t>
      </w:r>
      <w:r>
        <w:rPr>
          <w:szCs w:val="22"/>
          <w:lang w:val="de-DE"/>
        </w:rPr>
        <w:t>in</w:t>
      </w:r>
      <w:r>
        <w:rPr>
          <w:szCs w:val="22"/>
        </w:rPr>
        <w:t xml:space="preserve"> </w:t>
      </w:r>
      <w:r>
        <w:rPr>
          <w:szCs w:val="22"/>
          <w:lang w:val="de-DE"/>
        </w:rPr>
        <w:t>da</w:t>
      </w:r>
      <w:r>
        <w:rPr>
          <w:szCs w:val="22"/>
        </w:rPr>
        <w:t xml:space="preserve"> </w:t>
      </w:r>
      <w:r>
        <w:rPr>
          <w:szCs w:val="22"/>
          <w:lang w:val="de-DE"/>
        </w:rPr>
        <w:t>se</w:t>
      </w:r>
      <w:r>
        <w:rPr>
          <w:szCs w:val="22"/>
        </w:rPr>
        <w:t xml:space="preserve"> </w:t>
      </w:r>
      <w:r>
        <w:rPr>
          <w:szCs w:val="22"/>
          <w:lang w:val="de-DE"/>
        </w:rPr>
        <w:t>omogu</w:t>
      </w:r>
      <w:r>
        <w:rPr>
          <w:szCs w:val="22"/>
        </w:rPr>
        <w:t>ć</w:t>
      </w:r>
      <w:r>
        <w:rPr>
          <w:szCs w:val="22"/>
          <w:lang w:val="de-DE"/>
        </w:rPr>
        <w:t>uje</w:t>
      </w:r>
      <w:r>
        <w:rPr>
          <w:szCs w:val="22"/>
        </w:rPr>
        <w:t xml:space="preserve"> </w:t>
      </w:r>
      <w:r>
        <w:rPr>
          <w:szCs w:val="22"/>
          <w:lang w:val="de-DE"/>
        </w:rPr>
        <w:t>vo</w:t>
      </w:r>
      <w:r>
        <w:rPr>
          <w:szCs w:val="22"/>
        </w:rPr>
        <w:t>đ</w:t>
      </w:r>
      <w:r>
        <w:rPr>
          <w:szCs w:val="22"/>
          <w:lang w:val="de-DE"/>
        </w:rPr>
        <w:t>enje</w:t>
      </w:r>
      <w:r>
        <w:rPr>
          <w:szCs w:val="22"/>
        </w:rPr>
        <w:t xml:space="preserve"> </w:t>
      </w:r>
      <w:r>
        <w:rPr>
          <w:szCs w:val="22"/>
          <w:lang w:val="de-DE"/>
        </w:rPr>
        <w:t>komunalne</w:t>
      </w:r>
      <w:r>
        <w:rPr>
          <w:szCs w:val="22"/>
        </w:rPr>
        <w:t xml:space="preserve"> </w:t>
      </w:r>
      <w:r>
        <w:rPr>
          <w:szCs w:val="22"/>
          <w:lang w:val="de-DE"/>
        </w:rPr>
        <w:t>infrastrukture</w:t>
      </w:r>
      <w:r>
        <w:rPr>
          <w:szCs w:val="22"/>
        </w:rPr>
        <w:t xml:space="preserve">, </w:t>
      </w:r>
      <w:r>
        <w:rPr>
          <w:szCs w:val="22"/>
          <w:lang w:val="de-DE"/>
        </w:rPr>
        <w:t>te</w:t>
      </w:r>
      <w:r>
        <w:rPr>
          <w:szCs w:val="22"/>
        </w:rPr>
        <w:t xml:space="preserve"> </w:t>
      </w:r>
      <w:r>
        <w:rPr>
          <w:szCs w:val="22"/>
          <w:lang w:val="de-DE"/>
        </w:rPr>
        <w:t>moraju</w:t>
      </w:r>
      <w:r>
        <w:rPr>
          <w:szCs w:val="22"/>
        </w:rPr>
        <w:t xml:space="preserve"> </w:t>
      </w:r>
      <w:r>
        <w:rPr>
          <w:szCs w:val="22"/>
          <w:lang w:val="de-DE"/>
        </w:rPr>
        <w:t>biti</w:t>
      </w:r>
      <w:r>
        <w:rPr>
          <w:szCs w:val="22"/>
        </w:rPr>
        <w:t xml:space="preserve"> </w:t>
      </w:r>
      <w:r>
        <w:rPr>
          <w:szCs w:val="22"/>
          <w:lang w:val="de-DE"/>
        </w:rPr>
        <w:t>vezane</w:t>
      </w:r>
      <w:r>
        <w:rPr>
          <w:szCs w:val="22"/>
        </w:rPr>
        <w:t xml:space="preserve"> </w:t>
      </w:r>
      <w:r>
        <w:rPr>
          <w:szCs w:val="22"/>
          <w:lang w:val="de-DE"/>
        </w:rPr>
        <w:t>na</w:t>
      </w:r>
      <w:r>
        <w:rPr>
          <w:szCs w:val="22"/>
        </w:rPr>
        <w:t xml:space="preserve"> </w:t>
      </w:r>
      <w:r>
        <w:rPr>
          <w:szCs w:val="22"/>
          <w:lang w:val="de-DE"/>
        </w:rPr>
        <w:t>sistem</w:t>
      </w:r>
      <w:r>
        <w:rPr>
          <w:szCs w:val="22"/>
        </w:rPr>
        <w:t xml:space="preserve"> </w:t>
      </w:r>
      <w:r>
        <w:rPr>
          <w:szCs w:val="22"/>
          <w:lang w:val="de-DE"/>
        </w:rPr>
        <w:t>javnih</w:t>
      </w:r>
      <w:r>
        <w:rPr>
          <w:szCs w:val="22"/>
        </w:rPr>
        <w:t xml:space="preserve"> </w:t>
      </w:r>
      <w:r>
        <w:rPr>
          <w:szCs w:val="22"/>
          <w:lang w:val="de-DE"/>
        </w:rPr>
        <w:t>prometnica</w:t>
      </w:r>
      <w:r>
        <w:rPr>
          <w:szCs w:val="22"/>
        </w:rPr>
        <w:t xml:space="preserve">. </w:t>
      </w:r>
      <w:r>
        <w:rPr>
          <w:szCs w:val="22"/>
          <w:lang w:val="de-DE"/>
        </w:rPr>
        <w:t>Prilaz</w:t>
      </w:r>
      <w:r>
        <w:rPr>
          <w:szCs w:val="22"/>
        </w:rPr>
        <w:t xml:space="preserve"> </w:t>
      </w:r>
      <w:r>
        <w:rPr>
          <w:szCs w:val="22"/>
          <w:lang w:val="de-DE"/>
        </w:rPr>
        <w:t>s</w:t>
      </w:r>
      <w:r>
        <w:rPr>
          <w:szCs w:val="22"/>
        </w:rPr>
        <w:t xml:space="preserve"> </w:t>
      </w:r>
      <w:r>
        <w:rPr>
          <w:szCs w:val="22"/>
          <w:lang w:val="de-DE"/>
        </w:rPr>
        <w:t>gra</w:t>
      </w:r>
      <w:r>
        <w:rPr>
          <w:szCs w:val="22"/>
        </w:rPr>
        <w:t>đ</w:t>
      </w:r>
      <w:r>
        <w:rPr>
          <w:szCs w:val="22"/>
          <w:lang w:val="de-DE"/>
        </w:rPr>
        <w:t>evinske</w:t>
      </w:r>
      <w:r>
        <w:rPr>
          <w:szCs w:val="22"/>
        </w:rPr>
        <w:t xml:space="preserve"> </w:t>
      </w:r>
      <w:r>
        <w:rPr>
          <w:szCs w:val="22"/>
          <w:lang w:val="de-DE"/>
        </w:rPr>
        <w:t>parcele</w:t>
      </w:r>
      <w:r>
        <w:rPr>
          <w:szCs w:val="22"/>
        </w:rPr>
        <w:t xml:space="preserve"> </w:t>
      </w:r>
      <w:r>
        <w:rPr>
          <w:szCs w:val="22"/>
          <w:lang w:val="de-DE"/>
        </w:rPr>
        <w:t>na</w:t>
      </w:r>
      <w:r>
        <w:rPr>
          <w:szCs w:val="22"/>
        </w:rPr>
        <w:t xml:space="preserve"> </w:t>
      </w:r>
      <w:r>
        <w:rPr>
          <w:szCs w:val="22"/>
          <w:lang w:val="de-DE"/>
        </w:rPr>
        <w:t>javnu</w:t>
      </w:r>
      <w:r>
        <w:rPr>
          <w:szCs w:val="22"/>
        </w:rPr>
        <w:t xml:space="preserve"> </w:t>
      </w:r>
      <w:r>
        <w:rPr>
          <w:szCs w:val="22"/>
          <w:lang w:val="de-DE"/>
        </w:rPr>
        <w:t>prometnu</w:t>
      </w:r>
      <w:r>
        <w:rPr>
          <w:szCs w:val="22"/>
        </w:rPr>
        <w:t xml:space="preserve"> </w:t>
      </w:r>
      <w:r>
        <w:rPr>
          <w:szCs w:val="22"/>
          <w:lang w:val="de-DE"/>
        </w:rPr>
        <w:t>povr</w:t>
      </w:r>
      <w:r>
        <w:rPr>
          <w:szCs w:val="22"/>
        </w:rPr>
        <w:t>š</w:t>
      </w:r>
      <w:r>
        <w:rPr>
          <w:szCs w:val="22"/>
          <w:lang w:val="de-DE"/>
        </w:rPr>
        <w:t>inu</w:t>
      </w:r>
      <w:r>
        <w:rPr>
          <w:szCs w:val="22"/>
        </w:rPr>
        <w:t xml:space="preserve"> </w:t>
      </w:r>
      <w:r>
        <w:rPr>
          <w:szCs w:val="22"/>
          <w:lang w:val="de-DE"/>
        </w:rPr>
        <w:t>treba</w:t>
      </w:r>
      <w:r>
        <w:rPr>
          <w:szCs w:val="22"/>
        </w:rPr>
        <w:t xml:space="preserve"> </w:t>
      </w:r>
      <w:r>
        <w:rPr>
          <w:szCs w:val="22"/>
          <w:lang w:val="de-DE"/>
        </w:rPr>
        <w:t>odrediti</w:t>
      </w:r>
      <w:r>
        <w:rPr>
          <w:szCs w:val="22"/>
        </w:rPr>
        <w:t xml:space="preserve"> </w:t>
      </w:r>
      <w:r>
        <w:rPr>
          <w:szCs w:val="22"/>
          <w:lang w:val="de-DE"/>
        </w:rPr>
        <w:t>tako</w:t>
      </w:r>
      <w:r>
        <w:rPr>
          <w:szCs w:val="22"/>
        </w:rPr>
        <w:t xml:space="preserve"> </w:t>
      </w:r>
      <w:r>
        <w:rPr>
          <w:szCs w:val="22"/>
          <w:lang w:val="de-DE"/>
        </w:rPr>
        <w:t>da</w:t>
      </w:r>
      <w:r>
        <w:rPr>
          <w:szCs w:val="22"/>
        </w:rPr>
        <w:t xml:space="preserve"> </w:t>
      </w:r>
      <w:r>
        <w:rPr>
          <w:szCs w:val="22"/>
          <w:lang w:val="de-DE"/>
        </w:rPr>
        <w:t>se</w:t>
      </w:r>
      <w:r>
        <w:rPr>
          <w:szCs w:val="22"/>
        </w:rPr>
        <w:t xml:space="preserve"> </w:t>
      </w:r>
      <w:r>
        <w:rPr>
          <w:szCs w:val="22"/>
          <w:lang w:val="de-DE"/>
        </w:rPr>
        <w:t>ne</w:t>
      </w:r>
      <w:r>
        <w:rPr>
          <w:szCs w:val="22"/>
        </w:rPr>
        <w:t xml:space="preserve"> </w:t>
      </w:r>
      <w:r>
        <w:rPr>
          <w:szCs w:val="22"/>
          <w:lang w:val="de-DE"/>
        </w:rPr>
        <w:t>ugro</w:t>
      </w:r>
      <w:r>
        <w:rPr>
          <w:szCs w:val="22"/>
        </w:rPr>
        <w:t>ž</w:t>
      </w:r>
      <w:r>
        <w:rPr>
          <w:szCs w:val="22"/>
          <w:lang w:val="de-DE"/>
        </w:rPr>
        <w:t>ava</w:t>
      </w:r>
      <w:r>
        <w:rPr>
          <w:szCs w:val="22"/>
        </w:rPr>
        <w:t xml:space="preserve"> </w:t>
      </w:r>
      <w:r>
        <w:rPr>
          <w:szCs w:val="22"/>
          <w:lang w:val="de-DE"/>
        </w:rPr>
        <w:t>javni</w:t>
      </w:r>
      <w:r>
        <w:rPr>
          <w:szCs w:val="22"/>
        </w:rPr>
        <w:t xml:space="preserve"> </w:t>
      </w:r>
      <w:r>
        <w:rPr>
          <w:szCs w:val="22"/>
          <w:lang w:val="de-DE"/>
        </w:rPr>
        <w:t>promet</w:t>
      </w:r>
      <w:r>
        <w:rPr>
          <w:szCs w:val="22"/>
        </w:rPr>
        <w:t>.</w:t>
      </w:r>
    </w:p>
    <w:p w:rsidR="00012172" w:rsidRDefault="00012172"/>
    <w:p w:rsidR="00012172" w:rsidRDefault="00012172">
      <w:pPr>
        <w:jc w:val="center"/>
        <w:rPr>
          <w:szCs w:val="22"/>
        </w:rPr>
      </w:pPr>
      <w:r>
        <w:rPr>
          <w:szCs w:val="22"/>
        </w:rPr>
        <w:t>Č</w:t>
      </w:r>
      <w:r>
        <w:rPr>
          <w:szCs w:val="22"/>
          <w:lang w:val="de-DE"/>
        </w:rPr>
        <w:t>lanak</w:t>
      </w:r>
      <w:r>
        <w:rPr>
          <w:szCs w:val="22"/>
        </w:rPr>
        <w:t xml:space="preserve"> 8</w:t>
      </w:r>
      <w:r w:rsidR="00F237BF">
        <w:rPr>
          <w:szCs w:val="22"/>
        </w:rPr>
        <w:t>5</w:t>
      </w:r>
      <w:r>
        <w:rPr>
          <w:szCs w:val="22"/>
        </w:rPr>
        <w:t>.</w:t>
      </w:r>
    </w:p>
    <w:p w:rsidR="00012172" w:rsidRDefault="00012172">
      <w:pPr>
        <w:jc w:val="both"/>
        <w:rPr>
          <w:szCs w:val="22"/>
        </w:rPr>
      </w:pPr>
      <w:r>
        <w:rPr>
          <w:szCs w:val="22"/>
        </w:rPr>
        <w:t xml:space="preserve">(1) </w:t>
      </w:r>
      <w:r>
        <w:rPr>
          <w:szCs w:val="22"/>
          <w:lang w:val="de-DE"/>
        </w:rPr>
        <w:t>Ulicom</w:t>
      </w:r>
      <w:r>
        <w:rPr>
          <w:szCs w:val="22"/>
        </w:rPr>
        <w:t xml:space="preserve"> </w:t>
      </w:r>
      <w:r>
        <w:rPr>
          <w:szCs w:val="22"/>
          <w:lang w:val="de-DE"/>
        </w:rPr>
        <w:t>se</w:t>
      </w:r>
      <w:r>
        <w:rPr>
          <w:szCs w:val="22"/>
        </w:rPr>
        <w:t xml:space="preserve"> </w:t>
      </w:r>
      <w:r>
        <w:rPr>
          <w:szCs w:val="22"/>
          <w:lang w:val="de-DE"/>
        </w:rPr>
        <w:t>smatra</w:t>
      </w:r>
      <w:r>
        <w:rPr>
          <w:szCs w:val="22"/>
        </w:rPr>
        <w:t xml:space="preserve"> </w:t>
      </w:r>
      <w:r>
        <w:rPr>
          <w:szCs w:val="22"/>
          <w:lang w:val="de-DE"/>
        </w:rPr>
        <w:t>svaka</w:t>
      </w:r>
      <w:r>
        <w:rPr>
          <w:szCs w:val="22"/>
        </w:rPr>
        <w:t xml:space="preserve"> </w:t>
      </w:r>
      <w:r>
        <w:rPr>
          <w:szCs w:val="22"/>
          <w:lang w:val="de-DE"/>
        </w:rPr>
        <w:t>cesta</w:t>
      </w:r>
      <w:r>
        <w:rPr>
          <w:szCs w:val="22"/>
        </w:rPr>
        <w:t xml:space="preserve"> </w:t>
      </w:r>
      <w:r>
        <w:rPr>
          <w:szCs w:val="22"/>
          <w:lang w:val="de-DE"/>
        </w:rPr>
        <w:t>ili</w:t>
      </w:r>
      <w:r>
        <w:rPr>
          <w:szCs w:val="22"/>
        </w:rPr>
        <w:t xml:space="preserve"> </w:t>
      </w:r>
      <w:r>
        <w:rPr>
          <w:szCs w:val="22"/>
          <w:lang w:val="de-DE"/>
        </w:rPr>
        <w:t>javni</w:t>
      </w:r>
      <w:r>
        <w:rPr>
          <w:szCs w:val="22"/>
        </w:rPr>
        <w:t xml:space="preserve"> </w:t>
      </w:r>
      <w:r>
        <w:rPr>
          <w:szCs w:val="22"/>
          <w:lang w:val="de-DE"/>
        </w:rPr>
        <w:t>put</w:t>
      </w:r>
      <w:r>
        <w:rPr>
          <w:szCs w:val="22"/>
        </w:rPr>
        <w:t xml:space="preserve"> </w:t>
      </w:r>
      <w:r>
        <w:rPr>
          <w:szCs w:val="22"/>
          <w:lang w:val="de-DE"/>
        </w:rPr>
        <w:t>unutar</w:t>
      </w:r>
      <w:r>
        <w:rPr>
          <w:szCs w:val="22"/>
        </w:rPr>
        <w:t xml:space="preserve"> </w:t>
      </w:r>
      <w:r>
        <w:rPr>
          <w:szCs w:val="22"/>
          <w:lang w:val="de-DE"/>
        </w:rPr>
        <w:t>gra</w:t>
      </w:r>
      <w:r>
        <w:rPr>
          <w:szCs w:val="22"/>
        </w:rPr>
        <w:t>đ</w:t>
      </w:r>
      <w:r>
        <w:rPr>
          <w:szCs w:val="22"/>
          <w:lang w:val="de-DE"/>
        </w:rPr>
        <w:t>evinskog</w:t>
      </w:r>
      <w:r>
        <w:rPr>
          <w:szCs w:val="22"/>
        </w:rPr>
        <w:t xml:space="preserve"> </w:t>
      </w:r>
      <w:r>
        <w:rPr>
          <w:szCs w:val="22"/>
          <w:lang w:val="de-DE"/>
        </w:rPr>
        <w:t>podru</w:t>
      </w:r>
      <w:r>
        <w:rPr>
          <w:szCs w:val="22"/>
        </w:rPr>
        <w:t>č</w:t>
      </w:r>
      <w:r>
        <w:rPr>
          <w:szCs w:val="22"/>
          <w:lang w:val="de-DE"/>
        </w:rPr>
        <w:t>ja</w:t>
      </w:r>
      <w:r>
        <w:rPr>
          <w:szCs w:val="22"/>
        </w:rPr>
        <w:t xml:space="preserve"> </w:t>
      </w:r>
      <w:r>
        <w:rPr>
          <w:szCs w:val="22"/>
          <w:lang w:val="de-DE"/>
        </w:rPr>
        <w:t>uz</w:t>
      </w:r>
      <w:r>
        <w:rPr>
          <w:szCs w:val="22"/>
        </w:rPr>
        <w:t xml:space="preserve"> </w:t>
      </w:r>
      <w:r>
        <w:rPr>
          <w:szCs w:val="22"/>
          <w:lang w:val="de-DE"/>
        </w:rPr>
        <w:t>kojega</w:t>
      </w:r>
      <w:r>
        <w:rPr>
          <w:szCs w:val="22"/>
        </w:rPr>
        <w:t xml:space="preserve"> </w:t>
      </w:r>
      <w:r>
        <w:rPr>
          <w:szCs w:val="22"/>
          <w:lang w:val="de-DE"/>
        </w:rPr>
        <w:t>se</w:t>
      </w:r>
      <w:r>
        <w:rPr>
          <w:szCs w:val="22"/>
        </w:rPr>
        <w:t xml:space="preserve"> </w:t>
      </w:r>
      <w:r>
        <w:rPr>
          <w:szCs w:val="22"/>
          <w:lang w:val="de-DE"/>
        </w:rPr>
        <w:t>izgra</w:t>
      </w:r>
      <w:r>
        <w:rPr>
          <w:szCs w:val="22"/>
        </w:rPr>
        <w:t>đ</w:t>
      </w:r>
      <w:r>
        <w:rPr>
          <w:szCs w:val="22"/>
          <w:lang w:val="de-DE"/>
        </w:rPr>
        <w:t>uju</w:t>
      </w:r>
      <w:r>
        <w:rPr>
          <w:szCs w:val="22"/>
        </w:rPr>
        <w:t xml:space="preserve"> </w:t>
      </w:r>
      <w:r>
        <w:rPr>
          <w:szCs w:val="22"/>
          <w:lang w:val="de-DE"/>
        </w:rPr>
        <w:t>ili</w:t>
      </w:r>
      <w:r>
        <w:rPr>
          <w:szCs w:val="22"/>
        </w:rPr>
        <w:t xml:space="preserve"> </w:t>
      </w:r>
      <w:r>
        <w:rPr>
          <w:szCs w:val="22"/>
          <w:lang w:val="de-DE"/>
        </w:rPr>
        <w:t>postoje</w:t>
      </w:r>
      <w:r>
        <w:rPr>
          <w:szCs w:val="22"/>
        </w:rPr>
        <w:t xml:space="preserve"> </w:t>
      </w:r>
      <w:r>
        <w:rPr>
          <w:szCs w:val="22"/>
          <w:lang w:val="de-DE"/>
        </w:rPr>
        <w:t>stambene</w:t>
      </w:r>
      <w:r>
        <w:rPr>
          <w:szCs w:val="22"/>
        </w:rPr>
        <w:t xml:space="preserve"> </w:t>
      </w:r>
      <w:r>
        <w:rPr>
          <w:szCs w:val="22"/>
          <w:lang w:val="de-DE"/>
        </w:rPr>
        <w:t>ili</w:t>
      </w:r>
      <w:r>
        <w:rPr>
          <w:szCs w:val="22"/>
        </w:rPr>
        <w:t xml:space="preserve"> </w:t>
      </w:r>
      <w:r>
        <w:rPr>
          <w:szCs w:val="22"/>
          <w:lang w:val="de-DE"/>
        </w:rPr>
        <w:t>druge</w:t>
      </w:r>
      <w:r>
        <w:rPr>
          <w:szCs w:val="22"/>
        </w:rPr>
        <w:t xml:space="preserve"> </w:t>
      </w:r>
      <w:r>
        <w:rPr>
          <w:szCs w:val="22"/>
          <w:lang w:val="de-DE"/>
        </w:rPr>
        <w:t>gra</w:t>
      </w:r>
      <w:r>
        <w:rPr>
          <w:szCs w:val="22"/>
        </w:rPr>
        <w:t>đ</w:t>
      </w:r>
      <w:r>
        <w:rPr>
          <w:szCs w:val="22"/>
          <w:lang w:val="de-DE"/>
        </w:rPr>
        <w:t>evine</w:t>
      </w:r>
      <w:r>
        <w:rPr>
          <w:szCs w:val="22"/>
        </w:rPr>
        <w:t xml:space="preserve">, </w:t>
      </w:r>
      <w:r>
        <w:rPr>
          <w:szCs w:val="22"/>
          <w:lang w:val="de-DE"/>
        </w:rPr>
        <w:t>te</w:t>
      </w:r>
      <w:r>
        <w:rPr>
          <w:szCs w:val="22"/>
        </w:rPr>
        <w:t xml:space="preserve"> </w:t>
      </w:r>
      <w:r>
        <w:rPr>
          <w:szCs w:val="22"/>
          <w:lang w:val="de-DE"/>
        </w:rPr>
        <w:t>na</w:t>
      </w:r>
      <w:r>
        <w:rPr>
          <w:szCs w:val="22"/>
        </w:rPr>
        <w:t xml:space="preserve"> </w:t>
      </w:r>
      <w:r>
        <w:rPr>
          <w:szCs w:val="22"/>
          <w:lang w:val="de-DE"/>
        </w:rPr>
        <w:t>koji</w:t>
      </w:r>
      <w:r>
        <w:rPr>
          <w:szCs w:val="22"/>
        </w:rPr>
        <w:t xml:space="preserve"> </w:t>
      </w:r>
      <w:r>
        <w:rPr>
          <w:szCs w:val="22"/>
          <w:lang w:val="de-DE"/>
        </w:rPr>
        <w:t>te</w:t>
      </w:r>
      <w:r>
        <w:rPr>
          <w:szCs w:val="22"/>
        </w:rPr>
        <w:t xml:space="preserve"> </w:t>
      </w:r>
      <w:r>
        <w:rPr>
          <w:szCs w:val="22"/>
          <w:lang w:val="de-DE"/>
        </w:rPr>
        <w:t>gra</w:t>
      </w:r>
      <w:r>
        <w:rPr>
          <w:szCs w:val="22"/>
        </w:rPr>
        <w:t>đ</w:t>
      </w:r>
      <w:r>
        <w:rPr>
          <w:szCs w:val="22"/>
          <w:lang w:val="de-DE"/>
        </w:rPr>
        <w:t>evine</w:t>
      </w:r>
      <w:r>
        <w:rPr>
          <w:szCs w:val="22"/>
        </w:rPr>
        <w:t xml:space="preserve"> </w:t>
      </w:r>
      <w:r>
        <w:rPr>
          <w:szCs w:val="22"/>
          <w:lang w:val="de-DE"/>
        </w:rPr>
        <w:t>imaju</w:t>
      </w:r>
      <w:r>
        <w:rPr>
          <w:szCs w:val="22"/>
        </w:rPr>
        <w:t xml:space="preserve"> </w:t>
      </w:r>
      <w:r>
        <w:rPr>
          <w:szCs w:val="22"/>
          <w:lang w:val="de-DE"/>
        </w:rPr>
        <w:t>izravan</w:t>
      </w:r>
      <w:r>
        <w:rPr>
          <w:szCs w:val="22"/>
        </w:rPr>
        <w:t xml:space="preserve"> </w:t>
      </w:r>
      <w:r>
        <w:rPr>
          <w:szCs w:val="22"/>
          <w:lang w:val="de-DE"/>
        </w:rPr>
        <w:t>pristup</w:t>
      </w:r>
      <w:r>
        <w:rPr>
          <w:szCs w:val="22"/>
        </w:rPr>
        <w:t xml:space="preserve">. </w:t>
      </w:r>
      <w:r>
        <w:rPr>
          <w:szCs w:val="22"/>
          <w:lang w:val="de-DE"/>
        </w:rPr>
        <w:t>Ulice</w:t>
      </w:r>
      <w:r>
        <w:rPr>
          <w:szCs w:val="22"/>
        </w:rPr>
        <w:t xml:space="preserve"> </w:t>
      </w:r>
      <w:r>
        <w:rPr>
          <w:szCs w:val="22"/>
          <w:lang w:val="de-DE"/>
        </w:rPr>
        <w:t>u</w:t>
      </w:r>
      <w:r>
        <w:rPr>
          <w:szCs w:val="22"/>
        </w:rPr>
        <w:t xml:space="preserve"> </w:t>
      </w:r>
      <w:r>
        <w:rPr>
          <w:szCs w:val="22"/>
          <w:lang w:val="de-DE"/>
        </w:rPr>
        <w:t>naselju</w:t>
      </w:r>
      <w:r>
        <w:rPr>
          <w:szCs w:val="22"/>
        </w:rPr>
        <w:t xml:space="preserve"> </w:t>
      </w:r>
      <w:r>
        <w:rPr>
          <w:szCs w:val="22"/>
          <w:lang w:val="de-DE"/>
        </w:rPr>
        <w:t>s</w:t>
      </w:r>
      <w:r>
        <w:rPr>
          <w:szCs w:val="22"/>
        </w:rPr>
        <w:t xml:space="preserve"> </w:t>
      </w:r>
      <w:r>
        <w:rPr>
          <w:szCs w:val="22"/>
          <w:lang w:val="de-DE"/>
        </w:rPr>
        <w:t>funkcijom</w:t>
      </w:r>
      <w:r>
        <w:rPr>
          <w:szCs w:val="22"/>
        </w:rPr>
        <w:t xml:space="preserve"> </w:t>
      </w:r>
      <w:r>
        <w:rPr>
          <w:szCs w:val="22"/>
          <w:lang w:val="de-DE"/>
        </w:rPr>
        <w:t>dr</w:t>
      </w:r>
      <w:r>
        <w:rPr>
          <w:szCs w:val="22"/>
        </w:rPr>
        <w:t>ž</w:t>
      </w:r>
      <w:r>
        <w:rPr>
          <w:szCs w:val="22"/>
          <w:lang w:val="de-DE"/>
        </w:rPr>
        <w:t>avne</w:t>
      </w:r>
      <w:r>
        <w:rPr>
          <w:szCs w:val="22"/>
        </w:rPr>
        <w:t>, ž</w:t>
      </w:r>
      <w:r>
        <w:rPr>
          <w:szCs w:val="22"/>
          <w:lang w:val="de-DE"/>
        </w:rPr>
        <w:t>upanijske</w:t>
      </w:r>
      <w:r>
        <w:rPr>
          <w:szCs w:val="22"/>
        </w:rPr>
        <w:t xml:space="preserve"> </w:t>
      </w:r>
      <w:r>
        <w:rPr>
          <w:szCs w:val="22"/>
          <w:lang w:val="de-DE"/>
        </w:rPr>
        <w:t>ili</w:t>
      </w:r>
      <w:r>
        <w:rPr>
          <w:szCs w:val="22"/>
        </w:rPr>
        <w:t xml:space="preserve"> </w:t>
      </w:r>
      <w:r>
        <w:rPr>
          <w:szCs w:val="22"/>
          <w:lang w:val="de-DE"/>
        </w:rPr>
        <w:t>lokalne</w:t>
      </w:r>
      <w:r>
        <w:rPr>
          <w:szCs w:val="22"/>
        </w:rPr>
        <w:t xml:space="preserve"> </w:t>
      </w:r>
      <w:r>
        <w:rPr>
          <w:szCs w:val="22"/>
          <w:lang w:val="de-DE"/>
        </w:rPr>
        <w:t>ceste</w:t>
      </w:r>
      <w:r>
        <w:rPr>
          <w:szCs w:val="22"/>
        </w:rPr>
        <w:t xml:space="preserve"> </w:t>
      </w:r>
      <w:r>
        <w:rPr>
          <w:szCs w:val="22"/>
          <w:lang w:val="de-DE"/>
        </w:rPr>
        <w:t>smatraju</w:t>
      </w:r>
      <w:r>
        <w:rPr>
          <w:szCs w:val="22"/>
        </w:rPr>
        <w:t xml:space="preserve"> </w:t>
      </w:r>
      <w:r>
        <w:rPr>
          <w:szCs w:val="22"/>
          <w:lang w:val="de-DE"/>
        </w:rPr>
        <w:t>se</w:t>
      </w:r>
      <w:r>
        <w:rPr>
          <w:szCs w:val="22"/>
        </w:rPr>
        <w:t xml:space="preserve"> </w:t>
      </w:r>
      <w:r>
        <w:rPr>
          <w:szCs w:val="22"/>
          <w:lang w:val="de-DE"/>
        </w:rPr>
        <w:t>tom</w:t>
      </w:r>
      <w:r>
        <w:rPr>
          <w:szCs w:val="22"/>
        </w:rPr>
        <w:t xml:space="preserve"> </w:t>
      </w:r>
      <w:r>
        <w:rPr>
          <w:szCs w:val="22"/>
          <w:lang w:val="de-DE"/>
        </w:rPr>
        <w:t>vrstom</w:t>
      </w:r>
      <w:r>
        <w:rPr>
          <w:szCs w:val="22"/>
        </w:rPr>
        <w:t xml:space="preserve"> </w:t>
      </w:r>
      <w:r>
        <w:rPr>
          <w:szCs w:val="22"/>
          <w:lang w:val="de-DE"/>
        </w:rPr>
        <w:t>ceste</w:t>
      </w:r>
      <w:r>
        <w:rPr>
          <w:szCs w:val="22"/>
        </w:rPr>
        <w:t>.</w:t>
      </w:r>
    </w:p>
    <w:p w:rsidR="00012172" w:rsidRDefault="00012172">
      <w:pPr>
        <w:jc w:val="both"/>
        <w:rPr>
          <w:rFonts w:ascii="Arial" w:hAnsi="Arial" w:cs="Arial"/>
          <w:sz w:val="22"/>
          <w:szCs w:val="22"/>
        </w:rPr>
      </w:pPr>
    </w:p>
    <w:p w:rsidR="00012172" w:rsidRDefault="00012172">
      <w:pPr>
        <w:jc w:val="both"/>
        <w:rPr>
          <w:szCs w:val="22"/>
        </w:rPr>
      </w:pPr>
      <w:r>
        <w:rPr>
          <w:szCs w:val="22"/>
        </w:rPr>
        <w:t xml:space="preserve">(2) </w:t>
      </w:r>
      <w:r>
        <w:rPr>
          <w:szCs w:val="22"/>
          <w:lang w:val="de-DE"/>
        </w:rPr>
        <w:t>Ulica</w:t>
      </w:r>
      <w:r>
        <w:rPr>
          <w:szCs w:val="22"/>
        </w:rPr>
        <w:t xml:space="preserve"> </w:t>
      </w:r>
      <w:r>
        <w:rPr>
          <w:szCs w:val="22"/>
          <w:lang w:val="de-DE"/>
        </w:rPr>
        <w:t>iz</w:t>
      </w:r>
      <w:r>
        <w:rPr>
          <w:szCs w:val="22"/>
        </w:rPr>
        <w:t xml:space="preserve"> </w:t>
      </w:r>
      <w:r>
        <w:rPr>
          <w:szCs w:val="22"/>
          <w:lang w:val="de-DE"/>
        </w:rPr>
        <w:t>stavka</w:t>
      </w:r>
      <w:r>
        <w:rPr>
          <w:szCs w:val="22"/>
        </w:rPr>
        <w:t xml:space="preserve"> 1. </w:t>
      </w:r>
      <w:r>
        <w:rPr>
          <w:szCs w:val="22"/>
          <w:lang w:val="de-DE"/>
        </w:rPr>
        <w:t>ovog</w:t>
      </w:r>
      <w:r>
        <w:rPr>
          <w:szCs w:val="22"/>
        </w:rPr>
        <w:t xml:space="preserve"> č</w:t>
      </w:r>
      <w:r>
        <w:rPr>
          <w:szCs w:val="22"/>
          <w:lang w:val="de-DE"/>
        </w:rPr>
        <w:t>lanka</w:t>
      </w:r>
      <w:r>
        <w:rPr>
          <w:szCs w:val="22"/>
        </w:rPr>
        <w:t xml:space="preserve"> </w:t>
      </w:r>
      <w:r>
        <w:rPr>
          <w:szCs w:val="22"/>
          <w:lang w:val="de-DE"/>
        </w:rPr>
        <w:t>mora</w:t>
      </w:r>
      <w:r>
        <w:rPr>
          <w:szCs w:val="22"/>
        </w:rPr>
        <w:t xml:space="preserve"> </w:t>
      </w:r>
      <w:r>
        <w:rPr>
          <w:szCs w:val="22"/>
          <w:lang w:val="de-DE"/>
        </w:rPr>
        <w:t>imati</w:t>
      </w:r>
      <w:r>
        <w:rPr>
          <w:szCs w:val="22"/>
        </w:rPr>
        <w:t xml:space="preserve"> </w:t>
      </w:r>
      <w:r>
        <w:rPr>
          <w:szCs w:val="22"/>
          <w:lang w:val="de-DE"/>
        </w:rPr>
        <w:t>najmanju</w:t>
      </w:r>
      <w:r>
        <w:rPr>
          <w:szCs w:val="22"/>
        </w:rPr>
        <w:t xml:space="preserve"> š</w:t>
      </w:r>
      <w:r>
        <w:rPr>
          <w:szCs w:val="22"/>
          <w:lang w:val="de-DE"/>
        </w:rPr>
        <w:t>irinu</w:t>
      </w:r>
      <w:r>
        <w:rPr>
          <w:szCs w:val="22"/>
        </w:rPr>
        <w:t xml:space="preserve"> </w:t>
      </w:r>
      <w:smartTag w:uri="urn:schemas-microsoft-com:office:smarttags" w:element="metricconverter">
        <w:smartTagPr>
          <w:attr w:name="ProductID" w:val="5,5 m"/>
        </w:smartTagPr>
        <w:r>
          <w:rPr>
            <w:szCs w:val="22"/>
          </w:rPr>
          <w:t xml:space="preserve">5,5 </w:t>
        </w:r>
        <w:r>
          <w:rPr>
            <w:szCs w:val="22"/>
            <w:lang w:val="de-DE"/>
          </w:rPr>
          <w:t>m</w:t>
        </w:r>
      </w:smartTag>
      <w:r>
        <w:rPr>
          <w:szCs w:val="22"/>
        </w:rPr>
        <w:t xml:space="preserve"> (</w:t>
      </w:r>
      <w:r>
        <w:rPr>
          <w:szCs w:val="22"/>
          <w:lang w:val="de-DE"/>
        </w:rPr>
        <w:t>za</w:t>
      </w:r>
      <w:r>
        <w:rPr>
          <w:szCs w:val="22"/>
        </w:rPr>
        <w:t xml:space="preserve"> </w:t>
      </w:r>
      <w:r>
        <w:rPr>
          <w:szCs w:val="22"/>
          <w:lang w:val="de-DE"/>
        </w:rPr>
        <w:t>dvije</w:t>
      </w:r>
      <w:r>
        <w:rPr>
          <w:szCs w:val="22"/>
        </w:rPr>
        <w:t xml:space="preserve"> </w:t>
      </w:r>
      <w:r>
        <w:rPr>
          <w:szCs w:val="22"/>
          <w:lang w:val="de-DE"/>
        </w:rPr>
        <w:t>vozne</w:t>
      </w:r>
      <w:r>
        <w:rPr>
          <w:szCs w:val="22"/>
        </w:rPr>
        <w:t xml:space="preserve"> </w:t>
      </w:r>
      <w:r>
        <w:rPr>
          <w:szCs w:val="22"/>
          <w:lang w:val="de-DE"/>
        </w:rPr>
        <w:t>trake</w:t>
      </w:r>
      <w:r>
        <w:rPr>
          <w:szCs w:val="22"/>
        </w:rPr>
        <w:t xml:space="preserve">), </w:t>
      </w:r>
      <w:r>
        <w:rPr>
          <w:szCs w:val="22"/>
          <w:lang w:val="de-DE"/>
        </w:rPr>
        <w:t>odnosno</w:t>
      </w:r>
      <w:r>
        <w:rPr>
          <w:szCs w:val="22"/>
        </w:rPr>
        <w:t xml:space="preserve"> </w:t>
      </w:r>
      <w:smartTag w:uri="urn:schemas-microsoft-com:office:smarttags" w:element="metricconverter">
        <w:smartTagPr>
          <w:attr w:name="ProductID" w:val="3,0 m"/>
        </w:smartTagPr>
        <w:r>
          <w:rPr>
            <w:szCs w:val="22"/>
          </w:rPr>
          <w:t xml:space="preserve">3,0 </w:t>
        </w:r>
        <w:r>
          <w:rPr>
            <w:szCs w:val="22"/>
            <w:lang w:val="de-DE"/>
          </w:rPr>
          <w:t>m</w:t>
        </w:r>
      </w:smartTag>
      <w:r>
        <w:rPr>
          <w:szCs w:val="22"/>
        </w:rPr>
        <w:t xml:space="preserve"> (</w:t>
      </w:r>
      <w:r>
        <w:rPr>
          <w:szCs w:val="22"/>
          <w:lang w:val="de-DE"/>
        </w:rPr>
        <w:t>za</w:t>
      </w:r>
      <w:r>
        <w:rPr>
          <w:szCs w:val="22"/>
        </w:rPr>
        <w:t xml:space="preserve"> </w:t>
      </w:r>
      <w:r>
        <w:rPr>
          <w:szCs w:val="22"/>
          <w:lang w:val="de-DE"/>
        </w:rPr>
        <w:t>jednu</w:t>
      </w:r>
      <w:r>
        <w:rPr>
          <w:szCs w:val="22"/>
        </w:rPr>
        <w:t xml:space="preserve"> </w:t>
      </w:r>
      <w:r>
        <w:rPr>
          <w:szCs w:val="22"/>
          <w:lang w:val="de-DE"/>
        </w:rPr>
        <w:t>voznu</w:t>
      </w:r>
      <w:r>
        <w:rPr>
          <w:szCs w:val="22"/>
        </w:rPr>
        <w:t xml:space="preserve"> </w:t>
      </w:r>
      <w:r>
        <w:rPr>
          <w:szCs w:val="22"/>
          <w:lang w:val="de-DE"/>
        </w:rPr>
        <w:t>traku</w:t>
      </w:r>
      <w:r>
        <w:rPr>
          <w:szCs w:val="22"/>
        </w:rPr>
        <w:t xml:space="preserve">). </w:t>
      </w:r>
    </w:p>
    <w:p w:rsidR="00012172" w:rsidRDefault="00012172">
      <w:pPr>
        <w:jc w:val="both"/>
        <w:rPr>
          <w:szCs w:val="22"/>
        </w:rPr>
      </w:pPr>
    </w:p>
    <w:p w:rsidR="00012172" w:rsidRDefault="00012172">
      <w:pPr>
        <w:jc w:val="both"/>
        <w:rPr>
          <w:szCs w:val="22"/>
        </w:rPr>
      </w:pPr>
      <w:r>
        <w:rPr>
          <w:szCs w:val="22"/>
        </w:rPr>
        <w:t xml:space="preserve">(3) Sabirna ulica mora imati najmanju širinu </w:t>
      </w:r>
      <w:smartTag w:uri="urn:schemas-microsoft-com:office:smarttags" w:element="metricconverter">
        <w:smartTagPr>
          <w:attr w:name="ProductID" w:val="3,5 m"/>
        </w:smartTagPr>
        <w:r>
          <w:rPr>
            <w:szCs w:val="22"/>
          </w:rPr>
          <w:t>3,5 m</w:t>
        </w:r>
      </w:smartTag>
      <w:r>
        <w:rPr>
          <w:szCs w:val="22"/>
        </w:rPr>
        <w:t xml:space="preserve">, sa minimalno </w:t>
      </w:r>
      <w:smartTag w:uri="urn:schemas-microsoft-com:office:smarttags" w:element="metricconverter">
        <w:smartTagPr>
          <w:attr w:name="ProductID" w:val="1,5 m"/>
        </w:smartTagPr>
        <w:r>
          <w:rPr>
            <w:szCs w:val="22"/>
          </w:rPr>
          <w:t>1,5 m</w:t>
        </w:r>
      </w:smartTag>
      <w:r>
        <w:rPr>
          <w:szCs w:val="22"/>
        </w:rPr>
        <w:t xml:space="preserve"> sa svake strane ili </w:t>
      </w:r>
      <w:smartTag w:uri="urn:schemas-microsoft-com:office:smarttags" w:element="metricconverter">
        <w:smartTagPr>
          <w:attr w:name="ProductID" w:val="2,5 m"/>
        </w:smartTagPr>
        <w:r>
          <w:rPr>
            <w:szCs w:val="22"/>
          </w:rPr>
          <w:t>2,5 m</w:t>
        </w:r>
      </w:smartTag>
      <w:r>
        <w:rPr>
          <w:szCs w:val="22"/>
        </w:rPr>
        <w:t xml:space="preserve"> s jedne strane zaštitnog ili pješačkog prometa.</w:t>
      </w:r>
    </w:p>
    <w:p w:rsidR="00012172" w:rsidRDefault="00012172">
      <w:pPr>
        <w:jc w:val="center"/>
        <w:rPr>
          <w:szCs w:val="22"/>
        </w:rPr>
      </w:pPr>
    </w:p>
    <w:p w:rsidR="00012172" w:rsidRDefault="00012172">
      <w:pPr>
        <w:jc w:val="both"/>
      </w:pPr>
      <w:r>
        <w:t>(4) Minimalna širina koridora planiranih prometnica za područje općine iznosi:</w:t>
      </w:r>
    </w:p>
    <w:p w:rsidR="00012172" w:rsidRDefault="00012172">
      <w:pPr>
        <w:ind w:left="708"/>
        <w:jc w:val="both"/>
      </w:pPr>
      <w:r>
        <w:t xml:space="preserve">-sabirna ulica </w:t>
      </w:r>
      <w:smartTag w:uri="urn:schemas-microsoft-com:office:smarttags" w:element="metricconverter">
        <w:smartTagPr>
          <w:attr w:name="ProductID" w:val="18 m"/>
        </w:smartTagPr>
        <w:r>
          <w:t>18 m</w:t>
        </w:r>
      </w:smartTag>
    </w:p>
    <w:p w:rsidR="00012172" w:rsidRDefault="00012172">
      <w:pPr>
        <w:ind w:left="708"/>
        <w:jc w:val="both"/>
      </w:pPr>
      <w:r>
        <w:t xml:space="preserve">-ostale ulice </w:t>
      </w:r>
      <w:smartTag w:uri="urn:schemas-microsoft-com:office:smarttags" w:element="metricconverter">
        <w:smartTagPr>
          <w:attr w:name="ProductID" w:val="15 m"/>
        </w:smartTagPr>
        <w:r>
          <w:t>15 m</w:t>
        </w:r>
      </w:smartTag>
    </w:p>
    <w:p w:rsidR="00012172" w:rsidRDefault="00012172">
      <w:pPr>
        <w:jc w:val="both"/>
      </w:pPr>
    </w:p>
    <w:p w:rsidR="00012172" w:rsidRDefault="00012172">
      <w:pPr>
        <w:rPr>
          <w:szCs w:val="22"/>
        </w:rPr>
      </w:pPr>
      <w:r>
        <w:t>(5) U planskim koridorima ne mogu se graditi nove građevine.</w:t>
      </w:r>
    </w:p>
    <w:p w:rsidR="00012172" w:rsidRDefault="00012172">
      <w:pPr>
        <w:jc w:val="center"/>
        <w:rPr>
          <w:rFonts w:ascii="Arial" w:hAnsi="Arial" w:cs="Arial"/>
          <w:sz w:val="22"/>
          <w:szCs w:val="22"/>
        </w:rPr>
      </w:pPr>
    </w:p>
    <w:p w:rsidR="00012172" w:rsidRDefault="00012172">
      <w:pPr>
        <w:jc w:val="center"/>
        <w:rPr>
          <w:szCs w:val="22"/>
        </w:rPr>
      </w:pPr>
      <w:r>
        <w:rPr>
          <w:szCs w:val="22"/>
        </w:rPr>
        <w:t>Č</w:t>
      </w:r>
      <w:r>
        <w:rPr>
          <w:szCs w:val="22"/>
          <w:lang w:val="de-DE"/>
        </w:rPr>
        <w:t>lanak</w:t>
      </w:r>
      <w:r>
        <w:rPr>
          <w:szCs w:val="22"/>
        </w:rPr>
        <w:t xml:space="preserve"> 8</w:t>
      </w:r>
      <w:r w:rsidR="00F237BF">
        <w:rPr>
          <w:szCs w:val="22"/>
        </w:rPr>
        <w:t>6</w:t>
      </w:r>
      <w:r>
        <w:rPr>
          <w:szCs w:val="22"/>
        </w:rPr>
        <w:t>.</w:t>
      </w:r>
    </w:p>
    <w:p w:rsidR="00012172" w:rsidRDefault="00012172">
      <w:pPr>
        <w:jc w:val="both"/>
      </w:pPr>
      <w:r>
        <w:t>(1) Kada su pojedina prometnica ili njen dio izgrađeni, izgradnja novih građevina može se dozvoliti i unutar planskog koridora uz suglasnost i posebne tehničke uvjete Hrvatske uprave za ceste ako se radi o državnoj cesti, uvjete Županijske uprave za ceste ako se radi o županijskoj i lokalnoj cesti, odnosno uz uvjete poglavarstva općine ako se radi o nerazvrstanoj prometnici.</w:t>
      </w:r>
    </w:p>
    <w:p w:rsidR="00012172" w:rsidRDefault="00012172">
      <w:pPr>
        <w:jc w:val="both"/>
      </w:pPr>
    </w:p>
    <w:p w:rsidR="00012172" w:rsidRDefault="00012172">
      <w:pPr>
        <w:jc w:val="both"/>
      </w:pPr>
      <w:r>
        <w:t>(2) Postojeće građevine unutar planskog koridora cesta, kao i građevine uz postojeće prometnice mogu se rekonstruirati na način da se ne smanjuje udaljenost između građevine i ceste.</w:t>
      </w:r>
    </w:p>
    <w:p w:rsidR="00012172" w:rsidRDefault="00012172">
      <w:pPr>
        <w:jc w:val="center"/>
        <w:rPr>
          <w:szCs w:val="22"/>
        </w:rPr>
      </w:pPr>
    </w:p>
    <w:p w:rsidR="00012172" w:rsidRDefault="00012172">
      <w:pPr>
        <w:jc w:val="center"/>
      </w:pPr>
      <w:r>
        <w:rPr>
          <w:szCs w:val="22"/>
        </w:rPr>
        <w:t>Č</w:t>
      </w:r>
      <w:r>
        <w:rPr>
          <w:szCs w:val="22"/>
          <w:lang w:val="de-DE"/>
        </w:rPr>
        <w:t>lanak</w:t>
      </w:r>
      <w:r w:rsidR="00F237BF">
        <w:rPr>
          <w:szCs w:val="22"/>
        </w:rPr>
        <w:t xml:space="preserve"> 87</w:t>
      </w:r>
      <w:r>
        <w:rPr>
          <w:szCs w:val="22"/>
        </w:rPr>
        <w:t>.</w:t>
      </w:r>
    </w:p>
    <w:p w:rsidR="00012172" w:rsidRDefault="00012172">
      <w:pPr>
        <w:jc w:val="both"/>
        <w:rPr>
          <w:szCs w:val="22"/>
        </w:rPr>
      </w:pPr>
      <w:r>
        <w:rPr>
          <w:szCs w:val="22"/>
        </w:rPr>
        <w:t xml:space="preserve">(1) </w:t>
      </w:r>
      <w:r>
        <w:rPr>
          <w:szCs w:val="22"/>
          <w:lang w:val="de-DE"/>
        </w:rPr>
        <w:t>Minimalna</w:t>
      </w:r>
      <w:r>
        <w:rPr>
          <w:szCs w:val="22"/>
        </w:rPr>
        <w:t xml:space="preserve"> </w:t>
      </w:r>
      <w:r>
        <w:rPr>
          <w:szCs w:val="22"/>
          <w:lang w:val="de-DE"/>
        </w:rPr>
        <w:t>udaljenost</w:t>
      </w:r>
      <w:r>
        <w:rPr>
          <w:szCs w:val="22"/>
        </w:rPr>
        <w:t xml:space="preserve"> </w:t>
      </w:r>
      <w:r>
        <w:rPr>
          <w:szCs w:val="22"/>
          <w:lang w:val="de-DE"/>
        </w:rPr>
        <w:t>regulacione</w:t>
      </w:r>
      <w:r>
        <w:rPr>
          <w:szCs w:val="22"/>
        </w:rPr>
        <w:t xml:space="preserve"> </w:t>
      </w:r>
      <w:r>
        <w:rPr>
          <w:szCs w:val="22"/>
          <w:lang w:val="de-DE"/>
        </w:rPr>
        <w:t>linije</w:t>
      </w:r>
      <w:r>
        <w:rPr>
          <w:szCs w:val="22"/>
        </w:rPr>
        <w:t xml:space="preserve"> </w:t>
      </w:r>
      <w:r>
        <w:rPr>
          <w:szCs w:val="22"/>
          <w:lang w:val="de-DE"/>
        </w:rPr>
        <w:t>od</w:t>
      </w:r>
      <w:r>
        <w:rPr>
          <w:szCs w:val="22"/>
        </w:rPr>
        <w:t xml:space="preserve"> </w:t>
      </w:r>
      <w:r>
        <w:rPr>
          <w:szCs w:val="22"/>
          <w:lang w:val="de-DE"/>
        </w:rPr>
        <w:t>ruba</w:t>
      </w:r>
      <w:r>
        <w:rPr>
          <w:szCs w:val="22"/>
        </w:rPr>
        <w:t xml:space="preserve"> </w:t>
      </w:r>
      <w:r>
        <w:rPr>
          <w:szCs w:val="22"/>
          <w:lang w:val="de-DE"/>
        </w:rPr>
        <w:t>kolnika</w:t>
      </w:r>
      <w:r>
        <w:rPr>
          <w:szCs w:val="22"/>
        </w:rPr>
        <w:t xml:space="preserve"> </w:t>
      </w:r>
      <w:r>
        <w:rPr>
          <w:szCs w:val="22"/>
          <w:lang w:val="de-DE"/>
        </w:rPr>
        <w:t>treba</w:t>
      </w:r>
      <w:r>
        <w:rPr>
          <w:szCs w:val="22"/>
        </w:rPr>
        <w:t xml:space="preserve"> </w:t>
      </w:r>
      <w:r>
        <w:rPr>
          <w:szCs w:val="22"/>
          <w:lang w:val="de-DE"/>
        </w:rPr>
        <w:t>osigurati</w:t>
      </w:r>
      <w:r>
        <w:rPr>
          <w:szCs w:val="22"/>
        </w:rPr>
        <w:t xml:space="preserve"> </w:t>
      </w:r>
      <w:r>
        <w:rPr>
          <w:szCs w:val="22"/>
          <w:lang w:val="de-DE"/>
        </w:rPr>
        <w:t>mogu</w:t>
      </w:r>
      <w:r>
        <w:rPr>
          <w:szCs w:val="22"/>
        </w:rPr>
        <w:t>ć</w:t>
      </w:r>
      <w:r>
        <w:rPr>
          <w:szCs w:val="22"/>
          <w:lang w:val="de-DE"/>
        </w:rPr>
        <w:t>nost</w:t>
      </w:r>
      <w:r>
        <w:rPr>
          <w:szCs w:val="22"/>
        </w:rPr>
        <w:t xml:space="preserve"> </w:t>
      </w:r>
      <w:r>
        <w:rPr>
          <w:szCs w:val="22"/>
          <w:lang w:val="de-DE"/>
        </w:rPr>
        <w:t>gradnje</w:t>
      </w:r>
      <w:r>
        <w:rPr>
          <w:szCs w:val="22"/>
        </w:rPr>
        <w:t xml:space="preserve"> </w:t>
      </w:r>
      <w:r>
        <w:rPr>
          <w:szCs w:val="22"/>
          <w:lang w:val="de-DE"/>
        </w:rPr>
        <w:t>odvodnog</w:t>
      </w:r>
      <w:r>
        <w:rPr>
          <w:szCs w:val="22"/>
        </w:rPr>
        <w:t xml:space="preserve"> </w:t>
      </w:r>
      <w:r>
        <w:rPr>
          <w:szCs w:val="22"/>
          <w:lang w:val="de-DE"/>
        </w:rPr>
        <w:t>jarka</w:t>
      </w:r>
      <w:r>
        <w:rPr>
          <w:szCs w:val="22"/>
        </w:rPr>
        <w:t xml:space="preserve">, </w:t>
      </w:r>
      <w:r>
        <w:rPr>
          <w:szCs w:val="22"/>
          <w:lang w:val="de-DE"/>
        </w:rPr>
        <w:t>usjeka</w:t>
      </w:r>
      <w:r>
        <w:rPr>
          <w:szCs w:val="22"/>
        </w:rPr>
        <w:t xml:space="preserve"> </w:t>
      </w:r>
      <w:r>
        <w:rPr>
          <w:szCs w:val="22"/>
          <w:lang w:val="de-DE"/>
        </w:rPr>
        <w:t>nasipa</w:t>
      </w:r>
      <w:r>
        <w:rPr>
          <w:szCs w:val="22"/>
        </w:rPr>
        <w:t xml:space="preserve">, </w:t>
      </w:r>
      <w:r>
        <w:rPr>
          <w:szCs w:val="22"/>
          <w:lang w:val="de-DE"/>
        </w:rPr>
        <w:t>bankine</w:t>
      </w:r>
      <w:r>
        <w:rPr>
          <w:szCs w:val="22"/>
        </w:rPr>
        <w:t xml:space="preserve">, </w:t>
      </w:r>
      <w:r>
        <w:rPr>
          <w:szCs w:val="22"/>
          <w:lang w:val="de-DE"/>
        </w:rPr>
        <w:t>biciklisti</w:t>
      </w:r>
      <w:r>
        <w:rPr>
          <w:szCs w:val="22"/>
        </w:rPr>
        <w:t>č</w:t>
      </w:r>
      <w:r>
        <w:rPr>
          <w:szCs w:val="22"/>
          <w:lang w:val="de-DE"/>
        </w:rPr>
        <w:t>ke</w:t>
      </w:r>
      <w:r>
        <w:rPr>
          <w:szCs w:val="22"/>
        </w:rPr>
        <w:t xml:space="preserve"> </w:t>
      </w:r>
      <w:r>
        <w:rPr>
          <w:szCs w:val="22"/>
          <w:lang w:val="de-DE"/>
        </w:rPr>
        <w:t>staze</w:t>
      </w:r>
      <w:r>
        <w:rPr>
          <w:szCs w:val="22"/>
        </w:rPr>
        <w:t xml:space="preserve"> </w:t>
      </w:r>
      <w:r>
        <w:rPr>
          <w:szCs w:val="22"/>
          <w:lang w:val="de-DE"/>
        </w:rPr>
        <w:t>i</w:t>
      </w:r>
      <w:r>
        <w:rPr>
          <w:szCs w:val="22"/>
        </w:rPr>
        <w:t xml:space="preserve"> </w:t>
      </w:r>
      <w:r>
        <w:rPr>
          <w:szCs w:val="22"/>
          <w:lang w:val="de-DE"/>
        </w:rPr>
        <w:t>nogostupa</w:t>
      </w:r>
      <w:r>
        <w:rPr>
          <w:szCs w:val="22"/>
        </w:rPr>
        <w:t xml:space="preserve">, </w:t>
      </w:r>
      <w:r>
        <w:rPr>
          <w:szCs w:val="22"/>
          <w:lang w:val="de-DE"/>
        </w:rPr>
        <w:t>a</w:t>
      </w:r>
      <w:r>
        <w:rPr>
          <w:szCs w:val="22"/>
        </w:rPr>
        <w:t xml:space="preserve"> </w:t>
      </w:r>
      <w:r>
        <w:rPr>
          <w:szCs w:val="22"/>
          <w:lang w:val="de-DE"/>
        </w:rPr>
        <w:t>ne</w:t>
      </w:r>
      <w:r>
        <w:rPr>
          <w:szCs w:val="22"/>
        </w:rPr>
        <w:t xml:space="preserve"> </w:t>
      </w:r>
      <w:r>
        <w:rPr>
          <w:szCs w:val="22"/>
          <w:lang w:val="de-DE"/>
        </w:rPr>
        <w:t>mo</w:t>
      </w:r>
      <w:r>
        <w:rPr>
          <w:szCs w:val="22"/>
        </w:rPr>
        <w:t>ž</w:t>
      </w:r>
      <w:r>
        <w:rPr>
          <w:szCs w:val="22"/>
          <w:lang w:val="de-DE"/>
        </w:rPr>
        <w:t>e</w:t>
      </w:r>
      <w:r>
        <w:rPr>
          <w:szCs w:val="22"/>
        </w:rPr>
        <w:t xml:space="preserve"> </w:t>
      </w:r>
      <w:r>
        <w:rPr>
          <w:szCs w:val="22"/>
          <w:lang w:val="de-DE"/>
        </w:rPr>
        <w:t>biti</w:t>
      </w:r>
      <w:r>
        <w:rPr>
          <w:szCs w:val="22"/>
        </w:rPr>
        <w:t xml:space="preserve"> </w:t>
      </w:r>
      <w:r>
        <w:rPr>
          <w:szCs w:val="22"/>
          <w:lang w:val="de-DE"/>
        </w:rPr>
        <w:t>manja</w:t>
      </w:r>
      <w:r>
        <w:rPr>
          <w:szCs w:val="22"/>
        </w:rPr>
        <w:t xml:space="preserve"> </w:t>
      </w:r>
      <w:r>
        <w:rPr>
          <w:szCs w:val="22"/>
          <w:lang w:val="de-DE"/>
        </w:rPr>
        <w:t>od</w:t>
      </w:r>
      <w:r>
        <w:rPr>
          <w:szCs w:val="22"/>
        </w:rPr>
        <w:t xml:space="preserve"> </w:t>
      </w:r>
      <w:r>
        <w:rPr>
          <w:szCs w:val="22"/>
          <w:lang w:val="de-DE"/>
        </w:rPr>
        <w:t>one</w:t>
      </w:r>
      <w:r>
        <w:rPr>
          <w:szCs w:val="22"/>
        </w:rPr>
        <w:t xml:space="preserve"> </w:t>
      </w:r>
      <w:r>
        <w:rPr>
          <w:szCs w:val="22"/>
          <w:lang w:val="de-DE"/>
        </w:rPr>
        <w:t>odre</w:t>
      </w:r>
      <w:r>
        <w:rPr>
          <w:szCs w:val="22"/>
        </w:rPr>
        <w:t>đ</w:t>
      </w:r>
      <w:r>
        <w:rPr>
          <w:szCs w:val="22"/>
          <w:lang w:val="de-DE"/>
        </w:rPr>
        <w:t>ene</w:t>
      </w:r>
      <w:r>
        <w:rPr>
          <w:szCs w:val="22"/>
        </w:rPr>
        <w:t xml:space="preserve"> </w:t>
      </w:r>
      <w:r>
        <w:rPr>
          <w:szCs w:val="22"/>
          <w:lang w:val="de-DE"/>
        </w:rPr>
        <w:t>zakonskim</w:t>
      </w:r>
      <w:r>
        <w:rPr>
          <w:szCs w:val="22"/>
        </w:rPr>
        <w:t xml:space="preserve"> </w:t>
      </w:r>
      <w:r>
        <w:rPr>
          <w:szCs w:val="22"/>
          <w:lang w:val="de-DE"/>
        </w:rPr>
        <w:t>propisima</w:t>
      </w:r>
      <w:r>
        <w:rPr>
          <w:szCs w:val="22"/>
        </w:rPr>
        <w:t>.</w:t>
      </w:r>
    </w:p>
    <w:p w:rsidR="00012172" w:rsidRDefault="00012172">
      <w:pPr>
        <w:ind w:firstLine="720"/>
        <w:jc w:val="both"/>
        <w:rPr>
          <w:rFonts w:ascii="Arial" w:hAnsi="Arial" w:cs="Arial"/>
          <w:sz w:val="22"/>
          <w:szCs w:val="22"/>
        </w:rPr>
      </w:pPr>
    </w:p>
    <w:p w:rsidR="00012172" w:rsidRDefault="00012172">
      <w:pPr>
        <w:jc w:val="both"/>
        <w:rPr>
          <w:szCs w:val="22"/>
        </w:rPr>
      </w:pPr>
      <w:r>
        <w:rPr>
          <w:szCs w:val="22"/>
        </w:rPr>
        <w:t xml:space="preserve">(2) </w:t>
      </w:r>
      <w:r>
        <w:rPr>
          <w:szCs w:val="22"/>
          <w:lang w:val="de-DE"/>
        </w:rPr>
        <w:t>Izuzetno</w:t>
      </w:r>
      <w:r>
        <w:rPr>
          <w:szCs w:val="22"/>
        </w:rPr>
        <w:t xml:space="preserve"> </w:t>
      </w:r>
      <w:r>
        <w:rPr>
          <w:szCs w:val="22"/>
          <w:lang w:val="de-DE"/>
        </w:rPr>
        <w:t>uz</w:t>
      </w:r>
      <w:r>
        <w:rPr>
          <w:szCs w:val="22"/>
        </w:rPr>
        <w:t xml:space="preserve"> </w:t>
      </w:r>
      <w:r>
        <w:rPr>
          <w:szCs w:val="22"/>
          <w:lang w:val="de-DE"/>
        </w:rPr>
        <w:t>kolnik</w:t>
      </w:r>
      <w:r>
        <w:rPr>
          <w:szCs w:val="22"/>
        </w:rPr>
        <w:t xml:space="preserve"> </w:t>
      </w:r>
      <w:r>
        <w:rPr>
          <w:szCs w:val="22"/>
          <w:lang w:val="de-DE"/>
        </w:rPr>
        <w:t>slijepe</w:t>
      </w:r>
      <w:r>
        <w:rPr>
          <w:szCs w:val="22"/>
        </w:rPr>
        <w:t xml:space="preserve"> </w:t>
      </w:r>
      <w:r>
        <w:rPr>
          <w:szCs w:val="22"/>
          <w:lang w:val="de-DE"/>
        </w:rPr>
        <w:t>ulice</w:t>
      </w:r>
      <w:r>
        <w:rPr>
          <w:szCs w:val="22"/>
        </w:rPr>
        <w:t xml:space="preserve"> </w:t>
      </w:r>
      <w:r>
        <w:rPr>
          <w:szCs w:val="22"/>
          <w:lang w:val="de-DE"/>
        </w:rPr>
        <w:t>mo</w:t>
      </w:r>
      <w:r>
        <w:rPr>
          <w:szCs w:val="22"/>
        </w:rPr>
        <w:t>ž</w:t>
      </w:r>
      <w:r>
        <w:rPr>
          <w:szCs w:val="22"/>
          <w:lang w:val="de-DE"/>
        </w:rPr>
        <w:t>e</w:t>
      </w:r>
      <w:r>
        <w:rPr>
          <w:szCs w:val="22"/>
        </w:rPr>
        <w:t xml:space="preserve"> </w:t>
      </w:r>
      <w:r>
        <w:rPr>
          <w:szCs w:val="22"/>
          <w:lang w:val="de-DE"/>
        </w:rPr>
        <w:t>se</w:t>
      </w:r>
      <w:r>
        <w:rPr>
          <w:szCs w:val="22"/>
        </w:rPr>
        <w:t xml:space="preserve"> </w:t>
      </w:r>
      <w:r>
        <w:rPr>
          <w:szCs w:val="22"/>
          <w:lang w:val="de-DE"/>
        </w:rPr>
        <w:t>osigurati</w:t>
      </w:r>
      <w:r>
        <w:rPr>
          <w:szCs w:val="22"/>
        </w:rPr>
        <w:t xml:space="preserve"> </w:t>
      </w:r>
      <w:r>
        <w:rPr>
          <w:szCs w:val="22"/>
          <w:lang w:val="de-DE"/>
        </w:rPr>
        <w:t>gradnja</w:t>
      </w:r>
      <w:r>
        <w:rPr>
          <w:szCs w:val="22"/>
        </w:rPr>
        <w:t xml:space="preserve"> </w:t>
      </w:r>
      <w:r>
        <w:rPr>
          <w:szCs w:val="22"/>
          <w:lang w:val="de-DE"/>
        </w:rPr>
        <w:t>nogostupa</w:t>
      </w:r>
      <w:r>
        <w:rPr>
          <w:szCs w:val="22"/>
        </w:rPr>
        <w:t xml:space="preserve"> </w:t>
      </w:r>
      <w:r>
        <w:rPr>
          <w:szCs w:val="22"/>
          <w:lang w:val="de-DE"/>
        </w:rPr>
        <w:t>samo</w:t>
      </w:r>
      <w:r>
        <w:rPr>
          <w:szCs w:val="22"/>
        </w:rPr>
        <w:t xml:space="preserve"> </w:t>
      </w:r>
      <w:r>
        <w:rPr>
          <w:szCs w:val="22"/>
          <w:lang w:val="de-DE"/>
        </w:rPr>
        <w:t>uz</w:t>
      </w:r>
      <w:r>
        <w:rPr>
          <w:szCs w:val="22"/>
        </w:rPr>
        <w:t xml:space="preserve"> </w:t>
      </w:r>
      <w:r>
        <w:rPr>
          <w:szCs w:val="22"/>
          <w:lang w:val="de-DE"/>
        </w:rPr>
        <w:t>jednu</w:t>
      </w:r>
      <w:r>
        <w:rPr>
          <w:szCs w:val="22"/>
        </w:rPr>
        <w:t xml:space="preserve"> </w:t>
      </w:r>
      <w:r>
        <w:rPr>
          <w:szCs w:val="22"/>
          <w:lang w:val="de-DE"/>
        </w:rPr>
        <w:t>njenu</w:t>
      </w:r>
      <w:r>
        <w:rPr>
          <w:szCs w:val="22"/>
        </w:rPr>
        <w:t xml:space="preserve"> </w:t>
      </w:r>
      <w:r>
        <w:rPr>
          <w:szCs w:val="22"/>
          <w:lang w:val="de-DE"/>
        </w:rPr>
        <w:t>stranu</w:t>
      </w:r>
      <w:r>
        <w:rPr>
          <w:szCs w:val="22"/>
        </w:rPr>
        <w:t xml:space="preserve">. </w:t>
      </w:r>
    </w:p>
    <w:p w:rsidR="00012172" w:rsidRDefault="00012172">
      <w:pPr>
        <w:jc w:val="both"/>
        <w:rPr>
          <w:szCs w:val="22"/>
        </w:rPr>
      </w:pPr>
    </w:p>
    <w:p w:rsidR="00012172" w:rsidRDefault="00012172">
      <w:pPr>
        <w:jc w:val="both"/>
        <w:rPr>
          <w:szCs w:val="22"/>
        </w:rPr>
      </w:pPr>
      <w:r>
        <w:rPr>
          <w:szCs w:val="22"/>
        </w:rPr>
        <w:t xml:space="preserve">(3) </w:t>
      </w:r>
      <w:r>
        <w:rPr>
          <w:szCs w:val="22"/>
          <w:lang w:val="de-DE"/>
        </w:rPr>
        <w:t>Ne</w:t>
      </w:r>
      <w:r>
        <w:rPr>
          <w:szCs w:val="22"/>
        </w:rPr>
        <w:t xml:space="preserve"> </w:t>
      </w:r>
      <w:r>
        <w:rPr>
          <w:szCs w:val="22"/>
          <w:lang w:val="de-DE"/>
        </w:rPr>
        <w:t>dozvoljava</w:t>
      </w:r>
      <w:r>
        <w:rPr>
          <w:szCs w:val="22"/>
        </w:rPr>
        <w:t xml:space="preserve"> </w:t>
      </w:r>
      <w:r>
        <w:rPr>
          <w:szCs w:val="22"/>
          <w:lang w:val="de-DE"/>
        </w:rPr>
        <w:t>se</w:t>
      </w:r>
      <w:r>
        <w:rPr>
          <w:szCs w:val="22"/>
        </w:rPr>
        <w:t xml:space="preserve"> </w:t>
      </w:r>
      <w:r>
        <w:rPr>
          <w:szCs w:val="22"/>
          <w:lang w:val="de-DE"/>
        </w:rPr>
        <w:t>gradnja</w:t>
      </w:r>
      <w:r>
        <w:rPr>
          <w:szCs w:val="22"/>
        </w:rPr>
        <w:t xml:space="preserve"> </w:t>
      </w:r>
      <w:r>
        <w:rPr>
          <w:szCs w:val="22"/>
          <w:lang w:val="de-DE"/>
        </w:rPr>
        <w:t>gra</w:t>
      </w:r>
      <w:r>
        <w:rPr>
          <w:szCs w:val="22"/>
        </w:rPr>
        <w:t>đ</w:t>
      </w:r>
      <w:r>
        <w:rPr>
          <w:szCs w:val="22"/>
          <w:lang w:val="de-DE"/>
        </w:rPr>
        <w:t>evina</w:t>
      </w:r>
      <w:r>
        <w:rPr>
          <w:szCs w:val="22"/>
        </w:rPr>
        <w:t xml:space="preserve">, </w:t>
      </w:r>
      <w:r>
        <w:rPr>
          <w:szCs w:val="22"/>
          <w:lang w:val="de-DE"/>
        </w:rPr>
        <w:t>zidova</w:t>
      </w:r>
      <w:r>
        <w:rPr>
          <w:szCs w:val="22"/>
        </w:rPr>
        <w:t xml:space="preserve"> </w:t>
      </w:r>
      <w:r>
        <w:rPr>
          <w:szCs w:val="22"/>
          <w:lang w:val="de-DE"/>
        </w:rPr>
        <w:t>i</w:t>
      </w:r>
      <w:r>
        <w:rPr>
          <w:szCs w:val="22"/>
        </w:rPr>
        <w:t xml:space="preserve"> </w:t>
      </w:r>
      <w:r>
        <w:rPr>
          <w:szCs w:val="22"/>
          <w:lang w:val="de-DE"/>
        </w:rPr>
        <w:t>ograda</w:t>
      </w:r>
      <w:r>
        <w:rPr>
          <w:szCs w:val="22"/>
        </w:rPr>
        <w:t xml:space="preserve">, </w:t>
      </w:r>
      <w:r>
        <w:rPr>
          <w:szCs w:val="22"/>
          <w:lang w:val="de-DE"/>
        </w:rPr>
        <w:t>te</w:t>
      </w:r>
      <w:r>
        <w:rPr>
          <w:szCs w:val="22"/>
        </w:rPr>
        <w:t xml:space="preserve"> </w:t>
      </w:r>
      <w:r>
        <w:rPr>
          <w:szCs w:val="22"/>
          <w:lang w:val="de-DE"/>
        </w:rPr>
        <w:t>podizanje</w:t>
      </w:r>
      <w:r>
        <w:rPr>
          <w:szCs w:val="22"/>
        </w:rPr>
        <w:t xml:space="preserve"> </w:t>
      </w:r>
      <w:r>
        <w:rPr>
          <w:szCs w:val="22"/>
          <w:lang w:val="de-DE"/>
        </w:rPr>
        <w:t>nasada</w:t>
      </w:r>
      <w:r>
        <w:rPr>
          <w:szCs w:val="22"/>
        </w:rPr>
        <w:t xml:space="preserve"> </w:t>
      </w:r>
      <w:r>
        <w:rPr>
          <w:szCs w:val="22"/>
          <w:lang w:val="de-DE"/>
        </w:rPr>
        <w:t>koji</w:t>
      </w:r>
      <w:r>
        <w:rPr>
          <w:szCs w:val="22"/>
        </w:rPr>
        <w:t xml:space="preserve"> </w:t>
      </w:r>
      <w:r>
        <w:rPr>
          <w:szCs w:val="22"/>
          <w:lang w:val="de-DE"/>
        </w:rPr>
        <w:t>spre</w:t>
      </w:r>
      <w:r>
        <w:rPr>
          <w:szCs w:val="22"/>
        </w:rPr>
        <w:t>č</w:t>
      </w:r>
      <w:r>
        <w:rPr>
          <w:szCs w:val="22"/>
          <w:lang w:val="de-DE"/>
        </w:rPr>
        <w:t>avaju</w:t>
      </w:r>
      <w:r>
        <w:rPr>
          <w:szCs w:val="22"/>
        </w:rPr>
        <w:t xml:space="preserve"> </w:t>
      </w:r>
      <w:r>
        <w:rPr>
          <w:szCs w:val="22"/>
          <w:lang w:val="de-DE"/>
        </w:rPr>
        <w:t>pro</w:t>
      </w:r>
      <w:r>
        <w:rPr>
          <w:szCs w:val="22"/>
        </w:rPr>
        <w:t>š</w:t>
      </w:r>
      <w:r>
        <w:rPr>
          <w:szCs w:val="22"/>
          <w:lang w:val="de-DE"/>
        </w:rPr>
        <w:t>irivanje</w:t>
      </w:r>
      <w:r>
        <w:rPr>
          <w:szCs w:val="22"/>
        </w:rPr>
        <w:t xml:space="preserve"> </w:t>
      </w:r>
      <w:r>
        <w:rPr>
          <w:szCs w:val="22"/>
          <w:lang w:val="de-DE"/>
        </w:rPr>
        <w:t>previ</w:t>
      </w:r>
      <w:r>
        <w:rPr>
          <w:szCs w:val="22"/>
        </w:rPr>
        <w:t>š</w:t>
      </w:r>
      <w:r>
        <w:rPr>
          <w:szCs w:val="22"/>
          <w:lang w:val="de-DE"/>
        </w:rPr>
        <w:t>e</w:t>
      </w:r>
      <w:r>
        <w:rPr>
          <w:szCs w:val="22"/>
        </w:rPr>
        <w:t xml:space="preserve"> </w:t>
      </w:r>
      <w:r>
        <w:rPr>
          <w:szCs w:val="22"/>
          <w:lang w:val="de-DE"/>
        </w:rPr>
        <w:t>uskih</w:t>
      </w:r>
      <w:r>
        <w:rPr>
          <w:szCs w:val="22"/>
        </w:rPr>
        <w:t xml:space="preserve"> </w:t>
      </w:r>
      <w:r>
        <w:rPr>
          <w:szCs w:val="22"/>
          <w:lang w:val="de-DE"/>
        </w:rPr>
        <w:t>ulica</w:t>
      </w:r>
      <w:r>
        <w:rPr>
          <w:szCs w:val="22"/>
        </w:rPr>
        <w:t xml:space="preserve">, </w:t>
      </w:r>
      <w:r>
        <w:rPr>
          <w:szCs w:val="22"/>
          <w:lang w:val="de-DE"/>
        </w:rPr>
        <w:t>uklanjanje</w:t>
      </w:r>
      <w:r>
        <w:rPr>
          <w:szCs w:val="22"/>
        </w:rPr>
        <w:t xml:space="preserve"> </w:t>
      </w:r>
      <w:r>
        <w:rPr>
          <w:szCs w:val="22"/>
          <w:lang w:val="de-DE"/>
        </w:rPr>
        <w:t>o</w:t>
      </w:r>
      <w:r>
        <w:rPr>
          <w:szCs w:val="22"/>
        </w:rPr>
        <w:t>š</w:t>
      </w:r>
      <w:r>
        <w:rPr>
          <w:szCs w:val="22"/>
          <w:lang w:val="de-DE"/>
        </w:rPr>
        <w:t>trih</w:t>
      </w:r>
      <w:r>
        <w:rPr>
          <w:szCs w:val="22"/>
        </w:rPr>
        <w:t xml:space="preserve"> </w:t>
      </w:r>
      <w:r>
        <w:rPr>
          <w:szCs w:val="22"/>
          <w:lang w:val="de-DE"/>
        </w:rPr>
        <w:t>zavoja</w:t>
      </w:r>
      <w:r>
        <w:rPr>
          <w:szCs w:val="22"/>
        </w:rPr>
        <w:t xml:space="preserve">, </w:t>
      </w:r>
      <w:r>
        <w:rPr>
          <w:szCs w:val="22"/>
          <w:lang w:val="de-DE"/>
        </w:rPr>
        <w:t>te</w:t>
      </w:r>
      <w:r>
        <w:rPr>
          <w:szCs w:val="22"/>
        </w:rPr>
        <w:t xml:space="preserve"> </w:t>
      </w:r>
      <w:r>
        <w:rPr>
          <w:szCs w:val="22"/>
          <w:lang w:val="de-DE"/>
        </w:rPr>
        <w:t>zatvaraju</w:t>
      </w:r>
      <w:r>
        <w:rPr>
          <w:szCs w:val="22"/>
        </w:rPr>
        <w:t xml:space="preserve"> </w:t>
      </w:r>
      <w:r>
        <w:rPr>
          <w:szCs w:val="22"/>
          <w:lang w:val="de-DE"/>
        </w:rPr>
        <w:t>vidno</w:t>
      </w:r>
      <w:r>
        <w:rPr>
          <w:szCs w:val="22"/>
        </w:rPr>
        <w:t xml:space="preserve"> </w:t>
      </w:r>
      <w:r>
        <w:rPr>
          <w:szCs w:val="22"/>
          <w:lang w:val="de-DE"/>
        </w:rPr>
        <w:t>polje</w:t>
      </w:r>
      <w:r>
        <w:rPr>
          <w:szCs w:val="22"/>
        </w:rPr>
        <w:t xml:space="preserve"> </w:t>
      </w:r>
      <w:r>
        <w:rPr>
          <w:szCs w:val="22"/>
          <w:lang w:val="de-DE"/>
        </w:rPr>
        <w:t>voza</w:t>
      </w:r>
      <w:r>
        <w:rPr>
          <w:szCs w:val="22"/>
        </w:rPr>
        <w:t>č</w:t>
      </w:r>
      <w:r>
        <w:rPr>
          <w:szCs w:val="22"/>
          <w:lang w:val="de-DE"/>
        </w:rPr>
        <w:t>a</w:t>
      </w:r>
      <w:r>
        <w:rPr>
          <w:szCs w:val="22"/>
        </w:rPr>
        <w:t xml:space="preserve"> </w:t>
      </w:r>
      <w:r>
        <w:rPr>
          <w:szCs w:val="22"/>
          <w:lang w:val="de-DE"/>
        </w:rPr>
        <w:t>i</w:t>
      </w:r>
      <w:r>
        <w:rPr>
          <w:szCs w:val="22"/>
        </w:rPr>
        <w:t xml:space="preserve"> </w:t>
      </w:r>
      <w:r>
        <w:rPr>
          <w:szCs w:val="22"/>
          <w:lang w:val="de-DE"/>
        </w:rPr>
        <w:t>time</w:t>
      </w:r>
      <w:r>
        <w:rPr>
          <w:szCs w:val="22"/>
        </w:rPr>
        <w:t xml:space="preserve"> </w:t>
      </w:r>
      <w:r>
        <w:rPr>
          <w:szCs w:val="22"/>
          <w:lang w:val="de-DE"/>
        </w:rPr>
        <w:t>ometaju</w:t>
      </w:r>
      <w:r>
        <w:rPr>
          <w:szCs w:val="22"/>
        </w:rPr>
        <w:t xml:space="preserve"> </w:t>
      </w:r>
      <w:r>
        <w:rPr>
          <w:szCs w:val="22"/>
          <w:lang w:val="de-DE"/>
        </w:rPr>
        <w:t>promet</w:t>
      </w:r>
      <w:r>
        <w:rPr>
          <w:szCs w:val="22"/>
        </w:rPr>
        <w:t>.</w:t>
      </w:r>
    </w:p>
    <w:p w:rsidR="00012172" w:rsidRDefault="00012172">
      <w:pPr>
        <w:jc w:val="center"/>
      </w:pPr>
    </w:p>
    <w:p w:rsidR="00012172" w:rsidRDefault="00012172">
      <w:pPr>
        <w:jc w:val="center"/>
        <w:rPr>
          <w:szCs w:val="22"/>
        </w:rPr>
      </w:pPr>
      <w:r>
        <w:rPr>
          <w:szCs w:val="22"/>
        </w:rPr>
        <w:t>Č</w:t>
      </w:r>
      <w:r>
        <w:rPr>
          <w:szCs w:val="22"/>
          <w:lang w:val="de-DE"/>
        </w:rPr>
        <w:t>lanak</w:t>
      </w:r>
      <w:r w:rsidR="00F237BF">
        <w:rPr>
          <w:szCs w:val="22"/>
        </w:rPr>
        <w:t xml:space="preserve"> 88</w:t>
      </w:r>
      <w:r>
        <w:rPr>
          <w:szCs w:val="22"/>
        </w:rPr>
        <w:t>.</w:t>
      </w:r>
    </w:p>
    <w:p w:rsidR="00012172" w:rsidRDefault="00012172">
      <w:pPr>
        <w:jc w:val="both"/>
        <w:rPr>
          <w:szCs w:val="22"/>
        </w:rPr>
      </w:pPr>
      <w:r>
        <w:rPr>
          <w:szCs w:val="22"/>
        </w:rPr>
        <w:t xml:space="preserve">(1) </w:t>
      </w:r>
      <w:r>
        <w:rPr>
          <w:szCs w:val="22"/>
          <w:lang w:val="de-DE"/>
        </w:rPr>
        <w:t>Sve</w:t>
      </w:r>
      <w:r>
        <w:rPr>
          <w:szCs w:val="22"/>
        </w:rPr>
        <w:t xml:space="preserve"> </w:t>
      </w:r>
      <w:r>
        <w:rPr>
          <w:szCs w:val="22"/>
          <w:lang w:val="de-DE"/>
        </w:rPr>
        <w:t>prometne</w:t>
      </w:r>
      <w:r>
        <w:rPr>
          <w:szCs w:val="22"/>
        </w:rPr>
        <w:t xml:space="preserve"> </w:t>
      </w:r>
      <w:r>
        <w:rPr>
          <w:szCs w:val="22"/>
          <w:lang w:val="de-DE"/>
        </w:rPr>
        <w:t>povr</w:t>
      </w:r>
      <w:r>
        <w:rPr>
          <w:szCs w:val="22"/>
        </w:rPr>
        <w:t>š</w:t>
      </w:r>
      <w:r>
        <w:rPr>
          <w:szCs w:val="22"/>
          <w:lang w:val="de-DE"/>
        </w:rPr>
        <w:t>ine</w:t>
      </w:r>
      <w:r>
        <w:rPr>
          <w:szCs w:val="22"/>
        </w:rPr>
        <w:t xml:space="preserve"> </w:t>
      </w:r>
      <w:r>
        <w:rPr>
          <w:szCs w:val="22"/>
          <w:lang w:val="de-DE"/>
        </w:rPr>
        <w:t>trebaju</w:t>
      </w:r>
      <w:r>
        <w:rPr>
          <w:szCs w:val="22"/>
        </w:rPr>
        <w:t xml:space="preserve"> </w:t>
      </w:r>
      <w:r>
        <w:rPr>
          <w:szCs w:val="22"/>
          <w:lang w:val="de-DE"/>
        </w:rPr>
        <w:t>biti</w:t>
      </w:r>
      <w:r>
        <w:rPr>
          <w:szCs w:val="22"/>
        </w:rPr>
        <w:t xml:space="preserve"> </w:t>
      </w:r>
      <w:r>
        <w:rPr>
          <w:szCs w:val="22"/>
          <w:lang w:val="de-DE"/>
        </w:rPr>
        <w:t>izvedene</w:t>
      </w:r>
      <w:r>
        <w:rPr>
          <w:szCs w:val="22"/>
        </w:rPr>
        <w:t xml:space="preserve"> </w:t>
      </w:r>
      <w:r>
        <w:rPr>
          <w:szCs w:val="22"/>
          <w:lang w:val="de-DE"/>
        </w:rPr>
        <w:t>bez</w:t>
      </w:r>
      <w:r>
        <w:rPr>
          <w:szCs w:val="22"/>
        </w:rPr>
        <w:t xml:space="preserve"> </w:t>
      </w:r>
      <w:r>
        <w:rPr>
          <w:szCs w:val="22"/>
          <w:lang w:val="de-DE"/>
        </w:rPr>
        <w:t>arhitektonskih</w:t>
      </w:r>
      <w:r>
        <w:rPr>
          <w:szCs w:val="22"/>
        </w:rPr>
        <w:t xml:space="preserve"> </w:t>
      </w:r>
      <w:r>
        <w:rPr>
          <w:szCs w:val="22"/>
          <w:lang w:val="de-DE"/>
        </w:rPr>
        <w:t>barijera</w:t>
      </w:r>
      <w:r>
        <w:rPr>
          <w:szCs w:val="22"/>
        </w:rPr>
        <w:t xml:space="preserve"> </w:t>
      </w:r>
      <w:r>
        <w:rPr>
          <w:szCs w:val="22"/>
          <w:lang w:val="de-DE"/>
        </w:rPr>
        <w:t>tako</w:t>
      </w:r>
      <w:r>
        <w:rPr>
          <w:szCs w:val="22"/>
        </w:rPr>
        <w:t xml:space="preserve"> </w:t>
      </w:r>
      <w:r>
        <w:rPr>
          <w:szCs w:val="22"/>
          <w:lang w:val="de-DE"/>
        </w:rPr>
        <w:t>da</w:t>
      </w:r>
      <w:r>
        <w:rPr>
          <w:szCs w:val="22"/>
        </w:rPr>
        <w:t xml:space="preserve"> </w:t>
      </w:r>
      <w:r>
        <w:rPr>
          <w:szCs w:val="22"/>
          <w:lang w:val="de-DE"/>
        </w:rPr>
        <w:t>na</w:t>
      </w:r>
      <w:r>
        <w:rPr>
          <w:szCs w:val="22"/>
        </w:rPr>
        <w:t xml:space="preserve"> </w:t>
      </w:r>
      <w:r>
        <w:rPr>
          <w:szCs w:val="22"/>
          <w:lang w:val="de-DE"/>
        </w:rPr>
        <w:t>njima</w:t>
      </w:r>
      <w:r>
        <w:rPr>
          <w:szCs w:val="22"/>
        </w:rPr>
        <w:t xml:space="preserve"> </w:t>
      </w:r>
      <w:r>
        <w:rPr>
          <w:szCs w:val="22"/>
          <w:lang w:val="de-DE"/>
        </w:rPr>
        <w:t>nema</w:t>
      </w:r>
      <w:r>
        <w:rPr>
          <w:szCs w:val="22"/>
        </w:rPr>
        <w:t xml:space="preserve"> </w:t>
      </w:r>
      <w:r>
        <w:rPr>
          <w:szCs w:val="22"/>
          <w:lang w:val="de-DE"/>
        </w:rPr>
        <w:t>zapreka</w:t>
      </w:r>
      <w:r>
        <w:rPr>
          <w:szCs w:val="22"/>
        </w:rPr>
        <w:t xml:space="preserve"> </w:t>
      </w:r>
      <w:r>
        <w:rPr>
          <w:szCs w:val="22"/>
          <w:lang w:val="de-DE"/>
        </w:rPr>
        <w:t>za</w:t>
      </w:r>
      <w:r>
        <w:rPr>
          <w:szCs w:val="22"/>
        </w:rPr>
        <w:t xml:space="preserve"> </w:t>
      </w:r>
      <w:r>
        <w:rPr>
          <w:szCs w:val="22"/>
          <w:lang w:val="de-DE"/>
        </w:rPr>
        <w:t>kretanje</w:t>
      </w:r>
      <w:r>
        <w:rPr>
          <w:szCs w:val="22"/>
        </w:rPr>
        <w:t xml:space="preserve"> </w:t>
      </w:r>
      <w:r>
        <w:rPr>
          <w:szCs w:val="22"/>
          <w:lang w:val="de-DE"/>
        </w:rPr>
        <w:t>niti</w:t>
      </w:r>
      <w:r>
        <w:rPr>
          <w:szCs w:val="22"/>
        </w:rPr>
        <w:t xml:space="preserve"> </w:t>
      </w:r>
      <w:r>
        <w:rPr>
          <w:szCs w:val="22"/>
          <w:lang w:val="de-DE"/>
        </w:rPr>
        <w:t>jedne</w:t>
      </w:r>
      <w:r>
        <w:rPr>
          <w:szCs w:val="22"/>
        </w:rPr>
        <w:t xml:space="preserve"> </w:t>
      </w:r>
      <w:r>
        <w:rPr>
          <w:szCs w:val="22"/>
          <w:lang w:val="de-DE"/>
        </w:rPr>
        <w:t>kategorije</w:t>
      </w:r>
      <w:r>
        <w:rPr>
          <w:szCs w:val="22"/>
        </w:rPr>
        <w:t xml:space="preserve"> </w:t>
      </w:r>
      <w:r>
        <w:rPr>
          <w:szCs w:val="22"/>
          <w:lang w:val="de-DE"/>
        </w:rPr>
        <w:t>stanovni</w:t>
      </w:r>
      <w:r>
        <w:rPr>
          <w:szCs w:val="22"/>
        </w:rPr>
        <w:t>š</w:t>
      </w:r>
      <w:r>
        <w:rPr>
          <w:szCs w:val="22"/>
          <w:lang w:val="de-DE"/>
        </w:rPr>
        <w:t>tva</w:t>
      </w:r>
      <w:r>
        <w:rPr>
          <w:szCs w:val="22"/>
        </w:rPr>
        <w:t>.</w:t>
      </w:r>
    </w:p>
    <w:p w:rsidR="00012172" w:rsidRDefault="00012172"/>
    <w:p w:rsidR="00012172" w:rsidRDefault="00012172">
      <w:pPr>
        <w:jc w:val="center"/>
        <w:rPr>
          <w:szCs w:val="22"/>
        </w:rPr>
      </w:pPr>
      <w:r>
        <w:rPr>
          <w:szCs w:val="22"/>
        </w:rPr>
        <w:t>Č</w:t>
      </w:r>
      <w:r>
        <w:rPr>
          <w:szCs w:val="22"/>
          <w:lang w:val="de-DE"/>
        </w:rPr>
        <w:t>lanak</w:t>
      </w:r>
      <w:r w:rsidR="00F237BF">
        <w:rPr>
          <w:szCs w:val="22"/>
        </w:rPr>
        <w:t xml:space="preserve"> 89</w:t>
      </w:r>
      <w:r>
        <w:rPr>
          <w:szCs w:val="22"/>
        </w:rPr>
        <w:t>.</w:t>
      </w:r>
    </w:p>
    <w:p w:rsidR="00012172" w:rsidRDefault="00012172">
      <w:pPr>
        <w:jc w:val="both"/>
        <w:rPr>
          <w:szCs w:val="22"/>
        </w:rPr>
      </w:pPr>
      <w:r>
        <w:rPr>
          <w:szCs w:val="22"/>
        </w:rPr>
        <w:t xml:space="preserve">(1) </w:t>
      </w:r>
      <w:r>
        <w:rPr>
          <w:szCs w:val="22"/>
          <w:lang w:val="de-DE"/>
        </w:rPr>
        <w:t>Pojedine</w:t>
      </w:r>
      <w:r>
        <w:rPr>
          <w:szCs w:val="22"/>
        </w:rPr>
        <w:t xml:space="preserve"> </w:t>
      </w:r>
      <w:r>
        <w:rPr>
          <w:szCs w:val="22"/>
          <w:lang w:val="de-DE"/>
        </w:rPr>
        <w:t>ulice</w:t>
      </w:r>
      <w:r>
        <w:rPr>
          <w:szCs w:val="22"/>
        </w:rPr>
        <w:t xml:space="preserve"> </w:t>
      </w:r>
      <w:r>
        <w:rPr>
          <w:szCs w:val="22"/>
          <w:lang w:val="de-DE"/>
        </w:rPr>
        <w:t>potrebno</w:t>
      </w:r>
      <w:r>
        <w:rPr>
          <w:szCs w:val="22"/>
        </w:rPr>
        <w:t xml:space="preserve"> </w:t>
      </w:r>
      <w:r>
        <w:rPr>
          <w:szCs w:val="22"/>
          <w:lang w:val="de-DE"/>
        </w:rPr>
        <w:t>je</w:t>
      </w:r>
      <w:r>
        <w:rPr>
          <w:szCs w:val="22"/>
        </w:rPr>
        <w:t xml:space="preserve"> </w:t>
      </w:r>
      <w:r>
        <w:rPr>
          <w:szCs w:val="22"/>
          <w:lang w:val="de-DE"/>
        </w:rPr>
        <w:t>predvidjeti</w:t>
      </w:r>
      <w:r>
        <w:rPr>
          <w:szCs w:val="22"/>
        </w:rPr>
        <w:t xml:space="preserve"> </w:t>
      </w:r>
      <w:r>
        <w:rPr>
          <w:szCs w:val="22"/>
          <w:lang w:val="de-DE"/>
        </w:rPr>
        <w:t>za</w:t>
      </w:r>
      <w:r>
        <w:rPr>
          <w:szCs w:val="22"/>
        </w:rPr>
        <w:t xml:space="preserve"> </w:t>
      </w:r>
      <w:r>
        <w:rPr>
          <w:szCs w:val="22"/>
          <w:lang w:val="de-DE"/>
        </w:rPr>
        <w:t>javni</w:t>
      </w:r>
      <w:r>
        <w:rPr>
          <w:szCs w:val="22"/>
        </w:rPr>
        <w:t xml:space="preserve"> </w:t>
      </w:r>
      <w:r>
        <w:rPr>
          <w:szCs w:val="22"/>
          <w:lang w:val="de-DE"/>
        </w:rPr>
        <w:t>prijevoz</w:t>
      </w:r>
      <w:r>
        <w:rPr>
          <w:szCs w:val="22"/>
        </w:rPr>
        <w:t xml:space="preserve">. </w:t>
      </w:r>
      <w:r>
        <w:rPr>
          <w:szCs w:val="22"/>
          <w:lang w:val="de-DE"/>
        </w:rPr>
        <w:t>Na</w:t>
      </w:r>
      <w:r>
        <w:rPr>
          <w:szCs w:val="22"/>
        </w:rPr>
        <w:t xml:space="preserve"> </w:t>
      </w:r>
      <w:r>
        <w:rPr>
          <w:szCs w:val="22"/>
          <w:lang w:val="de-DE"/>
        </w:rPr>
        <w:t>odgovaraju</w:t>
      </w:r>
      <w:r>
        <w:rPr>
          <w:szCs w:val="22"/>
        </w:rPr>
        <w:t>ć</w:t>
      </w:r>
      <w:r>
        <w:rPr>
          <w:szCs w:val="22"/>
          <w:lang w:val="de-DE"/>
        </w:rPr>
        <w:t>im</w:t>
      </w:r>
      <w:r>
        <w:rPr>
          <w:szCs w:val="22"/>
        </w:rPr>
        <w:t xml:space="preserve"> </w:t>
      </w:r>
      <w:r>
        <w:rPr>
          <w:szCs w:val="22"/>
          <w:lang w:val="de-DE"/>
        </w:rPr>
        <w:t>mjestima</w:t>
      </w:r>
      <w:r>
        <w:rPr>
          <w:szCs w:val="22"/>
        </w:rPr>
        <w:t xml:space="preserve"> </w:t>
      </w:r>
      <w:r>
        <w:rPr>
          <w:szCs w:val="22"/>
          <w:lang w:val="de-DE"/>
        </w:rPr>
        <w:t>potrebno</w:t>
      </w:r>
      <w:r>
        <w:rPr>
          <w:szCs w:val="22"/>
        </w:rPr>
        <w:t xml:space="preserve"> </w:t>
      </w:r>
      <w:r>
        <w:rPr>
          <w:szCs w:val="22"/>
          <w:lang w:val="de-DE"/>
        </w:rPr>
        <w:t>je</w:t>
      </w:r>
      <w:r>
        <w:rPr>
          <w:szCs w:val="22"/>
        </w:rPr>
        <w:t xml:space="preserve"> </w:t>
      </w:r>
      <w:r>
        <w:rPr>
          <w:szCs w:val="22"/>
          <w:lang w:val="de-DE"/>
        </w:rPr>
        <w:t>predvidjeti</w:t>
      </w:r>
      <w:r>
        <w:rPr>
          <w:szCs w:val="22"/>
        </w:rPr>
        <w:t xml:space="preserve"> </w:t>
      </w:r>
      <w:r>
        <w:rPr>
          <w:szCs w:val="22"/>
          <w:lang w:val="de-DE"/>
        </w:rPr>
        <w:t>pro</w:t>
      </w:r>
      <w:r>
        <w:rPr>
          <w:szCs w:val="22"/>
        </w:rPr>
        <w:t>š</w:t>
      </w:r>
      <w:r>
        <w:rPr>
          <w:szCs w:val="22"/>
          <w:lang w:val="de-DE"/>
        </w:rPr>
        <w:t>irenja</w:t>
      </w:r>
      <w:r>
        <w:rPr>
          <w:szCs w:val="22"/>
        </w:rPr>
        <w:t xml:space="preserve"> </w:t>
      </w:r>
      <w:r>
        <w:rPr>
          <w:szCs w:val="22"/>
          <w:lang w:val="de-DE"/>
        </w:rPr>
        <w:t>za</w:t>
      </w:r>
      <w:r>
        <w:rPr>
          <w:szCs w:val="22"/>
        </w:rPr>
        <w:t xml:space="preserve"> </w:t>
      </w:r>
      <w:r>
        <w:rPr>
          <w:szCs w:val="22"/>
          <w:lang w:val="de-DE"/>
        </w:rPr>
        <w:t>stajali</w:t>
      </w:r>
      <w:r>
        <w:rPr>
          <w:szCs w:val="22"/>
        </w:rPr>
        <w:t>š</w:t>
      </w:r>
      <w:r>
        <w:rPr>
          <w:szCs w:val="22"/>
          <w:lang w:val="de-DE"/>
        </w:rPr>
        <w:t>ta</w:t>
      </w:r>
      <w:r>
        <w:rPr>
          <w:szCs w:val="22"/>
        </w:rPr>
        <w:t xml:space="preserve"> </w:t>
      </w:r>
      <w:r>
        <w:rPr>
          <w:szCs w:val="22"/>
          <w:lang w:val="de-DE"/>
        </w:rPr>
        <w:t>s</w:t>
      </w:r>
      <w:r>
        <w:rPr>
          <w:szCs w:val="22"/>
        </w:rPr>
        <w:t xml:space="preserve"> </w:t>
      </w:r>
      <w:r>
        <w:rPr>
          <w:szCs w:val="22"/>
          <w:lang w:val="de-DE"/>
        </w:rPr>
        <w:t>nadstre</w:t>
      </w:r>
      <w:r>
        <w:rPr>
          <w:szCs w:val="22"/>
        </w:rPr>
        <w:t>š</w:t>
      </w:r>
      <w:r>
        <w:rPr>
          <w:szCs w:val="22"/>
          <w:lang w:val="de-DE"/>
        </w:rPr>
        <w:t>nicama</w:t>
      </w:r>
      <w:r>
        <w:rPr>
          <w:szCs w:val="22"/>
        </w:rPr>
        <w:t xml:space="preserve"> </w:t>
      </w:r>
      <w:r>
        <w:rPr>
          <w:szCs w:val="22"/>
          <w:lang w:val="de-DE"/>
        </w:rPr>
        <w:t>za</w:t>
      </w:r>
      <w:r>
        <w:rPr>
          <w:szCs w:val="22"/>
        </w:rPr>
        <w:t xml:space="preserve"> </w:t>
      </w:r>
      <w:r>
        <w:rPr>
          <w:szCs w:val="22"/>
          <w:lang w:val="de-DE"/>
        </w:rPr>
        <w:t>putnike</w:t>
      </w:r>
      <w:r>
        <w:rPr>
          <w:szCs w:val="22"/>
        </w:rPr>
        <w:t>.</w:t>
      </w:r>
    </w:p>
    <w:p w:rsidR="00012172" w:rsidRDefault="00012172">
      <w:pPr>
        <w:ind w:firstLine="720"/>
        <w:jc w:val="both"/>
      </w:pPr>
    </w:p>
    <w:p w:rsidR="00012172" w:rsidRDefault="00012172">
      <w:pPr>
        <w:jc w:val="center"/>
      </w:pPr>
      <w:r>
        <w:rPr>
          <w:szCs w:val="22"/>
        </w:rPr>
        <w:t>Č</w:t>
      </w:r>
      <w:r>
        <w:rPr>
          <w:szCs w:val="22"/>
          <w:lang w:val="de-DE"/>
        </w:rPr>
        <w:t>lanak</w:t>
      </w:r>
      <w:r w:rsidR="00F237BF">
        <w:rPr>
          <w:szCs w:val="22"/>
        </w:rPr>
        <w:t xml:space="preserve"> 90</w:t>
      </w:r>
      <w:r>
        <w:rPr>
          <w:szCs w:val="22"/>
        </w:rPr>
        <w:t>.</w:t>
      </w:r>
    </w:p>
    <w:p w:rsidR="00012172" w:rsidRDefault="00012172">
      <w:pPr>
        <w:jc w:val="both"/>
        <w:rPr>
          <w:szCs w:val="22"/>
        </w:rPr>
      </w:pPr>
      <w:r>
        <w:rPr>
          <w:szCs w:val="22"/>
        </w:rPr>
        <w:t xml:space="preserve">(1) </w:t>
      </w:r>
      <w:r>
        <w:rPr>
          <w:szCs w:val="22"/>
          <w:lang w:val="de-DE"/>
        </w:rPr>
        <w:t>Uz</w:t>
      </w:r>
      <w:r>
        <w:rPr>
          <w:szCs w:val="22"/>
        </w:rPr>
        <w:t xml:space="preserve"> </w:t>
      </w:r>
      <w:r>
        <w:rPr>
          <w:szCs w:val="22"/>
          <w:lang w:val="de-DE"/>
        </w:rPr>
        <w:t>sve</w:t>
      </w:r>
      <w:r>
        <w:rPr>
          <w:szCs w:val="22"/>
        </w:rPr>
        <w:t xml:space="preserve"> </w:t>
      </w:r>
      <w:r>
        <w:rPr>
          <w:szCs w:val="22"/>
          <w:lang w:val="de-DE"/>
        </w:rPr>
        <w:t>prometnice</w:t>
      </w:r>
      <w:r>
        <w:rPr>
          <w:szCs w:val="22"/>
        </w:rPr>
        <w:t xml:space="preserve"> </w:t>
      </w:r>
      <w:r>
        <w:rPr>
          <w:szCs w:val="22"/>
          <w:lang w:val="de-DE"/>
        </w:rPr>
        <w:t>u</w:t>
      </w:r>
      <w:r>
        <w:rPr>
          <w:szCs w:val="22"/>
        </w:rPr>
        <w:t xml:space="preserve"> </w:t>
      </w:r>
      <w:r>
        <w:rPr>
          <w:szCs w:val="22"/>
          <w:lang w:val="de-DE"/>
        </w:rPr>
        <w:t>naseljima</w:t>
      </w:r>
      <w:r>
        <w:rPr>
          <w:szCs w:val="22"/>
        </w:rPr>
        <w:t xml:space="preserve"> </w:t>
      </w:r>
      <w:r>
        <w:rPr>
          <w:szCs w:val="22"/>
          <w:lang w:val="de-DE"/>
        </w:rPr>
        <w:t>potrebno</w:t>
      </w:r>
      <w:r>
        <w:rPr>
          <w:szCs w:val="22"/>
        </w:rPr>
        <w:t xml:space="preserve"> </w:t>
      </w:r>
      <w:r>
        <w:rPr>
          <w:szCs w:val="22"/>
          <w:lang w:val="de-DE"/>
        </w:rPr>
        <w:t>je</w:t>
      </w:r>
      <w:r>
        <w:rPr>
          <w:szCs w:val="22"/>
        </w:rPr>
        <w:t xml:space="preserve"> </w:t>
      </w:r>
      <w:r>
        <w:rPr>
          <w:szCs w:val="22"/>
          <w:lang w:val="de-DE"/>
        </w:rPr>
        <w:t>predvidjeti</w:t>
      </w:r>
      <w:r>
        <w:rPr>
          <w:szCs w:val="22"/>
        </w:rPr>
        <w:t xml:space="preserve"> </w:t>
      </w:r>
      <w:r>
        <w:rPr>
          <w:szCs w:val="22"/>
          <w:lang w:val="de-DE"/>
        </w:rPr>
        <w:t>gradnju</w:t>
      </w:r>
      <w:r>
        <w:rPr>
          <w:szCs w:val="22"/>
        </w:rPr>
        <w:t xml:space="preserve"> </w:t>
      </w:r>
      <w:r>
        <w:rPr>
          <w:szCs w:val="22"/>
          <w:lang w:val="de-DE"/>
        </w:rPr>
        <w:t>i</w:t>
      </w:r>
      <w:r>
        <w:rPr>
          <w:szCs w:val="22"/>
        </w:rPr>
        <w:t xml:space="preserve"> </w:t>
      </w:r>
      <w:r>
        <w:rPr>
          <w:szCs w:val="22"/>
          <w:lang w:val="de-DE"/>
        </w:rPr>
        <w:t>ure</w:t>
      </w:r>
      <w:r>
        <w:rPr>
          <w:szCs w:val="22"/>
        </w:rPr>
        <w:t>đ</w:t>
      </w:r>
      <w:r>
        <w:rPr>
          <w:szCs w:val="22"/>
          <w:lang w:val="de-DE"/>
        </w:rPr>
        <w:t>enje</w:t>
      </w:r>
      <w:r>
        <w:rPr>
          <w:szCs w:val="22"/>
        </w:rPr>
        <w:t xml:space="preserve"> </w:t>
      </w:r>
      <w:r>
        <w:rPr>
          <w:szCs w:val="22"/>
          <w:lang w:val="de-DE"/>
        </w:rPr>
        <w:t>biciklisti</w:t>
      </w:r>
      <w:r>
        <w:rPr>
          <w:szCs w:val="22"/>
        </w:rPr>
        <w:t>č</w:t>
      </w:r>
      <w:r>
        <w:rPr>
          <w:szCs w:val="22"/>
          <w:lang w:val="de-DE"/>
        </w:rPr>
        <w:t>kih</w:t>
      </w:r>
      <w:r>
        <w:rPr>
          <w:szCs w:val="22"/>
        </w:rPr>
        <w:t xml:space="preserve"> </w:t>
      </w:r>
      <w:r>
        <w:rPr>
          <w:szCs w:val="22"/>
          <w:lang w:val="de-DE"/>
        </w:rPr>
        <w:t>staza</w:t>
      </w:r>
      <w:r>
        <w:rPr>
          <w:szCs w:val="22"/>
        </w:rPr>
        <w:t xml:space="preserve">, </w:t>
      </w:r>
      <w:r>
        <w:rPr>
          <w:szCs w:val="22"/>
          <w:lang w:val="de-DE"/>
        </w:rPr>
        <w:t>tako</w:t>
      </w:r>
      <w:r>
        <w:rPr>
          <w:szCs w:val="22"/>
        </w:rPr>
        <w:t xml:space="preserve"> </w:t>
      </w:r>
      <w:r>
        <w:rPr>
          <w:szCs w:val="22"/>
          <w:lang w:val="de-DE"/>
        </w:rPr>
        <w:t>da</w:t>
      </w:r>
      <w:r>
        <w:rPr>
          <w:szCs w:val="22"/>
        </w:rPr>
        <w:t xml:space="preserve"> </w:t>
      </w:r>
      <w:r>
        <w:rPr>
          <w:szCs w:val="22"/>
          <w:lang w:val="de-DE"/>
        </w:rPr>
        <w:t>im</w:t>
      </w:r>
      <w:r>
        <w:rPr>
          <w:szCs w:val="22"/>
        </w:rPr>
        <w:t xml:space="preserve"> š</w:t>
      </w:r>
      <w:r>
        <w:rPr>
          <w:szCs w:val="22"/>
          <w:lang w:val="de-DE"/>
        </w:rPr>
        <w:t>irina</w:t>
      </w:r>
      <w:r>
        <w:rPr>
          <w:szCs w:val="22"/>
        </w:rPr>
        <w:t xml:space="preserve"> </w:t>
      </w:r>
      <w:r>
        <w:rPr>
          <w:szCs w:val="22"/>
          <w:lang w:val="de-DE"/>
        </w:rPr>
        <w:t>bude</w:t>
      </w:r>
      <w:r>
        <w:rPr>
          <w:szCs w:val="22"/>
        </w:rPr>
        <w:t xml:space="preserve"> </w:t>
      </w:r>
      <w:r>
        <w:rPr>
          <w:szCs w:val="22"/>
          <w:lang w:val="de-DE"/>
        </w:rPr>
        <w:t>najmanje</w:t>
      </w:r>
      <w:r>
        <w:rPr>
          <w:szCs w:val="22"/>
        </w:rPr>
        <w:t xml:space="preserve"> </w:t>
      </w:r>
      <w:smartTag w:uri="urn:schemas-microsoft-com:office:smarttags" w:element="metricconverter">
        <w:smartTagPr>
          <w:attr w:name="ProductID" w:val="1,0 m"/>
        </w:smartTagPr>
        <w:r>
          <w:rPr>
            <w:szCs w:val="22"/>
          </w:rPr>
          <w:t xml:space="preserve">1,0 </w:t>
        </w:r>
        <w:r>
          <w:rPr>
            <w:szCs w:val="22"/>
            <w:lang w:val="de-DE"/>
          </w:rPr>
          <w:t>m</w:t>
        </w:r>
      </w:smartTag>
      <w:r>
        <w:rPr>
          <w:szCs w:val="22"/>
        </w:rPr>
        <w:t xml:space="preserve"> </w:t>
      </w:r>
      <w:r>
        <w:rPr>
          <w:szCs w:val="22"/>
          <w:lang w:val="de-DE"/>
        </w:rPr>
        <w:t>za</w:t>
      </w:r>
      <w:r>
        <w:rPr>
          <w:szCs w:val="22"/>
        </w:rPr>
        <w:t xml:space="preserve"> </w:t>
      </w:r>
      <w:r>
        <w:rPr>
          <w:szCs w:val="22"/>
          <w:lang w:val="de-DE"/>
        </w:rPr>
        <w:t>jedan</w:t>
      </w:r>
      <w:r>
        <w:rPr>
          <w:szCs w:val="22"/>
        </w:rPr>
        <w:t xml:space="preserve"> </w:t>
      </w:r>
      <w:r>
        <w:rPr>
          <w:szCs w:val="22"/>
          <w:lang w:val="de-DE"/>
        </w:rPr>
        <w:t>smjer</w:t>
      </w:r>
      <w:r>
        <w:rPr>
          <w:szCs w:val="22"/>
        </w:rPr>
        <w:t xml:space="preserve">, </w:t>
      </w:r>
      <w:r>
        <w:rPr>
          <w:szCs w:val="22"/>
          <w:lang w:val="de-DE"/>
        </w:rPr>
        <w:t>odnosno</w:t>
      </w:r>
      <w:r>
        <w:rPr>
          <w:szCs w:val="22"/>
        </w:rPr>
        <w:t xml:space="preserve"> </w:t>
      </w:r>
      <w:smartTag w:uri="urn:schemas-microsoft-com:office:smarttags" w:element="metricconverter">
        <w:smartTagPr>
          <w:attr w:name="ProductID" w:val="2,5 m"/>
        </w:smartTagPr>
        <w:r>
          <w:rPr>
            <w:szCs w:val="22"/>
          </w:rPr>
          <w:t xml:space="preserve">2,5 </w:t>
        </w:r>
        <w:r>
          <w:rPr>
            <w:szCs w:val="22"/>
            <w:lang w:val="de-DE"/>
          </w:rPr>
          <w:t>m</w:t>
        </w:r>
      </w:smartTag>
      <w:r>
        <w:rPr>
          <w:szCs w:val="22"/>
        </w:rPr>
        <w:t xml:space="preserve"> </w:t>
      </w:r>
      <w:r>
        <w:rPr>
          <w:szCs w:val="22"/>
          <w:lang w:val="de-DE"/>
        </w:rPr>
        <w:t>za</w:t>
      </w:r>
      <w:r>
        <w:rPr>
          <w:szCs w:val="22"/>
        </w:rPr>
        <w:t xml:space="preserve"> </w:t>
      </w:r>
      <w:r>
        <w:rPr>
          <w:szCs w:val="22"/>
          <w:lang w:val="de-DE"/>
        </w:rPr>
        <w:t>dvosmjerni</w:t>
      </w:r>
      <w:r>
        <w:rPr>
          <w:szCs w:val="22"/>
        </w:rPr>
        <w:t xml:space="preserve"> </w:t>
      </w:r>
      <w:r>
        <w:rPr>
          <w:szCs w:val="22"/>
          <w:lang w:val="de-DE"/>
        </w:rPr>
        <w:t>promet</w:t>
      </w:r>
      <w:r>
        <w:rPr>
          <w:szCs w:val="22"/>
        </w:rPr>
        <w:t>.</w:t>
      </w:r>
    </w:p>
    <w:p w:rsidR="00012172" w:rsidRDefault="00012172">
      <w:pPr>
        <w:ind w:firstLine="720"/>
        <w:jc w:val="both"/>
      </w:pPr>
    </w:p>
    <w:p w:rsidR="00012172" w:rsidRDefault="00012172">
      <w:pPr>
        <w:jc w:val="center"/>
      </w:pPr>
      <w:r>
        <w:rPr>
          <w:szCs w:val="22"/>
        </w:rPr>
        <w:t>Č</w:t>
      </w:r>
      <w:r>
        <w:rPr>
          <w:szCs w:val="22"/>
          <w:lang w:val="de-DE"/>
        </w:rPr>
        <w:t>lanak</w:t>
      </w:r>
      <w:r w:rsidR="00F237BF">
        <w:rPr>
          <w:szCs w:val="22"/>
        </w:rPr>
        <w:t xml:space="preserve"> 91</w:t>
      </w:r>
      <w:r>
        <w:rPr>
          <w:szCs w:val="22"/>
        </w:rPr>
        <w:t>.</w:t>
      </w:r>
    </w:p>
    <w:p w:rsidR="00012172" w:rsidRDefault="00012172">
      <w:pPr>
        <w:jc w:val="both"/>
        <w:rPr>
          <w:szCs w:val="22"/>
        </w:rPr>
      </w:pPr>
      <w:r>
        <w:rPr>
          <w:szCs w:val="22"/>
        </w:rPr>
        <w:t xml:space="preserve">(1) </w:t>
      </w:r>
      <w:r>
        <w:rPr>
          <w:szCs w:val="22"/>
          <w:lang w:val="de-DE"/>
        </w:rPr>
        <w:t>Predvi</w:t>
      </w:r>
      <w:r>
        <w:rPr>
          <w:szCs w:val="22"/>
        </w:rPr>
        <w:t>đ</w:t>
      </w:r>
      <w:r>
        <w:rPr>
          <w:szCs w:val="22"/>
          <w:lang w:val="de-DE"/>
        </w:rPr>
        <w:t>a</w:t>
      </w:r>
      <w:r>
        <w:rPr>
          <w:szCs w:val="22"/>
        </w:rPr>
        <w:t xml:space="preserve"> </w:t>
      </w:r>
      <w:r>
        <w:rPr>
          <w:szCs w:val="22"/>
          <w:lang w:val="de-DE"/>
        </w:rPr>
        <w:t>se</w:t>
      </w:r>
      <w:r>
        <w:rPr>
          <w:szCs w:val="22"/>
        </w:rPr>
        <w:t xml:space="preserve"> </w:t>
      </w:r>
      <w:r>
        <w:rPr>
          <w:szCs w:val="22"/>
          <w:lang w:val="de-DE"/>
        </w:rPr>
        <w:t>uz</w:t>
      </w:r>
      <w:r>
        <w:rPr>
          <w:szCs w:val="22"/>
        </w:rPr>
        <w:t xml:space="preserve"> </w:t>
      </w:r>
      <w:r>
        <w:rPr>
          <w:szCs w:val="22"/>
          <w:lang w:val="de-DE"/>
        </w:rPr>
        <w:t>mjesne</w:t>
      </w:r>
      <w:r>
        <w:rPr>
          <w:szCs w:val="22"/>
        </w:rPr>
        <w:t xml:space="preserve"> </w:t>
      </w:r>
      <w:r>
        <w:rPr>
          <w:szCs w:val="22"/>
          <w:lang w:val="de-DE"/>
        </w:rPr>
        <w:t>ulice</w:t>
      </w:r>
      <w:r>
        <w:rPr>
          <w:szCs w:val="22"/>
        </w:rPr>
        <w:t xml:space="preserve"> </w:t>
      </w:r>
      <w:r>
        <w:rPr>
          <w:szCs w:val="22"/>
          <w:lang w:val="de-DE"/>
        </w:rPr>
        <w:t>ure</w:t>
      </w:r>
      <w:r>
        <w:rPr>
          <w:szCs w:val="22"/>
        </w:rPr>
        <w:t>đ</w:t>
      </w:r>
      <w:r>
        <w:rPr>
          <w:szCs w:val="22"/>
          <w:lang w:val="de-DE"/>
        </w:rPr>
        <w:t>enje</w:t>
      </w:r>
      <w:r>
        <w:rPr>
          <w:szCs w:val="22"/>
        </w:rPr>
        <w:t xml:space="preserve"> </w:t>
      </w:r>
      <w:r>
        <w:rPr>
          <w:szCs w:val="22"/>
          <w:lang w:val="de-DE"/>
        </w:rPr>
        <w:t>plo</w:t>
      </w:r>
      <w:r>
        <w:rPr>
          <w:szCs w:val="22"/>
        </w:rPr>
        <w:t>č</w:t>
      </w:r>
      <w:r>
        <w:rPr>
          <w:szCs w:val="22"/>
          <w:lang w:val="de-DE"/>
        </w:rPr>
        <w:t>nika</w:t>
      </w:r>
      <w:r>
        <w:rPr>
          <w:szCs w:val="22"/>
        </w:rPr>
        <w:t xml:space="preserve"> </w:t>
      </w:r>
      <w:r>
        <w:rPr>
          <w:szCs w:val="22"/>
          <w:lang w:val="de-DE"/>
        </w:rPr>
        <w:t>za</w:t>
      </w:r>
      <w:r>
        <w:rPr>
          <w:szCs w:val="22"/>
        </w:rPr>
        <w:t xml:space="preserve"> </w:t>
      </w:r>
      <w:r>
        <w:rPr>
          <w:szCs w:val="22"/>
          <w:lang w:val="de-DE"/>
        </w:rPr>
        <w:t>kretanje</w:t>
      </w:r>
      <w:r>
        <w:rPr>
          <w:szCs w:val="22"/>
        </w:rPr>
        <w:t xml:space="preserve"> </w:t>
      </w:r>
      <w:r>
        <w:rPr>
          <w:szCs w:val="22"/>
          <w:lang w:val="de-DE"/>
        </w:rPr>
        <w:t>pje</w:t>
      </w:r>
      <w:r>
        <w:rPr>
          <w:szCs w:val="22"/>
        </w:rPr>
        <w:t>š</w:t>
      </w:r>
      <w:r>
        <w:rPr>
          <w:szCs w:val="22"/>
          <w:lang w:val="de-DE"/>
        </w:rPr>
        <w:t>aka</w:t>
      </w:r>
      <w:r>
        <w:rPr>
          <w:szCs w:val="22"/>
        </w:rPr>
        <w:t xml:space="preserve"> </w:t>
      </w:r>
      <w:r>
        <w:rPr>
          <w:szCs w:val="22"/>
          <w:lang w:val="de-DE"/>
        </w:rPr>
        <w:t>u</w:t>
      </w:r>
      <w:r>
        <w:rPr>
          <w:szCs w:val="22"/>
        </w:rPr>
        <w:t xml:space="preserve"> š</w:t>
      </w:r>
      <w:r>
        <w:rPr>
          <w:szCs w:val="22"/>
          <w:lang w:val="de-DE"/>
        </w:rPr>
        <w:t>irini</w:t>
      </w:r>
      <w:r>
        <w:rPr>
          <w:szCs w:val="22"/>
        </w:rPr>
        <w:t xml:space="preserve"> </w:t>
      </w:r>
      <w:r>
        <w:rPr>
          <w:szCs w:val="22"/>
          <w:lang w:val="de-DE"/>
        </w:rPr>
        <w:t>koja</w:t>
      </w:r>
      <w:r>
        <w:rPr>
          <w:szCs w:val="22"/>
        </w:rPr>
        <w:t xml:space="preserve"> </w:t>
      </w:r>
      <w:r>
        <w:rPr>
          <w:szCs w:val="22"/>
          <w:lang w:val="de-DE"/>
        </w:rPr>
        <w:t>ovisi</w:t>
      </w:r>
      <w:r>
        <w:rPr>
          <w:szCs w:val="22"/>
        </w:rPr>
        <w:t xml:space="preserve"> </w:t>
      </w:r>
      <w:r>
        <w:rPr>
          <w:szCs w:val="22"/>
          <w:lang w:val="de-DE"/>
        </w:rPr>
        <w:t>o</w:t>
      </w:r>
      <w:r>
        <w:rPr>
          <w:szCs w:val="22"/>
        </w:rPr>
        <w:t xml:space="preserve"> </w:t>
      </w:r>
      <w:r>
        <w:rPr>
          <w:szCs w:val="22"/>
          <w:lang w:val="de-DE"/>
        </w:rPr>
        <w:t>pretpostavljenom</w:t>
      </w:r>
      <w:r>
        <w:rPr>
          <w:szCs w:val="22"/>
        </w:rPr>
        <w:t xml:space="preserve"> </w:t>
      </w:r>
      <w:r>
        <w:rPr>
          <w:szCs w:val="22"/>
          <w:lang w:val="de-DE"/>
        </w:rPr>
        <w:t>broju</w:t>
      </w:r>
      <w:r>
        <w:rPr>
          <w:szCs w:val="22"/>
        </w:rPr>
        <w:t xml:space="preserve"> </w:t>
      </w:r>
      <w:r>
        <w:rPr>
          <w:szCs w:val="22"/>
          <w:lang w:val="de-DE"/>
        </w:rPr>
        <w:t>korisnika</w:t>
      </w:r>
      <w:r>
        <w:rPr>
          <w:szCs w:val="22"/>
        </w:rPr>
        <w:t xml:space="preserve">, </w:t>
      </w:r>
      <w:r>
        <w:rPr>
          <w:szCs w:val="22"/>
          <w:lang w:val="de-DE"/>
        </w:rPr>
        <w:t>ali</w:t>
      </w:r>
      <w:r>
        <w:rPr>
          <w:szCs w:val="22"/>
        </w:rPr>
        <w:t xml:space="preserve"> </w:t>
      </w:r>
      <w:r>
        <w:rPr>
          <w:szCs w:val="22"/>
          <w:lang w:val="de-DE"/>
        </w:rPr>
        <w:t>ne</w:t>
      </w:r>
      <w:r>
        <w:rPr>
          <w:szCs w:val="22"/>
        </w:rPr>
        <w:t xml:space="preserve"> </w:t>
      </w:r>
      <w:r>
        <w:rPr>
          <w:szCs w:val="22"/>
          <w:lang w:val="de-DE"/>
        </w:rPr>
        <w:t>manjoj</w:t>
      </w:r>
      <w:r>
        <w:rPr>
          <w:szCs w:val="22"/>
        </w:rPr>
        <w:t xml:space="preserve"> </w:t>
      </w:r>
      <w:r>
        <w:rPr>
          <w:szCs w:val="22"/>
          <w:lang w:val="de-DE"/>
        </w:rPr>
        <w:t>od</w:t>
      </w:r>
      <w:r>
        <w:rPr>
          <w:szCs w:val="22"/>
        </w:rPr>
        <w:t xml:space="preserve"> </w:t>
      </w:r>
      <w:smartTag w:uri="urn:schemas-microsoft-com:office:smarttags" w:element="metricconverter">
        <w:smartTagPr>
          <w:attr w:name="ProductID" w:val="0,60 m"/>
        </w:smartTagPr>
        <w:r>
          <w:rPr>
            <w:szCs w:val="22"/>
          </w:rPr>
          <w:t xml:space="preserve">0,60 </w:t>
        </w:r>
        <w:r>
          <w:rPr>
            <w:szCs w:val="22"/>
            <w:lang w:val="de-DE"/>
          </w:rPr>
          <w:t>m</w:t>
        </w:r>
      </w:smartTag>
      <w:r>
        <w:rPr>
          <w:szCs w:val="22"/>
        </w:rPr>
        <w:t>.</w:t>
      </w:r>
    </w:p>
    <w:p w:rsidR="00012172" w:rsidRDefault="00012172">
      <w:pPr>
        <w:jc w:val="both"/>
        <w:rPr>
          <w:rFonts w:ascii="Arial" w:hAnsi="Arial" w:cs="Arial"/>
          <w:sz w:val="22"/>
          <w:szCs w:val="22"/>
        </w:rPr>
      </w:pPr>
    </w:p>
    <w:p w:rsidR="00012172" w:rsidRDefault="00012172">
      <w:pPr>
        <w:jc w:val="center"/>
        <w:rPr>
          <w:rFonts w:ascii="Arial" w:hAnsi="Arial"/>
          <w:b/>
          <w:bCs/>
          <w:sz w:val="22"/>
          <w:szCs w:val="22"/>
        </w:rPr>
      </w:pPr>
    </w:p>
    <w:p w:rsidR="00012172" w:rsidRDefault="00012172">
      <w:pPr>
        <w:rPr>
          <w:b/>
          <w:bCs/>
        </w:rPr>
      </w:pPr>
      <w:r>
        <w:rPr>
          <w:b/>
          <w:bCs/>
          <w:szCs w:val="22"/>
        </w:rPr>
        <w:t>M</w:t>
      </w:r>
      <w:r>
        <w:rPr>
          <w:b/>
          <w:bCs/>
          <w:szCs w:val="22"/>
          <w:lang w:val="de-DE"/>
        </w:rPr>
        <w:t>re</w:t>
      </w:r>
      <w:r w:rsidRPr="00165BAC">
        <w:rPr>
          <w:b/>
          <w:bCs/>
          <w:szCs w:val="22"/>
        </w:rPr>
        <w:t>ž</w:t>
      </w:r>
      <w:r>
        <w:rPr>
          <w:b/>
          <w:bCs/>
          <w:szCs w:val="22"/>
          <w:lang w:val="de-DE"/>
        </w:rPr>
        <w:t>a</w:t>
      </w:r>
      <w:r w:rsidRPr="00165BAC">
        <w:rPr>
          <w:b/>
          <w:bCs/>
          <w:szCs w:val="22"/>
        </w:rPr>
        <w:t xml:space="preserve"> </w:t>
      </w:r>
      <w:r>
        <w:rPr>
          <w:b/>
          <w:bCs/>
          <w:szCs w:val="22"/>
          <w:lang w:val="de-DE"/>
        </w:rPr>
        <w:t>telekomunikacija</w:t>
      </w:r>
      <w:r w:rsidRPr="00165BAC">
        <w:rPr>
          <w:b/>
          <w:bCs/>
          <w:szCs w:val="22"/>
        </w:rPr>
        <w:t xml:space="preserve"> </w:t>
      </w:r>
      <w:r>
        <w:rPr>
          <w:b/>
          <w:bCs/>
          <w:szCs w:val="22"/>
          <w:lang w:val="de-DE"/>
        </w:rPr>
        <w:t>i</w:t>
      </w:r>
      <w:r w:rsidRPr="00165BAC">
        <w:rPr>
          <w:b/>
          <w:bCs/>
          <w:szCs w:val="22"/>
        </w:rPr>
        <w:t xml:space="preserve"> </w:t>
      </w:r>
      <w:r>
        <w:rPr>
          <w:b/>
          <w:bCs/>
          <w:szCs w:val="22"/>
          <w:lang w:val="de-DE"/>
        </w:rPr>
        <w:t>po</w:t>
      </w:r>
      <w:r w:rsidRPr="00165BAC">
        <w:rPr>
          <w:b/>
          <w:bCs/>
          <w:szCs w:val="22"/>
        </w:rPr>
        <w:t>š</w:t>
      </w:r>
      <w:r>
        <w:rPr>
          <w:b/>
          <w:bCs/>
          <w:szCs w:val="22"/>
          <w:lang w:val="de-DE"/>
        </w:rPr>
        <w:t>te</w:t>
      </w:r>
    </w:p>
    <w:p w:rsidR="00012172" w:rsidRDefault="00012172">
      <w:pPr>
        <w:jc w:val="center"/>
        <w:rPr>
          <w:rFonts w:ascii="Arial" w:hAnsi="Arial"/>
          <w:b/>
        </w:rPr>
      </w:pPr>
    </w:p>
    <w:p w:rsidR="00012172" w:rsidRDefault="00F237BF">
      <w:pPr>
        <w:pStyle w:val="xl30"/>
        <w:pBdr>
          <w:left w:val="none" w:sz="0" w:space="0" w:color="auto"/>
          <w:bottom w:val="none" w:sz="0" w:space="0" w:color="auto"/>
        </w:pBdr>
        <w:spacing w:before="0" w:beforeAutospacing="0" w:after="0" w:afterAutospacing="0"/>
        <w:rPr>
          <w:rFonts w:ascii="Times New Roman" w:hAnsi="Times New Roman"/>
          <w:bCs/>
        </w:rPr>
      </w:pPr>
      <w:r>
        <w:rPr>
          <w:rFonts w:ascii="Times New Roman" w:hAnsi="Times New Roman"/>
          <w:bCs/>
        </w:rPr>
        <w:t>Članak 92</w:t>
      </w:r>
      <w:r w:rsidR="00012172">
        <w:rPr>
          <w:rFonts w:ascii="Times New Roman" w:hAnsi="Times New Roman"/>
          <w:bCs/>
        </w:rPr>
        <w:t>.</w:t>
      </w:r>
    </w:p>
    <w:p w:rsidR="00012172" w:rsidRDefault="00012172">
      <w:pPr>
        <w:jc w:val="both"/>
        <w:rPr>
          <w:rStyle w:val="glavnitekst1"/>
          <w:rFonts w:ascii="Times New Roman" w:hAnsi="Times New Roman" w:cs="Times New Roman"/>
          <w:b w:val="0"/>
          <w:bCs w:val="0"/>
          <w:color w:val="auto"/>
          <w:sz w:val="24"/>
        </w:rPr>
      </w:pPr>
      <w:r>
        <w:rPr>
          <w:szCs w:val="22"/>
        </w:rPr>
        <w:t xml:space="preserve">(1) </w:t>
      </w:r>
      <w:r>
        <w:rPr>
          <w:rStyle w:val="glavnitekst1"/>
          <w:rFonts w:ascii="Times New Roman" w:hAnsi="Times New Roman" w:cs="Times New Roman"/>
          <w:b w:val="0"/>
          <w:bCs w:val="0"/>
          <w:color w:val="auto"/>
          <w:sz w:val="24"/>
        </w:rPr>
        <w:t>Planom se predviđa daljnji razvoj telekomunikacijske mreže.</w:t>
      </w:r>
    </w:p>
    <w:p w:rsidR="00012172" w:rsidRDefault="00012172">
      <w:pPr>
        <w:jc w:val="both"/>
        <w:rPr>
          <w:rStyle w:val="glavnitekst1"/>
          <w:rFonts w:ascii="Times New Roman" w:hAnsi="Times New Roman" w:cs="Times New Roman"/>
          <w:b w:val="0"/>
          <w:bCs w:val="0"/>
          <w:color w:val="auto"/>
          <w:sz w:val="24"/>
        </w:rPr>
      </w:pPr>
    </w:p>
    <w:p w:rsidR="00012172" w:rsidRDefault="004B0466">
      <w:pPr>
        <w:jc w:val="center"/>
        <w:rPr>
          <w:rStyle w:val="glavnitekst1"/>
          <w:rFonts w:ascii="Times New Roman" w:hAnsi="Times New Roman" w:cs="Times New Roman"/>
          <w:b w:val="0"/>
          <w:bCs w:val="0"/>
          <w:color w:val="auto"/>
          <w:sz w:val="24"/>
        </w:rPr>
      </w:pPr>
      <w:r>
        <w:rPr>
          <w:rStyle w:val="glavnitekst1"/>
          <w:rFonts w:ascii="Times New Roman" w:hAnsi="Times New Roman" w:cs="Times New Roman"/>
          <w:b w:val="0"/>
          <w:bCs w:val="0"/>
          <w:color w:val="auto"/>
          <w:sz w:val="24"/>
        </w:rPr>
        <w:t xml:space="preserve">Članak </w:t>
      </w:r>
      <w:r w:rsidR="00012172">
        <w:rPr>
          <w:rStyle w:val="glavnitekst1"/>
          <w:rFonts w:ascii="Times New Roman" w:hAnsi="Times New Roman" w:cs="Times New Roman"/>
          <w:b w:val="0"/>
          <w:bCs w:val="0"/>
          <w:color w:val="auto"/>
          <w:sz w:val="24"/>
        </w:rPr>
        <w:t>9</w:t>
      </w:r>
      <w:r w:rsidR="00F237BF">
        <w:rPr>
          <w:rStyle w:val="glavnitekst1"/>
          <w:rFonts w:ascii="Times New Roman" w:hAnsi="Times New Roman" w:cs="Times New Roman"/>
          <w:b w:val="0"/>
          <w:bCs w:val="0"/>
          <w:color w:val="auto"/>
          <w:sz w:val="24"/>
        </w:rPr>
        <w:t>3</w:t>
      </w:r>
      <w:r w:rsidR="00012172">
        <w:rPr>
          <w:rStyle w:val="glavnitekst1"/>
          <w:rFonts w:ascii="Times New Roman" w:hAnsi="Times New Roman" w:cs="Times New Roman"/>
          <w:b w:val="0"/>
          <w:bCs w:val="0"/>
          <w:color w:val="auto"/>
          <w:sz w:val="24"/>
        </w:rPr>
        <w:t>.</w:t>
      </w:r>
    </w:p>
    <w:p w:rsidR="00012172" w:rsidRDefault="00012172">
      <w:pPr>
        <w:jc w:val="both"/>
        <w:rPr>
          <w:rStyle w:val="glavnitekst1"/>
          <w:rFonts w:ascii="Times New Roman" w:hAnsi="Times New Roman" w:cs="Times New Roman"/>
          <w:b w:val="0"/>
          <w:bCs w:val="0"/>
          <w:color w:val="auto"/>
          <w:sz w:val="24"/>
        </w:rPr>
      </w:pPr>
      <w:r>
        <w:rPr>
          <w:rStyle w:val="glavnitekst1"/>
          <w:rFonts w:ascii="Times New Roman" w:hAnsi="Times New Roman" w:cs="Times New Roman"/>
          <w:b w:val="0"/>
          <w:bCs w:val="0"/>
          <w:color w:val="auto"/>
          <w:sz w:val="24"/>
        </w:rPr>
        <w:t>(1) Sve mjesne i međumjesne kabelske telekomunikacijske veze u pravilu treba polagati unutar koridora prometnica, a proširenje, rekonstrukciju i modernizaciju mreža, vršiti polaganjem novih ili zamjenom postojećih kabela unutar istih koridora.</w:t>
      </w:r>
    </w:p>
    <w:p w:rsidR="00012172" w:rsidRDefault="00012172">
      <w:pPr>
        <w:jc w:val="both"/>
        <w:rPr>
          <w:rStyle w:val="glavnitekst1"/>
          <w:rFonts w:ascii="Times New Roman" w:hAnsi="Times New Roman" w:cs="Times New Roman"/>
          <w:b w:val="0"/>
          <w:bCs w:val="0"/>
          <w:color w:val="auto"/>
          <w:sz w:val="24"/>
        </w:rPr>
      </w:pPr>
      <w:r>
        <w:rPr>
          <w:rStyle w:val="glavnitekst1"/>
          <w:rFonts w:ascii="Times New Roman" w:hAnsi="Times New Roman" w:cs="Times New Roman"/>
          <w:b w:val="0"/>
          <w:bCs w:val="0"/>
          <w:color w:val="auto"/>
          <w:sz w:val="24"/>
        </w:rPr>
        <w:t>(2) Radi racionalnijeg korištenja prostora, pozicioniranje telekomunikacijske kabelske mreže treba predvidjeti jednostrano uz državne, županijske i lokalne ceste, a u naseljima jednostrano ili obostrano u ulici.</w:t>
      </w:r>
    </w:p>
    <w:p w:rsidR="00012172" w:rsidRDefault="00012172">
      <w:pPr>
        <w:jc w:val="both"/>
        <w:rPr>
          <w:rStyle w:val="glavnitekst1"/>
          <w:rFonts w:ascii="Times New Roman" w:hAnsi="Times New Roman" w:cs="Times New Roman"/>
          <w:b w:val="0"/>
          <w:bCs w:val="0"/>
          <w:color w:val="auto"/>
          <w:sz w:val="24"/>
        </w:rPr>
      </w:pPr>
    </w:p>
    <w:p w:rsidR="00F237BF" w:rsidRDefault="00F237BF">
      <w:pPr>
        <w:jc w:val="both"/>
        <w:rPr>
          <w:rStyle w:val="glavnitekst1"/>
          <w:rFonts w:ascii="Times New Roman" w:hAnsi="Times New Roman" w:cs="Times New Roman"/>
          <w:b w:val="0"/>
          <w:bCs w:val="0"/>
          <w:color w:val="auto"/>
          <w:sz w:val="24"/>
        </w:rPr>
      </w:pPr>
    </w:p>
    <w:p w:rsidR="00F237BF" w:rsidRDefault="00F237BF">
      <w:pPr>
        <w:jc w:val="both"/>
        <w:rPr>
          <w:rStyle w:val="glavnitekst1"/>
          <w:rFonts w:ascii="Times New Roman" w:hAnsi="Times New Roman" w:cs="Times New Roman"/>
          <w:b w:val="0"/>
          <w:bCs w:val="0"/>
          <w:color w:val="auto"/>
          <w:sz w:val="24"/>
        </w:rPr>
      </w:pPr>
    </w:p>
    <w:p w:rsidR="00F237BF" w:rsidRDefault="00F237BF">
      <w:pPr>
        <w:jc w:val="both"/>
        <w:rPr>
          <w:rStyle w:val="glavnitekst1"/>
          <w:rFonts w:ascii="Times New Roman" w:hAnsi="Times New Roman" w:cs="Times New Roman"/>
          <w:b w:val="0"/>
          <w:bCs w:val="0"/>
          <w:color w:val="auto"/>
          <w:sz w:val="24"/>
        </w:rPr>
      </w:pPr>
    </w:p>
    <w:p w:rsidR="00012172" w:rsidRDefault="00012172">
      <w:pPr>
        <w:jc w:val="center"/>
        <w:rPr>
          <w:rStyle w:val="glavnitekst1"/>
          <w:rFonts w:ascii="Times New Roman" w:hAnsi="Times New Roman" w:cs="Times New Roman"/>
          <w:b w:val="0"/>
          <w:bCs w:val="0"/>
          <w:color w:val="auto"/>
          <w:sz w:val="24"/>
        </w:rPr>
      </w:pPr>
      <w:r>
        <w:rPr>
          <w:rStyle w:val="glavnitekst1"/>
          <w:rFonts w:ascii="Times New Roman" w:hAnsi="Times New Roman" w:cs="Times New Roman"/>
          <w:b w:val="0"/>
          <w:bCs w:val="0"/>
          <w:color w:val="auto"/>
          <w:sz w:val="24"/>
        </w:rPr>
        <w:t>Članak 9</w:t>
      </w:r>
      <w:r w:rsidR="00F237BF">
        <w:rPr>
          <w:rStyle w:val="glavnitekst1"/>
          <w:rFonts w:ascii="Times New Roman" w:hAnsi="Times New Roman" w:cs="Times New Roman"/>
          <w:b w:val="0"/>
          <w:bCs w:val="0"/>
          <w:color w:val="auto"/>
          <w:sz w:val="24"/>
        </w:rPr>
        <w:t>4</w:t>
      </w:r>
      <w:r>
        <w:rPr>
          <w:rStyle w:val="glavnitekst1"/>
          <w:rFonts w:ascii="Times New Roman" w:hAnsi="Times New Roman" w:cs="Times New Roman"/>
          <w:b w:val="0"/>
          <w:bCs w:val="0"/>
          <w:color w:val="auto"/>
          <w:sz w:val="24"/>
        </w:rPr>
        <w:t>.</w:t>
      </w:r>
    </w:p>
    <w:p w:rsidR="00012172" w:rsidRDefault="00012172">
      <w:pPr>
        <w:jc w:val="both"/>
        <w:rPr>
          <w:rStyle w:val="glavnitekst1"/>
          <w:rFonts w:ascii="Times New Roman" w:hAnsi="Times New Roman" w:cs="Times New Roman"/>
          <w:b w:val="0"/>
          <w:bCs w:val="0"/>
          <w:color w:val="auto"/>
          <w:sz w:val="24"/>
        </w:rPr>
      </w:pPr>
      <w:r>
        <w:rPr>
          <w:rStyle w:val="glavnitekst1"/>
          <w:rFonts w:ascii="Times New Roman" w:hAnsi="Times New Roman" w:cs="Times New Roman"/>
          <w:b w:val="0"/>
          <w:bCs w:val="0"/>
          <w:color w:val="auto"/>
          <w:sz w:val="24"/>
        </w:rPr>
        <w:t>(1) Antenski uređaji i bazne postaje telekomunikacijskih i radijskih sustava mogu se postavljati unutar naselja, izuzev smještaja na sakralne građevine te evidentirane i zaštićene objekte kulture.</w:t>
      </w:r>
    </w:p>
    <w:p w:rsidR="00012172" w:rsidRDefault="00012172">
      <w:pPr>
        <w:jc w:val="both"/>
        <w:rPr>
          <w:rStyle w:val="glavnitekst1"/>
          <w:rFonts w:ascii="Times New Roman" w:hAnsi="Times New Roman" w:cs="Times New Roman"/>
          <w:b w:val="0"/>
          <w:bCs w:val="0"/>
          <w:color w:val="auto"/>
          <w:sz w:val="24"/>
        </w:rPr>
      </w:pPr>
      <w:r>
        <w:rPr>
          <w:rStyle w:val="glavnitekst1"/>
          <w:rFonts w:ascii="Times New Roman" w:hAnsi="Times New Roman" w:cs="Times New Roman"/>
          <w:b w:val="0"/>
          <w:bCs w:val="0"/>
          <w:color w:val="auto"/>
          <w:sz w:val="24"/>
        </w:rPr>
        <w:t>(2) Tornjevi s antenskim uređajima i baznim postajama mogu se graditi na poljoprivrednom tlu, unutar izdvojenih područja gospodarskih djelatnosti kao i na zasebnoj građevnoj čestici unutar naselja. Treba ih pozicionirati tako da ne remete sklad urbane ili ruralne strukture naselja ili krajobraza, na primjerenim udaljenostima od groblja, sakralnih građevina i drugih područja od kulturnog značaja.</w:t>
      </w:r>
    </w:p>
    <w:p w:rsidR="00012172" w:rsidRDefault="00012172">
      <w:pPr>
        <w:jc w:val="both"/>
        <w:rPr>
          <w:rStyle w:val="glavnitekst1"/>
          <w:rFonts w:ascii="Times New Roman" w:hAnsi="Times New Roman" w:cs="Times New Roman"/>
          <w:b w:val="0"/>
          <w:bCs w:val="0"/>
          <w:color w:val="auto"/>
          <w:sz w:val="24"/>
        </w:rPr>
      </w:pPr>
      <w:r>
        <w:rPr>
          <w:rStyle w:val="glavnitekst1"/>
          <w:rFonts w:ascii="Times New Roman" w:hAnsi="Times New Roman" w:cs="Times New Roman"/>
          <w:b w:val="0"/>
          <w:bCs w:val="0"/>
          <w:color w:val="auto"/>
          <w:sz w:val="24"/>
        </w:rPr>
        <w:t xml:space="preserve">(3) Poželjno je da, gdje god je to moguće, </w:t>
      </w:r>
      <w:r>
        <w:t>operateri ubuduće na stupove mobilne telekomunikacijske mreže zajedno postavljaju opremu za sve mreže (T-mobile, VIP i sl.) zbog racionalnog korištenja prostora.</w:t>
      </w:r>
    </w:p>
    <w:p w:rsidR="00012172" w:rsidRDefault="00012172">
      <w:pPr>
        <w:jc w:val="both"/>
        <w:rPr>
          <w:rStyle w:val="glavnitekst1"/>
          <w:rFonts w:ascii="Times New Roman" w:hAnsi="Times New Roman" w:cs="Times New Roman"/>
          <w:b w:val="0"/>
          <w:bCs w:val="0"/>
          <w:color w:val="auto"/>
          <w:sz w:val="24"/>
        </w:rPr>
      </w:pPr>
      <w:r>
        <w:rPr>
          <w:rStyle w:val="glavnitekst1"/>
          <w:rFonts w:ascii="Times New Roman" w:hAnsi="Times New Roman" w:cs="Times New Roman"/>
          <w:b w:val="0"/>
          <w:bCs w:val="0"/>
          <w:color w:val="auto"/>
          <w:sz w:val="24"/>
        </w:rPr>
        <w:t>(4) Radi zaštite vizura na građevine od kulturno-povijesnog značaja, za gradnju tornjeva na koje se planiraju postaviti antenski uređaji i bazne postaje radijskih i telekomunikacijskih sustava, kao i za postavu uređaja na same građevine, potrebno je u postupku izdavanja uvjeta za gradnju zatražiti suglasnost nadležne uprave za zaštitu kulturne baštine.</w:t>
      </w:r>
    </w:p>
    <w:p w:rsidR="00012172" w:rsidRDefault="00012172">
      <w:pPr>
        <w:rPr>
          <w:rStyle w:val="glavnitekst1"/>
          <w:rFonts w:ascii="Times New Roman" w:hAnsi="Times New Roman" w:cs="Times New Roman"/>
          <w:b w:val="0"/>
          <w:bCs w:val="0"/>
          <w:color w:val="auto"/>
          <w:sz w:val="24"/>
        </w:rPr>
      </w:pPr>
    </w:p>
    <w:p w:rsidR="00012172" w:rsidRDefault="00012172">
      <w:pPr>
        <w:jc w:val="both"/>
        <w:rPr>
          <w:b/>
        </w:rPr>
      </w:pPr>
    </w:p>
    <w:p w:rsidR="00012172" w:rsidRDefault="00012172">
      <w:pPr>
        <w:jc w:val="center"/>
        <w:rPr>
          <w:bCs/>
          <w:szCs w:val="22"/>
        </w:rPr>
      </w:pPr>
      <w:r>
        <w:rPr>
          <w:bCs/>
          <w:szCs w:val="22"/>
        </w:rPr>
        <w:t>Č</w:t>
      </w:r>
      <w:r>
        <w:rPr>
          <w:bCs/>
          <w:szCs w:val="22"/>
          <w:lang w:val="en-AU"/>
        </w:rPr>
        <w:t>lanak</w:t>
      </w:r>
      <w:r w:rsidR="00F237BF">
        <w:rPr>
          <w:bCs/>
          <w:szCs w:val="22"/>
        </w:rPr>
        <w:t xml:space="preserve"> 95</w:t>
      </w:r>
      <w:r>
        <w:rPr>
          <w:bCs/>
          <w:szCs w:val="22"/>
        </w:rPr>
        <w:t>.</w:t>
      </w:r>
    </w:p>
    <w:p w:rsidR="00012172" w:rsidRDefault="00012172">
      <w:pPr>
        <w:jc w:val="both"/>
        <w:rPr>
          <w:b/>
          <w:szCs w:val="22"/>
        </w:rPr>
      </w:pPr>
      <w:r>
        <w:rPr>
          <w:bCs/>
          <w:szCs w:val="22"/>
        </w:rPr>
        <w:t xml:space="preserve">(1) </w:t>
      </w:r>
      <w:r>
        <w:rPr>
          <w:bCs/>
          <w:szCs w:val="22"/>
          <w:lang w:val="en-AU"/>
        </w:rPr>
        <w:t>Jedinica</w:t>
      </w:r>
      <w:r>
        <w:rPr>
          <w:bCs/>
          <w:szCs w:val="22"/>
        </w:rPr>
        <w:t xml:space="preserve"> </w:t>
      </w:r>
      <w:r>
        <w:rPr>
          <w:bCs/>
          <w:szCs w:val="22"/>
          <w:lang w:val="en-AU"/>
        </w:rPr>
        <w:t>po</w:t>
      </w:r>
      <w:r>
        <w:rPr>
          <w:bCs/>
          <w:szCs w:val="22"/>
        </w:rPr>
        <w:t>š</w:t>
      </w:r>
      <w:r>
        <w:rPr>
          <w:bCs/>
          <w:szCs w:val="22"/>
          <w:lang w:val="en-AU"/>
        </w:rPr>
        <w:t>tanske</w:t>
      </w:r>
      <w:r>
        <w:rPr>
          <w:bCs/>
          <w:szCs w:val="22"/>
        </w:rPr>
        <w:t xml:space="preserve"> </w:t>
      </w:r>
      <w:r>
        <w:rPr>
          <w:bCs/>
          <w:szCs w:val="22"/>
          <w:lang w:val="en-AU"/>
        </w:rPr>
        <w:t>mre</w:t>
      </w:r>
      <w:r>
        <w:rPr>
          <w:bCs/>
          <w:szCs w:val="22"/>
        </w:rPr>
        <w:t>ž</w:t>
      </w:r>
      <w:r>
        <w:rPr>
          <w:bCs/>
          <w:szCs w:val="22"/>
          <w:lang w:val="en-AU"/>
        </w:rPr>
        <w:t>e</w:t>
      </w:r>
      <w:r>
        <w:rPr>
          <w:bCs/>
          <w:szCs w:val="22"/>
        </w:rPr>
        <w:t xml:space="preserve"> </w:t>
      </w:r>
      <w:r>
        <w:rPr>
          <w:bCs/>
          <w:szCs w:val="22"/>
          <w:lang w:val="en-AU"/>
        </w:rPr>
        <w:t>postoji</w:t>
      </w:r>
      <w:r>
        <w:rPr>
          <w:bCs/>
          <w:szCs w:val="22"/>
        </w:rPr>
        <w:t xml:space="preserve"> </w:t>
      </w:r>
      <w:r>
        <w:rPr>
          <w:bCs/>
          <w:szCs w:val="22"/>
          <w:lang w:val="en-AU"/>
        </w:rPr>
        <w:t>u</w:t>
      </w:r>
      <w:r>
        <w:rPr>
          <w:bCs/>
          <w:szCs w:val="22"/>
        </w:rPr>
        <w:t xml:space="preserve"> </w:t>
      </w:r>
      <w:r>
        <w:rPr>
          <w:bCs/>
          <w:szCs w:val="22"/>
          <w:lang w:val="en-AU"/>
        </w:rPr>
        <w:t>naselju</w:t>
      </w:r>
      <w:r>
        <w:rPr>
          <w:bCs/>
          <w:szCs w:val="22"/>
        </w:rPr>
        <w:t xml:space="preserve">  </w:t>
      </w:r>
      <w:r>
        <w:rPr>
          <w:bCs/>
          <w:szCs w:val="22"/>
          <w:lang w:val="en-AU"/>
        </w:rPr>
        <w:t>Gornja</w:t>
      </w:r>
      <w:r>
        <w:rPr>
          <w:bCs/>
          <w:szCs w:val="22"/>
        </w:rPr>
        <w:t xml:space="preserve"> </w:t>
      </w:r>
      <w:r>
        <w:rPr>
          <w:bCs/>
          <w:szCs w:val="22"/>
          <w:lang w:val="en-AU"/>
        </w:rPr>
        <w:t>Rijeka</w:t>
      </w:r>
      <w:r>
        <w:rPr>
          <w:bCs/>
          <w:szCs w:val="22"/>
        </w:rPr>
        <w:t>.</w:t>
      </w:r>
    </w:p>
    <w:p w:rsidR="00012172" w:rsidRDefault="00012172">
      <w:pPr>
        <w:pStyle w:val="Naslov6"/>
        <w:rPr>
          <w:bCs w:val="0"/>
          <w:szCs w:val="22"/>
        </w:rPr>
      </w:pPr>
    </w:p>
    <w:p w:rsidR="00012172" w:rsidRPr="00165BAC" w:rsidRDefault="00012172">
      <w:pPr>
        <w:pStyle w:val="Naslov6"/>
        <w:rPr>
          <w:rFonts w:ascii="Times New Roman" w:hAnsi="Times New Roman"/>
          <w:bCs w:val="0"/>
          <w:sz w:val="24"/>
          <w:szCs w:val="22"/>
        </w:rPr>
      </w:pPr>
      <w:r>
        <w:rPr>
          <w:rFonts w:ascii="Times New Roman" w:hAnsi="Times New Roman"/>
          <w:bCs w:val="0"/>
          <w:sz w:val="24"/>
          <w:szCs w:val="22"/>
          <w:lang w:val="de-DE"/>
        </w:rPr>
        <w:t>Sustav</w:t>
      </w:r>
      <w:r w:rsidRPr="00165BAC">
        <w:rPr>
          <w:rFonts w:ascii="Times New Roman" w:hAnsi="Times New Roman"/>
          <w:bCs w:val="0"/>
          <w:sz w:val="24"/>
          <w:szCs w:val="22"/>
        </w:rPr>
        <w:t xml:space="preserve"> </w:t>
      </w:r>
      <w:r>
        <w:rPr>
          <w:rFonts w:ascii="Times New Roman" w:hAnsi="Times New Roman"/>
          <w:bCs w:val="0"/>
          <w:sz w:val="24"/>
          <w:szCs w:val="22"/>
          <w:lang w:val="de-DE"/>
        </w:rPr>
        <w:t>komunalne</w:t>
      </w:r>
      <w:r w:rsidRPr="00165BAC">
        <w:rPr>
          <w:rFonts w:ascii="Times New Roman" w:hAnsi="Times New Roman"/>
          <w:bCs w:val="0"/>
          <w:sz w:val="24"/>
          <w:szCs w:val="22"/>
        </w:rPr>
        <w:t xml:space="preserve"> </w:t>
      </w:r>
      <w:r>
        <w:rPr>
          <w:rFonts w:ascii="Times New Roman" w:hAnsi="Times New Roman"/>
          <w:bCs w:val="0"/>
          <w:sz w:val="24"/>
          <w:szCs w:val="22"/>
          <w:lang w:val="de-DE"/>
        </w:rPr>
        <w:t>infrastrukture</w:t>
      </w:r>
    </w:p>
    <w:p w:rsidR="00012172" w:rsidRDefault="00012172"/>
    <w:p w:rsidR="00012172" w:rsidRDefault="00012172">
      <w:pPr>
        <w:jc w:val="center"/>
        <w:rPr>
          <w:szCs w:val="22"/>
        </w:rPr>
      </w:pPr>
      <w:r>
        <w:rPr>
          <w:szCs w:val="22"/>
        </w:rPr>
        <w:t>Č</w:t>
      </w:r>
      <w:r>
        <w:rPr>
          <w:szCs w:val="22"/>
          <w:lang w:val="de-DE"/>
        </w:rPr>
        <w:t>lanak</w:t>
      </w:r>
      <w:r>
        <w:rPr>
          <w:szCs w:val="22"/>
        </w:rPr>
        <w:t xml:space="preserve"> 9</w:t>
      </w:r>
      <w:r w:rsidR="00F237BF">
        <w:rPr>
          <w:szCs w:val="22"/>
        </w:rPr>
        <w:t>6</w:t>
      </w:r>
      <w:r>
        <w:rPr>
          <w:szCs w:val="22"/>
        </w:rPr>
        <w:t>.</w:t>
      </w:r>
    </w:p>
    <w:p w:rsidR="00012172" w:rsidRDefault="00012172" w:rsidP="000F6ACD">
      <w:pPr>
        <w:numPr>
          <w:ilvl w:val="0"/>
          <w:numId w:val="42"/>
        </w:numPr>
        <w:jc w:val="both"/>
        <w:rPr>
          <w:szCs w:val="22"/>
        </w:rPr>
      </w:pPr>
      <w:r>
        <w:rPr>
          <w:szCs w:val="22"/>
          <w:lang w:val="de-DE"/>
        </w:rPr>
        <w:t>Trafostanice</w:t>
      </w:r>
      <w:r>
        <w:rPr>
          <w:szCs w:val="22"/>
        </w:rPr>
        <w:t xml:space="preserve"> </w:t>
      </w:r>
      <w:r>
        <w:rPr>
          <w:szCs w:val="22"/>
          <w:lang w:val="de-DE"/>
        </w:rPr>
        <w:t>kada</w:t>
      </w:r>
      <w:r>
        <w:rPr>
          <w:szCs w:val="22"/>
        </w:rPr>
        <w:t xml:space="preserve"> </w:t>
      </w:r>
      <w:r>
        <w:rPr>
          <w:szCs w:val="22"/>
          <w:lang w:val="de-DE"/>
        </w:rPr>
        <w:t>se</w:t>
      </w:r>
      <w:r>
        <w:rPr>
          <w:szCs w:val="22"/>
        </w:rPr>
        <w:t xml:space="preserve"> </w:t>
      </w:r>
      <w:r>
        <w:rPr>
          <w:szCs w:val="22"/>
          <w:lang w:val="de-DE"/>
        </w:rPr>
        <w:t>ne</w:t>
      </w:r>
      <w:r>
        <w:rPr>
          <w:szCs w:val="22"/>
        </w:rPr>
        <w:t xml:space="preserve"> </w:t>
      </w:r>
      <w:r>
        <w:rPr>
          <w:szCs w:val="22"/>
          <w:lang w:val="de-DE"/>
        </w:rPr>
        <w:t>grade</w:t>
      </w:r>
      <w:r>
        <w:rPr>
          <w:szCs w:val="22"/>
        </w:rPr>
        <w:t xml:space="preserve"> </w:t>
      </w:r>
      <w:r>
        <w:rPr>
          <w:szCs w:val="22"/>
          <w:lang w:val="de-DE"/>
        </w:rPr>
        <w:t>u</w:t>
      </w:r>
      <w:r>
        <w:rPr>
          <w:szCs w:val="22"/>
        </w:rPr>
        <w:t xml:space="preserve"> </w:t>
      </w:r>
      <w:r>
        <w:rPr>
          <w:szCs w:val="22"/>
          <w:lang w:val="de-DE"/>
        </w:rPr>
        <w:t>sklopu</w:t>
      </w:r>
      <w:r>
        <w:rPr>
          <w:szCs w:val="22"/>
        </w:rPr>
        <w:t xml:space="preserve"> </w:t>
      </w:r>
      <w:r>
        <w:rPr>
          <w:szCs w:val="22"/>
          <w:lang w:val="de-DE"/>
        </w:rPr>
        <w:t>druge</w:t>
      </w:r>
      <w:r>
        <w:rPr>
          <w:szCs w:val="22"/>
        </w:rPr>
        <w:t xml:space="preserve"> </w:t>
      </w:r>
      <w:r>
        <w:rPr>
          <w:szCs w:val="22"/>
          <w:lang w:val="de-DE"/>
        </w:rPr>
        <w:t>gra</w:t>
      </w:r>
      <w:r>
        <w:rPr>
          <w:szCs w:val="22"/>
        </w:rPr>
        <w:t>đ</w:t>
      </w:r>
      <w:r>
        <w:rPr>
          <w:szCs w:val="22"/>
          <w:lang w:val="de-DE"/>
        </w:rPr>
        <w:t>evine</w:t>
      </w:r>
      <w:r>
        <w:rPr>
          <w:szCs w:val="22"/>
        </w:rPr>
        <w:t xml:space="preserve"> </w:t>
      </w:r>
      <w:r>
        <w:rPr>
          <w:szCs w:val="22"/>
          <w:lang w:val="de-DE"/>
        </w:rPr>
        <w:t>potrebno</w:t>
      </w:r>
      <w:r>
        <w:rPr>
          <w:szCs w:val="22"/>
        </w:rPr>
        <w:t xml:space="preserve"> </w:t>
      </w:r>
      <w:r>
        <w:rPr>
          <w:szCs w:val="22"/>
          <w:lang w:val="de-DE"/>
        </w:rPr>
        <w:t>je</w:t>
      </w:r>
      <w:r>
        <w:rPr>
          <w:szCs w:val="22"/>
        </w:rPr>
        <w:t xml:space="preserve"> </w:t>
      </w:r>
      <w:r>
        <w:rPr>
          <w:szCs w:val="22"/>
          <w:lang w:val="de-DE"/>
        </w:rPr>
        <w:t>uklopiti</w:t>
      </w:r>
      <w:r>
        <w:rPr>
          <w:szCs w:val="22"/>
        </w:rPr>
        <w:t xml:space="preserve"> </w:t>
      </w:r>
      <w:r>
        <w:rPr>
          <w:szCs w:val="22"/>
          <w:lang w:val="de-DE"/>
        </w:rPr>
        <w:t>u</w:t>
      </w:r>
      <w:r>
        <w:rPr>
          <w:szCs w:val="22"/>
        </w:rPr>
        <w:t xml:space="preserve"> </w:t>
      </w:r>
      <w:r>
        <w:rPr>
          <w:szCs w:val="22"/>
          <w:lang w:val="de-DE"/>
        </w:rPr>
        <w:t>izgra</w:t>
      </w:r>
      <w:r>
        <w:rPr>
          <w:szCs w:val="22"/>
        </w:rPr>
        <w:t>đ</w:t>
      </w:r>
      <w:r>
        <w:rPr>
          <w:szCs w:val="22"/>
          <w:lang w:val="de-DE"/>
        </w:rPr>
        <w:t>enu</w:t>
      </w:r>
      <w:r>
        <w:rPr>
          <w:szCs w:val="22"/>
        </w:rPr>
        <w:t xml:space="preserve"> </w:t>
      </w:r>
      <w:r>
        <w:rPr>
          <w:szCs w:val="22"/>
          <w:lang w:val="de-DE"/>
        </w:rPr>
        <w:t>strukturu</w:t>
      </w:r>
      <w:r>
        <w:rPr>
          <w:szCs w:val="22"/>
        </w:rPr>
        <w:t xml:space="preserve"> </w:t>
      </w:r>
      <w:r>
        <w:rPr>
          <w:szCs w:val="22"/>
          <w:lang w:val="de-DE"/>
        </w:rPr>
        <w:t>naselja</w:t>
      </w:r>
      <w:r>
        <w:rPr>
          <w:szCs w:val="22"/>
        </w:rPr>
        <w:t xml:space="preserve"> </w:t>
      </w:r>
      <w:r>
        <w:rPr>
          <w:szCs w:val="22"/>
          <w:lang w:val="de-DE"/>
        </w:rPr>
        <w:t>na</w:t>
      </w:r>
      <w:r>
        <w:rPr>
          <w:szCs w:val="22"/>
        </w:rPr>
        <w:t xml:space="preserve"> </w:t>
      </w:r>
      <w:r>
        <w:rPr>
          <w:szCs w:val="22"/>
          <w:lang w:val="de-DE"/>
        </w:rPr>
        <w:t>zasebnoj</w:t>
      </w:r>
      <w:r>
        <w:rPr>
          <w:szCs w:val="22"/>
        </w:rPr>
        <w:t xml:space="preserve"> </w:t>
      </w:r>
      <w:r>
        <w:rPr>
          <w:szCs w:val="22"/>
          <w:lang w:val="de-DE"/>
        </w:rPr>
        <w:t>gra</w:t>
      </w:r>
      <w:r>
        <w:rPr>
          <w:szCs w:val="22"/>
        </w:rPr>
        <w:t>đ</w:t>
      </w:r>
      <w:r>
        <w:rPr>
          <w:szCs w:val="22"/>
          <w:lang w:val="de-DE"/>
        </w:rPr>
        <w:t>evnoj</w:t>
      </w:r>
      <w:r>
        <w:rPr>
          <w:szCs w:val="22"/>
        </w:rPr>
        <w:t xml:space="preserve"> č</w:t>
      </w:r>
      <w:r>
        <w:rPr>
          <w:szCs w:val="22"/>
          <w:lang w:val="de-DE"/>
        </w:rPr>
        <w:t>estici</w:t>
      </w:r>
      <w:r>
        <w:rPr>
          <w:szCs w:val="22"/>
        </w:rPr>
        <w:t xml:space="preserve">, </w:t>
      </w:r>
      <w:r>
        <w:rPr>
          <w:szCs w:val="22"/>
          <w:lang w:val="de-DE"/>
        </w:rPr>
        <w:t>ali</w:t>
      </w:r>
      <w:r>
        <w:rPr>
          <w:szCs w:val="22"/>
        </w:rPr>
        <w:t xml:space="preserve"> </w:t>
      </w:r>
      <w:r>
        <w:rPr>
          <w:szCs w:val="22"/>
          <w:lang w:val="de-DE"/>
        </w:rPr>
        <w:t>tako</w:t>
      </w:r>
      <w:r>
        <w:rPr>
          <w:szCs w:val="22"/>
        </w:rPr>
        <w:t xml:space="preserve"> </w:t>
      </w:r>
      <w:r>
        <w:rPr>
          <w:szCs w:val="22"/>
          <w:lang w:val="de-DE"/>
        </w:rPr>
        <w:t>da</w:t>
      </w:r>
      <w:r>
        <w:rPr>
          <w:szCs w:val="22"/>
        </w:rPr>
        <w:t xml:space="preserve"> </w:t>
      </w:r>
      <w:r>
        <w:rPr>
          <w:szCs w:val="22"/>
          <w:lang w:val="de-DE"/>
        </w:rPr>
        <w:t>ne</w:t>
      </w:r>
      <w:r>
        <w:rPr>
          <w:szCs w:val="22"/>
        </w:rPr>
        <w:t xml:space="preserve"> </w:t>
      </w:r>
      <w:r>
        <w:rPr>
          <w:szCs w:val="22"/>
          <w:lang w:val="de-DE"/>
        </w:rPr>
        <w:t>smanjuju</w:t>
      </w:r>
      <w:r>
        <w:rPr>
          <w:szCs w:val="22"/>
        </w:rPr>
        <w:t xml:space="preserve"> </w:t>
      </w:r>
      <w:r>
        <w:rPr>
          <w:szCs w:val="22"/>
          <w:lang w:val="de-DE"/>
        </w:rPr>
        <w:t>preglednost</w:t>
      </w:r>
      <w:r>
        <w:rPr>
          <w:szCs w:val="22"/>
        </w:rPr>
        <w:t xml:space="preserve"> </w:t>
      </w:r>
      <w:r>
        <w:rPr>
          <w:szCs w:val="22"/>
          <w:lang w:val="de-DE"/>
        </w:rPr>
        <w:t>raskri</w:t>
      </w:r>
      <w:r>
        <w:rPr>
          <w:szCs w:val="22"/>
        </w:rPr>
        <w:t>ž</w:t>
      </w:r>
      <w:r>
        <w:rPr>
          <w:szCs w:val="22"/>
          <w:lang w:val="de-DE"/>
        </w:rPr>
        <w:t>ja</w:t>
      </w:r>
      <w:r>
        <w:rPr>
          <w:szCs w:val="22"/>
        </w:rPr>
        <w:t xml:space="preserve"> </w:t>
      </w:r>
      <w:r>
        <w:rPr>
          <w:szCs w:val="22"/>
          <w:lang w:val="de-DE"/>
        </w:rPr>
        <w:t>i</w:t>
      </w:r>
      <w:r>
        <w:rPr>
          <w:szCs w:val="22"/>
        </w:rPr>
        <w:t xml:space="preserve"> </w:t>
      </w:r>
      <w:r>
        <w:rPr>
          <w:szCs w:val="22"/>
          <w:lang w:val="de-DE"/>
        </w:rPr>
        <w:t>ne</w:t>
      </w:r>
      <w:r>
        <w:rPr>
          <w:szCs w:val="22"/>
        </w:rPr>
        <w:t xml:space="preserve"> </w:t>
      </w:r>
      <w:r>
        <w:rPr>
          <w:szCs w:val="22"/>
          <w:lang w:val="de-DE"/>
        </w:rPr>
        <w:t>remete</w:t>
      </w:r>
      <w:r>
        <w:rPr>
          <w:szCs w:val="22"/>
        </w:rPr>
        <w:t xml:space="preserve"> </w:t>
      </w:r>
      <w:r>
        <w:rPr>
          <w:szCs w:val="22"/>
          <w:lang w:val="de-DE"/>
        </w:rPr>
        <w:t>sklad</w:t>
      </w:r>
      <w:r>
        <w:rPr>
          <w:szCs w:val="22"/>
        </w:rPr>
        <w:t xml:space="preserve"> </w:t>
      </w:r>
      <w:r>
        <w:rPr>
          <w:szCs w:val="22"/>
          <w:lang w:val="de-DE"/>
        </w:rPr>
        <w:t>javnih</w:t>
      </w:r>
      <w:r>
        <w:rPr>
          <w:szCs w:val="22"/>
        </w:rPr>
        <w:t xml:space="preserve"> </w:t>
      </w:r>
      <w:r>
        <w:rPr>
          <w:szCs w:val="22"/>
          <w:lang w:val="de-DE"/>
        </w:rPr>
        <w:t>zelenih</w:t>
      </w:r>
      <w:r>
        <w:rPr>
          <w:szCs w:val="22"/>
        </w:rPr>
        <w:t xml:space="preserve"> </w:t>
      </w:r>
      <w:r>
        <w:rPr>
          <w:szCs w:val="22"/>
          <w:lang w:val="de-DE"/>
        </w:rPr>
        <w:t>povr</w:t>
      </w:r>
      <w:r>
        <w:rPr>
          <w:szCs w:val="22"/>
        </w:rPr>
        <w:t>š</w:t>
      </w:r>
      <w:r>
        <w:rPr>
          <w:szCs w:val="22"/>
          <w:lang w:val="de-DE"/>
        </w:rPr>
        <w:t>ina</w:t>
      </w:r>
      <w:r>
        <w:rPr>
          <w:szCs w:val="22"/>
        </w:rPr>
        <w:t xml:space="preserve"> </w:t>
      </w:r>
      <w:r>
        <w:rPr>
          <w:szCs w:val="22"/>
          <w:lang w:val="de-DE"/>
        </w:rPr>
        <w:t>te</w:t>
      </w:r>
      <w:r>
        <w:rPr>
          <w:szCs w:val="22"/>
        </w:rPr>
        <w:t xml:space="preserve"> </w:t>
      </w:r>
      <w:r>
        <w:rPr>
          <w:szCs w:val="22"/>
          <w:lang w:val="de-DE"/>
        </w:rPr>
        <w:t>da</w:t>
      </w:r>
      <w:r>
        <w:rPr>
          <w:szCs w:val="22"/>
        </w:rPr>
        <w:t xml:space="preserve"> </w:t>
      </w:r>
      <w:r>
        <w:rPr>
          <w:szCs w:val="22"/>
          <w:lang w:val="de-DE"/>
        </w:rPr>
        <w:t>budu</w:t>
      </w:r>
      <w:r>
        <w:rPr>
          <w:szCs w:val="22"/>
        </w:rPr>
        <w:t xml:space="preserve"> </w:t>
      </w:r>
      <w:r>
        <w:rPr>
          <w:szCs w:val="22"/>
          <w:lang w:val="de-DE"/>
        </w:rPr>
        <w:t>oblikovane</w:t>
      </w:r>
      <w:r>
        <w:rPr>
          <w:szCs w:val="22"/>
        </w:rPr>
        <w:t xml:space="preserve"> </w:t>
      </w:r>
      <w:r>
        <w:rPr>
          <w:szCs w:val="22"/>
          <w:lang w:val="de-DE"/>
        </w:rPr>
        <w:t>sukladno</w:t>
      </w:r>
      <w:r>
        <w:rPr>
          <w:szCs w:val="22"/>
        </w:rPr>
        <w:t xml:space="preserve"> </w:t>
      </w:r>
      <w:r>
        <w:rPr>
          <w:szCs w:val="22"/>
          <w:lang w:val="de-DE"/>
        </w:rPr>
        <w:t>okolnoj</w:t>
      </w:r>
      <w:r>
        <w:rPr>
          <w:szCs w:val="22"/>
        </w:rPr>
        <w:t xml:space="preserve"> </w:t>
      </w:r>
      <w:r>
        <w:rPr>
          <w:szCs w:val="22"/>
          <w:lang w:val="de-DE"/>
        </w:rPr>
        <w:t>arhitekturi</w:t>
      </w:r>
      <w:r>
        <w:rPr>
          <w:szCs w:val="22"/>
        </w:rPr>
        <w:t>.</w:t>
      </w:r>
    </w:p>
    <w:p w:rsidR="000F6ACD" w:rsidRDefault="000F6ACD" w:rsidP="000F6ACD">
      <w:pPr>
        <w:ind w:left="60"/>
        <w:jc w:val="both"/>
        <w:rPr>
          <w:szCs w:val="22"/>
        </w:rPr>
      </w:pPr>
    </w:p>
    <w:p w:rsidR="000F6ACD" w:rsidRDefault="000F6ACD" w:rsidP="000F6ACD">
      <w:pPr>
        <w:numPr>
          <w:ilvl w:val="0"/>
          <w:numId w:val="42"/>
        </w:numPr>
        <w:jc w:val="both"/>
        <w:rPr>
          <w:szCs w:val="22"/>
        </w:rPr>
      </w:pPr>
      <w:r>
        <w:rPr>
          <w:szCs w:val="22"/>
        </w:rPr>
        <w:t>U naselju Donja Rijeka izgradit će se nova trafostanica</w:t>
      </w:r>
      <w:r w:rsidR="00733344">
        <w:rPr>
          <w:szCs w:val="22"/>
        </w:rPr>
        <w:t>, a u ostalim Općinskim naseljima u planu je rekonstrucija mreže</w:t>
      </w:r>
      <w:r>
        <w:rPr>
          <w:szCs w:val="22"/>
        </w:rPr>
        <w:t>.</w:t>
      </w:r>
    </w:p>
    <w:p w:rsidR="00D73EB6" w:rsidRDefault="00D73EB6" w:rsidP="00D73EB6">
      <w:pPr>
        <w:jc w:val="both"/>
        <w:rPr>
          <w:szCs w:val="22"/>
        </w:rPr>
      </w:pPr>
    </w:p>
    <w:p w:rsidR="00D73EB6" w:rsidRDefault="00D73EB6" w:rsidP="000F6ACD">
      <w:pPr>
        <w:numPr>
          <w:ilvl w:val="0"/>
          <w:numId w:val="42"/>
        </w:numPr>
        <w:jc w:val="both"/>
        <w:rPr>
          <w:szCs w:val="22"/>
        </w:rPr>
      </w:pPr>
      <w:r>
        <w:rPr>
          <w:szCs w:val="22"/>
        </w:rPr>
        <w:t>U planu je izgradnja plinoopskrbne mreže.</w:t>
      </w:r>
    </w:p>
    <w:p w:rsidR="00D73EB6" w:rsidRDefault="00D73EB6" w:rsidP="00D73EB6">
      <w:pPr>
        <w:jc w:val="both"/>
        <w:rPr>
          <w:szCs w:val="22"/>
        </w:rPr>
      </w:pPr>
    </w:p>
    <w:p w:rsidR="00D73EB6" w:rsidRDefault="00D73EB6" w:rsidP="000F6ACD">
      <w:pPr>
        <w:numPr>
          <w:ilvl w:val="0"/>
          <w:numId w:val="42"/>
        </w:numPr>
        <w:jc w:val="both"/>
        <w:rPr>
          <w:szCs w:val="22"/>
        </w:rPr>
      </w:pPr>
      <w:r>
        <w:rPr>
          <w:szCs w:val="22"/>
        </w:rPr>
        <w:t>Izgradnja vodoopskrbne mreže vršit će se u skladu sa nivelacijom Studije vodoopskrbe Koprivničko-križevačke županije</w:t>
      </w:r>
    </w:p>
    <w:p w:rsidR="00012172" w:rsidRDefault="00012172">
      <w:pPr>
        <w:jc w:val="center"/>
        <w:rPr>
          <w:szCs w:val="22"/>
        </w:rPr>
      </w:pPr>
    </w:p>
    <w:p w:rsidR="00012172" w:rsidRDefault="00012172">
      <w:pPr>
        <w:jc w:val="center"/>
        <w:rPr>
          <w:szCs w:val="22"/>
        </w:rPr>
      </w:pPr>
      <w:r>
        <w:rPr>
          <w:szCs w:val="22"/>
        </w:rPr>
        <w:t>Č</w:t>
      </w:r>
      <w:r>
        <w:rPr>
          <w:szCs w:val="22"/>
          <w:lang w:val="de-DE"/>
        </w:rPr>
        <w:t>lanak</w:t>
      </w:r>
      <w:r w:rsidR="00F237BF">
        <w:rPr>
          <w:szCs w:val="22"/>
        </w:rPr>
        <w:t xml:space="preserve"> 97</w:t>
      </w:r>
      <w:r>
        <w:rPr>
          <w:szCs w:val="22"/>
        </w:rPr>
        <w:t>.</w:t>
      </w:r>
    </w:p>
    <w:p w:rsidR="00012172" w:rsidRDefault="00012172">
      <w:pPr>
        <w:jc w:val="both"/>
        <w:rPr>
          <w:szCs w:val="22"/>
        </w:rPr>
      </w:pPr>
      <w:r>
        <w:rPr>
          <w:szCs w:val="22"/>
        </w:rPr>
        <w:t>(1) Objekti sustava javne odvodnje i pročišćavanja  otpadnih voda načelno su prikazani u kartografskom prikazu 2. ''Infrastrukturni sustavi'', a konačno rješenje odvodnje i pročišćavanja otpadnih voda odredit će se ''Studijom zaštite voda Koprivničko-križevačke županije'', Dippold &amp; Gerold HIDROPROJEKT 91, Zagreb, koja je upravo u izradi i koja će dati cjelovito rješenje za zbrinjavanje otpadnih voda za područje čitave županije. Detaljno određivanje trasa kolektora i položaja uređaja za pročišćavanje otpadnih voda utvrđuje se idejnim rješenjem za izdavanje uvjeta za izgradnju.</w:t>
      </w:r>
    </w:p>
    <w:p w:rsidR="00012172" w:rsidRDefault="00012172">
      <w:pPr>
        <w:jc w:val="both"/>
        <w:rPr>
          <w:szCs w:val="22"/>
        </w:rPr>
      </w:pPr>
      <w:r>
        <w:rPr>
          <w:szCs w:val="22"/>
        </w:rPr>
        <w:t xml:space="preserve"> </w:t>
      </w:r>
    </w:p>
    <w:p w:rsidR="00012172" w:rsidRDefault="00012172">
      <w:pPr>
        <w:jc w:val="both"/>
        <w:rPr>
          <w:szCs w:val="22"/>
        </w:rPr>
      </w:pPr>
      <w:r>
        <w:rPr>
          <w:szCs w:val="22"/>
        </w:rPr>
        <w:t xml:space="preserve">(2) </w:t>
      </w:r>
      <w:r>
        <w:rPr>
          <w:szCs w:val="22"/>
          <w:lang w:val="de-DE"/>
        </w:rPr>
        <w:t>Ure</w:t>
      </w:r>
      <w:r>
        <w:rPr>
          <w:szCs w:val="22"/>
        </w:rPr>
        <w:t>đ</w:t>
      </w:r>
      <w:r>
        <w:rPr>
          <w:szCs w:val="22"/>
          <w:lang w:val="de-DE"/>
        </w:rPr>
        <w:t>aj</w:t>
      </w:r>
      <w:r>
        <w:rPr>
          <w:szCs w:val="22"/>
        </w:rPr>
        <w:t xml:space="preserve"> </w:t>
      </w:r>
      <w:r>
        <w:rPr>
          <w:szCs w:val="22"/>
          <w:lang w:val="de-DE"/>
        </w:rPr>
        <w:t>za</w:t>
      </w:r>
      <w:r>
        <w:rPr>
          <w:szCs w:val="22"/>
        </w:rPr>
        <w:t xml:space="preserve"> </w:t>
      </w:r>
      <w:r>
        <w:rPr>
          <w:szCs w:val="22"/>
          <w:lang w:val="de-DE"/>
        </w:rPr>
        <w:t>pro</w:t>
      </w:r>
      <w:r>
        <w:rPr>
          <w:szCs w:val="22"/>
        </w:rPr>
        <w:t>č</w:t>
      </w:r>
      <w:r>
        <w:rPr>
          <w:szCs w:val="22"/>
          <w:lang w:val="de-DE"/>
        </w:rPr>
        <w:t>i</w:t>
      </w:r>
      <w:r>
        <w:rPr>
          <w:szCs w:val="22"/>
        </w:rPr>
        <w:t>šć</w:t>
      </w:r>
      <w:r>
        <w:rPr>
          <w:szCs w:val="22"/>
          <w:lang w:val="de-DE"/>
        </w:rPr>
        <w:t>avanje</w:t>
      </w:r>
      <w:r>
        <w:rPr>
          <w:szCs w:val="22"/>
        </w:rPr>
        <w:t xml:space="preserve"> </w:t>
      </w:r>
      <w:r>
        <w:rPr>
          <w:szCs w:val="22"/>
          <w:lang w:val="de-DE"/>
        </w:rPr>
        <w:t>otpadnih</w:t>
      </w:r>
      <w:r>
        <w:rPr>
          <w:szCs w:val="22"/>
        </w:rPr>
        <w:t xml:space="preserve"> </w:t>
      </w:r>
      <w:r>
        <w:rPr>
          <w:szCs w:val="22"/>
          <w:lang w:val="de-DE"/>
        </w:rPr>
        <w:t>voda</w:t>
      </w:r>
      <w:r>
        <w:rPr>
          <w:szCs w:val="22"/>
        </w:rPr>
        <w:t xml:space="preserve"> </w:t>
      </w:r>
      <w:r>
        <w:rPr>
          <w:szCs w:val="22"/>
          <w:lang w:val="de-DE"/>
        </w:rPr>
        <w:t>klju</w:t>
      </w:r>
      <w:r>
        <w:rPr>
          <w:szCs w:val="22"/>
        </w:rPr>
        <w:t>č</w:t>
      </w:r>
      <w:r>
        <w:rPr>
          <w:szCs w:val="22"/>
          <w:lang w:val="de-DE"/>
        </w:rPr>
        <w:t>na</w:t>
      </w:r>
      <w:r>
        <w:rPr>
          <w:szCs w:val="22"/>
        </w:rPr>
        <w:t xml:space="preserve"> </w:t>
      </w:r>
      <w:r>
        <w:rPr>
          <w:szCs w:val="22"/>
          <w:lang w:val="de-DE"/>
        </w:rPr>
        <w:t>je</w:t>
      </w:r>
      <w:r>
        <w:rPr>
          <w:szCs w:val="22"/>
        </w:rPr>
        <w:t xml:space="preserve"> </w:t>
      </w:r>
      <w:r>
        <w:rPr>
          <w:szCs w:val="22"/>
          <w:lang w:val="de-DE"/>
        </w:rPr>
        <w:t>gra</w:t>
      </w:r>
      <w:r>
        <w:rPr>
          <w:szCs w:val="22"/>
        </w:rPr>
        <w:t>đ</w:t>
      </w:r>
      <w:r>
        <w:rPr>
          <w:szCs w:val="22"/>
          <w:lang w:val="de-DE"/>
        </w:rPr>
        <w:t>evina</w:t>
      </w:r>
      <w:r>
        <w:rPr>
          <w:szCs w:val="22"/>
        </w:rPr>
        <w:t xml:space="preserve"> </w:t>
      </w:r>
      <w:r>
        <w:rPr>
          <w:szCs w:val="22"/>
          <w:lang w:val="de-DE"/>
        </w:rPr>
        <w:t>za</w:t>
      </w:r>
      <w:r>
        <w:rPr>
          <w:szCs w:val="22"/>
        </w:rPr>
        <w:t xml:space="preserve"> </w:t>
      </w:r>
      <w:r>
        <w:rPr>
          <w:szCs w:val="22"/>
          <w:lang w:val="de-DE"/>
        </w:rPr>
        <w:t>za</w:t>
      </w:r>
      <w:r>
        <w:rPr>
          <w:szCs w:val="22"/>
        </w:rPr>
        <w:t>š</w:t>
      </w:r>
      <w:r>
        <w:rPr>
          <w:szCs w:val="22"/>
          <w:lang w:val="de-DE"/>
        </w:rPr>
        <w:t>titu</w:t>
      </w:r>
      <w:r>
        <w:rPr>
          <w:szCs w:val="22"/>
        </w:rPr>
        <w:t xml:space="preserve"> </w:t>
      </w:r>
      <w:r>
        <w:rPr>
          <w:szCs w:val="22"/>
          <w:lang w:val="de-DE"/>
        </w:rPr>
        <w:t>voda</w:t>
      </w:r>
      <w:r>
        <w:rPr>
          <w:szCs w:val="22"/>
        </w:rPr>
        <w:t xml:space="preserve">. </w:t>
      </w:r>
      <w:r>
        <w:rPr>
          <w:szCs w:val="22"/>
          <w:lang w:val="de-DE"/>
        </w:rPr>
        <w:t>Njegova</w:t>
      </w:r>
      <w:r>
        <w:rPr>
          <w:szCs w:val="22"/>
        </w:rPr>
        <w:t xml:space="preserve"> </w:t>
      </w:r>
      <w:r>
        <w:rPr>
          <w:szCs w:val="22"/>
          <w:lang w:val="de-DE"/>
        </w:rPr>
        <w:t>efikasnost</w:t>
      </w:r>
      <w:r>
        <w:rPr>
          <w:szCs w:val="22"/>
        </w:rPr>
        <w:t xml:space="preserve"> </w:t>
      </w:r>
      <w:r>
        <w:rPr>
          <w:szCs w:val="22"/>
          <w:lang w:val="de-DE"/>
        </w:rPr>
        <w:t>treba</w:t>
      </w:r>
      <w:r>
        <w:rPr>
          <w:szCs w:val="22"/>
        </w:rPr>
        <w:t xml:space="preserve"> </w:t>
      </w:r>
      <w:r>
        <w:rPr>
          <w:szCs w:val="22"/>
          <w:lang w:val="de-DE"/>
        </w:rPr>
        <w:t>biti</w:t>
      </w:r>
      <w:r>
        <w:rPr>
          <w:szCs w:val="22"/>
        </w:rPr>
        <w:t xml:space="preserve"> </w:t>
      </w:r>
      <w:r>
        <w:rPr>
          <w:szCs w:val="22"/>
          <w:lang w:val="de-DE"/>
        </w:rPr>
        <w:t>prilago</w:t>
      </w:r>
      <w:r>
        <w:rPr>
          <w:szCs w:val="22"/>
        </w:rPr>
        <w:t>đ</w:t>
      </w:r>
      <w:r>
        <w:rPr>
          <w:szCs w:val="22"/>
          <w:lang w:val="de-DE"/>
        </w:rPr>
        <w:t>ena</w:t>
      </w:r>
      <w:r>
        <w:rPr>
          <w:szCs w:val="22"/>
        </w:rPr>
        <w:t xml:space="preserve"> </w:t>
      </w:r>
      <w:r>
        <w:rPr>
          <w:szCs w:val="22"/>
          <w:lang w:val="de-DE"/>
        </w:rPr>
        <w:t>kategorizaciji</w:t>
      </w:r>
      <w:r>
        <w:rPr>
          <w:szCs w:val="22"/>
        </w:rPr>
        <w:t xml:space="preserve"> </w:t>
      </w:r>
      <w:r>
        <w:rPr>
          <w:szCs w:val="22"/>
          <w:lang w:val="de-DE"/>
        </w:rPr>
        <w:t>vodotoka</w:t>
      </w:r>
      <w:r>
        <w:rPr>
          <w:szCs w:val="22"/>
        </w:rPr>
        <w:t xml:space="preserve"> </w:t>
      </w:r>
      <w:r>
        <w:rPr>
          <w:szCs w:val="22"/>
          <w:lang w:val="de-DE"/>
        </w:rPr>
        <w:t>recipijenta</w:t>
      </w:r>
      <w:r>
        <w:rPr>
          <w:szCs w:val="22"/>
        </w:rPr>
        <w:t xml:space="preserve">, </w:t>
      </w:r>
      <w:r>
        <w:rPr>
          <w:szCs w:val="22"/>
          <w:lang w:val="de-DE"/>
        </w:rPr>
        <w:t>stupnju</w:t>
      </w:r>
      <w:r>
        <w:rPr>
          <w:szCs w:val="22"/>
        </w:rPr>
        <w:t xml:space="preserve"> </w:t>
      </w:r>
      <w:r>
        <w:rPr>
          <w:szCs w:val="22"/>
          <w:lang w:val="de-DE"/>
        </w:rPr>
        <w:t>ure</w:t>
      </w:r>
      <w:r>
        <w:rPr>
          <w:szCs w:val="22"/>
        </w:rPr>
        <w:t>đ</w:t>
      </w:r>
      <w:r>
        <w:rPr>
          <w:szCs w:val="22"/>
          <w:lang w:val="de-DE"/>
        </w:rPr>
        <w:t>enosti</w:t>
      </w:r>
      <w:r>
        <w:rPr>
          <w:szCs w:val="22"/>
        </w:rPr>
        <w:t xml:space="preserve"> </w:t>
      </w:r>
      <w:r>
        <w:rPr>
          <w:szCs w:val="22"/>
          <w:lang w:val="de-DE"/>
        </w:rPr>
        <w:t>vodotoka</w:t>
      </w:r>
      <w:r>
        <w:rPr>
          <w:szCs w:val="22"/>
        </w:rPr>
        <w:t xml:space="preserve">, </w:t>
      </w:r>
      <w:r>
        <w:rPr>
          <w:szCs w:val="22"/>
          <w:lang w:val="de-DE"/>
        </w:rPr>
        <w:t>te</w:t>
      </w:r>
      <w:r>
        <w:rPr>
          <w:szCs w:val="22"/>
        </w:rPr>
        <w:t xml:space="preserve"> </w:t>
      </w:r>
      <w:r>
        <w:rPr>
          <w:szCs w:val="22"/>
          <w:lang w:val="de-DE"/>
        </w:rPr>
        <w:t>minimalno</w:t>
      </w:r>
      <w:r>
        <w:rPr>
          <w:szCs w:val="22"/>
        </w:rPr>
        <w:t xml:space="preserve"> </w:t>
      </w:r>
      <w:r>
        <w:rPr>
          <w:szCs w:val="22"/>
          <w:lang w:val="de-DE"/>
        </w:rPr>
        <w:t>dozvoljenim</w:t>
      </w:r>
      <w:r>
        <w:rPr>
          <w:szCs w:val="22"/>
        </w:rPr>
        <w:t xml:space="preserve"> </w:t>
      </w:r>
      <w:r>
        <w:rPr>
          <w:szCs w:val="22"/>
          <w:lang w:val="de-DE"/>
        </w:rPr>
        <w:t>protokama</w:t>
      </w:r>
      <w:r>
        <w:rPr>
          <w:szCs w:val="22"/>
        </w:rPr>
        <w:t>.</w:t>
      </w:r>
    </w:p>
    <w:p w:rsidR="00012172" w:rsidRDefault="00012172">
      <w:pPr>
        <w:jc w:val="both"/>
        <w:rPr>
          <w:szCs w:val="22"/>
        </w:rPr>
      </w:pPr>
    </w:p>
    <w:p w:rsidR="00012172" w:rsidRDefault="00012172">
      <w:pPr>
        <w:jc w:val="both"/>
        <w:rPr>
          <w:szCs w:val="22"/>
        </w:rPr>
      </w:pPr>
      <w:r>
        <w:rPr>
          <w:szCs w:val="22"/>
        </w:rPr>
        <w:t>(3) Obzirom na konfiguraciju terena i velik broj malih naselja tehnički i financijski ih je vrlo zahtjevno povezati u jedinstven sustav odvodnje i pročišćavanja otpadnih voda pa je za ta naselja poželjno izvesti separatna rješenja. Moguće je u naseljima sa više od 400 stanovnika odvodnju otpadnih voda rješavati središnjim uređajem za pročišćavanje, dok je u manjim naseljima isplativije sanitarno – fekalne vode rješavati na neki drugi, tehnički ispravan način: biolagune, nepropusne trodjelne septičke jame ili slično.</w:t>
      </w:r>
    </w:p>
    <w:p w:rsidR="00012172" w:rsidRDefault="00012172">
      <w:pPr>
        <w:jc w:val="both"/>
        <w:rPr>
          <w:szCs w:val="22"/>
        </w:rPr>
      </w:pPr>
    </w:p>
    <w:p w:rsidR="00012172" w:rsidRDefault="00012172">
      <w:pPr>
        <w:jc w:val="both"/>
        <w:rPr>
          <w:szCs w:val="22"/>
        </w:rPr>
      </w:pPr>
      <w:r>
        <w:rPr>
          <w:szCs w:val="22"/>
        </w:rPr>
        <w:t>(4) Svi mali zagađivači raštrkani po prostoru moraju rješavati probleme zaštite voda individualnim mjerama zaštite kroz uređenje gospodarskih dvorišta, septičkih jama, gnojnica, gnojišta sa kontroliranom dispozicijom otpadne tvari, a prema potrebi izgradnji malih tipskih uređaja za pročišćavanje otpadnih voda.</w:t>
      </w:r>
    </w:p>
    <w:p w:rsidR="00012172" w:rsidRDefault="00012172">
      <w:pPr>
        <w:jc w:val="both"/>
        <w:rPr>
          <w:szCs w:val="22"/>
        </w:rPr>
      </w:pPr>
    </w:p>
    <w:p w:rsidR="00012172" w:rsidRDefault="00012172">
      <w:pPr>
        <w:jc w:val="both"/>
        <w:rPr>
          <w:szCs w:val="22"/>
        </w:rPr>
      </w:pPr>
      <w:r>
        <w:rPr>
          <w:szCs w:val="22"/>
        </w:rPr>
        <w:t>(5) Položaj građevine za odvodnju otpadnih voda – glavni odvodni kanal (kolektor) ucrtanog u grafičkom dijelu Plana ima usmjeravajuće značenje te su dozvoljene prostorne prilagodbe, ovisno o konačnom odabiru sustava odvodnje i pročišćavanja otpadnih voda za područje općine.</w:t>
      </w:r>
    </w:p>
    <w:p w:rsidR="00012172" w:rsidRDefault="00012172">
      <w:pPr>
        <w:jc w:val="both"/>
        <w:rPr>
          <w:szCs w:val="22"/>
        </w:rPr>
      </w:pPr>
    </w:p>
    <w:p w:rsidR="00012172" w:rsidRDefault="00012172">
      <w:pPr>
        <w:jc w:val="both"/>
        <w:rPr>
          <w:szCs w:val="22"/>
        </w:rPr>
      </w:pPr>
      <w:r>
        <w:rPr>
          <w:szCs w:val="22"/>
        </w:rPr>
        <w:t>(6) Izgradnja i odabir sustava pročišćavanja i odvodnje otpadnih voda za područje cijele općine treba biti usklađena sa ''Studijom zaštite voda Koprivničko – križevačke županije''.</w:t>
      </w:r>
    </w:p>
    <w:p w:rsidR="00012172" w:rsidRDefault="00012172">
      <w:pPr>
        <w:jc w:val="both"/>
        <w:rPr>
          <w:szCs w:val="22"/>
        </w:rPr>
      </w:pPr>
    </w:p>
    <w:p w:rsidR="00012172" w:rsidRDefault="00012172">
      <w:pPr>
        <w:jc w:val="both"/>
        <w:rPr>
          <w:szCs w:val="22"/>
        </w:rPr>
      </w:pPr>
      <w:r>
        <w:rPr>
          <w:szCs w:val="22"/>
        </w:rPr>
        <w:t xml:space="preserve">(7) </w:t>
      </w:r>
      <w:r>
        <w:rPr>
          <w:szCs w:val="22"/>
          <w:lang w:val="de-DE"/>
        </w:rPr>
        <w:t>Lokaciju</w:t>
      </w:r>
      <w:r>
        <w:rPr>
          <w:szCs w:val="22"/>
        </w:rPr>
        <w:t xml:space="preserve"> </w:t>
      </w:r>
      <w:r>
        <w:rPr>
          <w:szCs w:val="22"/>
          <w:lang w:val="de-DE"/>
        </w:rPr>
        <w:t>ure</w:t>
      </w:r>
      <w:r>
        <w:rPr>
          <w:szCs w:val="22"/>
        </w:rPr>
        <w:t>đ</w:t>
      </w:r>
      <w:r>
        <w:rPr>
          <w:szCs w:val="22"/>
          <w:lang w:val="de-DE"/>
        </w:rPr>
        <w:t>aja</w:t>
      </w:r>
      <w:r>
        <w:rPr>
          <w:szCs w:val="22"/>
        </w:rPr>
        <w:t xml:space="preserve"> </w:t>
      </w:r>
      <w:r>
        <w:rPr>
          <w:szCs w:val="22"/>
          <w:lang w:val="de-DE"/>
        </w:rPr>
        <w:t>za</w:t>
      </w:r>
      <w:r>
        <w:rPr>
          <w:szCs w:val="22"/>
        </w:rPr>
        <w:t xml:space="preserve"> </w:t>
      </w:r>
      <w:r>
        <w:rPr>
          <w:szCs w:val="22"/>
          <w:lang w:val="de-DE"/>
        </w:rPr>
        <w:t>pro</w:t>
      </w:r>
      <w:r>
        <w:rPr>
          <w:szCs w:val="22"/>
        </w:rPr>
        <w:t>č</w:t>
      </w:r>
      <w:r>
        <w:rPr>
          <w:szCs w:val="22"/>
          <w:lang w:val="de-DE"/>
        </w:rPr>
        <w:t>i</w:t>
      </w:r>
      <w:r>
        <w:rPr>
          <w:szCs w:val="22"/>
        </w:rPr>
        <w:t>šć</w:t>
      </w:r>
      <w:r>
        <w:rPr>
          <w:szCs w:val="22"/>
          <w:lang w:val="de-DE"/>
        </w:rPr>
        <w:t>avanje</w:t>
      </w:r>
      <w:r>
        <w:rPr>
          <w:szCs w:val="22"/>
        </w:rPr>
        <w:t xml:space="preserve"> </w:t>
      </w:r>
      <w:r>
        <w:rPr>
          <w:szCs w:val="22"/>
          <w:lang w:val="de-DE"/>
        </w:rPr>
        <w:t>otpadnih</w:t>
      </w:r>
      <w:r>
        <w:rPr>
          <w:szCs w:val="22"/>
        </w:rPr>
        <w:t xml:space="preserve"> </w:t>
      </w:r>
      <w:r>
        <w:rPr>
          <w:szCs w:val="22"/>
          <w:lang w:val="de-DE"/>
        </w:rPr>
        <w:t>voda</w:t>
      </w:r>
      <w:r>
        <w:rPr>
          <w:szCs w:val="22"/>
        </w:rPr>
        <w:t xml:space="preserve"> treba </w:t>
      </w:r>
      <w:r>
        <w:rPr>
          <w:szCs w:val="22"/>
          <w:lang w:val="de-DE"/>
        </w:rPr>
        <w:t>predvi</w:t>
      </w:r>
      <w:r>
        <w:rPr>
          <w:szCs w:val="22"/>
        </w:rPr>
        <w:t xml:space="preserve">djeti </w:t>
      </w:r>
      <w:r>
        <w:rPr>
          <w:szCs w:val="22"/>
          <w:lang w:val="de-DE"/>
        </w:rPr>
        <w:t>tako</w:t>
      </w:r>
      <w:r>
        <w:rPr>
          <w:szCs w:val="22"/>
        </w:rPr>
        <w:t xml:space="preserve"> </w:t>
      </w:r>
      <w:r>
        <w:rPr>
          <w:szCs w:val="22"/>
          <w:lang w:val="de-DE"/>
        </w:rPr>
        <w:t>da</w:t>
      </w:r>
      <w:r>
        <w:rPr>
          <w:szCs w:val="22"/>
        </w:rPr>
        <w:t xml:space="preserve"> </w:t>
      </w:r>
      <w:r>
        <w:rPr>
          <w:szCs w:val="22"/>
          <w:lang w:val="de-DE"/>
        </w:rPr>
        <w:t>ne</w:t>
      </w:r>
      <w:r>
        <w:rPr>
          <w:szCs w:val="22"/>
        </w:rPr>
        <w:t xml:space="preserve"> </w:t>
      </w:r>
      <w:r>
        <w:rPr>
          <w:szCs w:val="22"/>
          <w:lang w:val="de-DE"/>
        </w:rPr>
        <w:t>smeta</w:t>
      </w:r>
      <w:r>
        <w:rPr>
          <w:szCs w:val="22"/>
        </w:rPr>
        <w:t xml:space="preserve"> </w:t>
      </w:r>
      <w:r>
        <w:rPr>
          <w:szCs w:val="22"/>
          <w:lang w:val="de-DE"/>
        </w:rPr>
        <w:t>razvoju</w:t>
      </w:r>
      <w:r>
        <w:rPr>
          <w:szCs w:val="22"/>
        </w:rPr>
        <w:t xml:space="preserve"> </w:t>
      </w:r>
      <w:r>
        <w:rPr>
          <w:szCs w:val="22"/>
          <w:lang w:val="de-DE"/>
        </w:rPr>
        <w:t>naselja</w:t>
      </w:r>
      <w:r>
        <w:rPr>
          <w:szCs w:val="22"/>
        </w:rPr>
        <w:t xml:space="preserve">, </w:t>
      </w:r>
      <w:r>
        <w:rPr>
          <w:szCs w:val="22"/>
          <w:lang w:val="de-DE"/>
        </w:rPr>
        <w:t>a</w:t>
      </w:r>
      <w:r>
        <w:rPr>
          <w:szCs w:val="22"/>
        </w:rPr>
        <w:t xml:space="preserve"> </w:t>
      </w:r>
      <w:r>
        <w:rPr>
          <w:szCs w:val="22"/>
          <w:lang w:val="de-DE"/>
        </w:rPr>
        <w:t>pred</w:t>
      </w:r>
      <w:r>
        <w:rPr>
          <w:szCs w:val="22"/>
        </w:rPr>
        <w:t xml:space="preserve"> </w:t>
      </w:r>
      <w:r>
        <w:rPr>
          <w:szCs w:val="22"/>
          <w:lang w:val="de-DE"/>
        </w:rPr>
        <w:t>ure</w:t>
      </w:r>
      <w:r>
        <w:rPr>
          <w:szCs w:val="22"/>
        </w:rPr>
        <w:t>đ</w:t>
      </w:r>
      <w:r>
        <w:rPr>
          <w:szCs w:val="22"/>
          <w:lang w:val="de-DE"/>
        </w:rPr>
        <w:t>aj</w:t>
      </w:r>
      <w:r>
        <w:rPr>
          <w:szCs w:val="22"/>
        </w:rPr>
        <w:t xml:space="preserve"> </w:t>
      </w:r>
      <w:r>
        <w:rPr>
          <w:szCs w:val="22"/>
          <w:lang w:val="de-DE"/>
        </w:rPr>
        <w:t>postavlja</w:t>
      </w:r>
      <w:r>
        <w:rPr>
          <w:szCs w:val="22"/>
        </w:rPr>
        <w:t xml:space="preserve"> </w:t>
      </w:r>
      <w:r>
        <w:rPr>
          <w:szCs w:val="22"/>
          <w:lang w:val="de-DE"/>
        </w:rPr>
        <w:t>se</w:t>
      </w:r>
      <w:r>
        <w:rPr>
          <w:szCs w:val="22"/>
        </w:rPr>
        <w:t xml:space="preserve"> </w:t>
      </w:r>
      <w:r>
        <w:rPr>
          <w:szCs w:val="22"/>
          <w:lang w:val="de-DE"/>
        </w:rPr>
        <w:t>zahtjev</w:t>
      </w:r>
      <w:r>
        <w:rPr>
          <w:szCs w:val="22"/>
        </w:rPr>
        <w:t xml:space="preserve"> </w:t>
      </w:r>
      <w:r>
        <w:rPr>
          <w:szCs w:val="22"/>
          <w:lang w:val="de-DE"/>
        </w:rPr>
        <w:t>za</w:t>
      </w:r>
      <w:r>
        <w:rPr>
          <w:szCs w:val="22"/>
        </w:rPr>
        <w:t xml:space="preserve"> </w:t>
      </w:r>
      <w:r>
        <w:rPr>
          <w:szCs w:val="22"/>
          <w:lang w:val="de-DE"/>
        </w:rPr>
        <w:t>zadovoljenje</w:t>
      </w:r>
      <w:r>
        <w:rPr>
          <w:szCs w:val="22"/>
        </w:rPr>
        <w:t xml:space="preserve"> </w:t>
      </w:r>
      <w:r>
        <w:rPr>
          <w:szCs w:val="22"/>
          <w:lang w:val="de-DE"/>
        </w:rPr>
        <w:t>tehni</w:t>
      </w:r>
      <w:r>
        <w:rPr>
          <w:szCs w:val="22"/>
        </w:rPr>
        <w:t>č</w:t>
      </w:r>
      <w:r>
        <w:rPr>
          <w:szCs w:val="22"/>
          <w:lang w:val="de-DE"/>
        </w:rPr>
        <w:t>kih</w:t>
      </w:r>
      <w:r>
        <w:rPr>
          <w:szCs w:val="22"/>
        </w:rPr>
        <w:t xml:space="preserve">, </w:t>
      </w:r>
      <w:r>
        <w:rPr>
          <w:szCs w:val="22"/>
          <w:lang w:val="de-DE"/>
        </w:rPr>
        <w:t>sanitarnih</w:t>
      </w:r>
      <w:r>
        <w:rPr>
          <w:szCs w:val="22"/>
        </w:rPr>
        <w:t xml:space="preserve"> </w:t>
      </w:r>
      <w:r>
        <w:rPr>
          <w:szCs w:val="22"/>
          <w:lang w:val="de-DE"/>
        </w:rPr>
        <w:t>i</w:t>
      </w:r>
      <w:r>
        <w:rPr>
          <w:szCs w:val="22"/>
        </w:rPr>
        <w:t xml:space="preserve"> </w:t>
      </w:r>
      <w:r>
        <w:rPr>
          <w:szCs w:val="22"/>
          <w:lang w:val="de-DE"/>
        </w:rPr>
        <w:t>estetskih</w:t>
      </w:r>
      <w:r>
        <w:rPr>
          <w:szCs w:val="22"/>
        </w:rPr>
        <w:t xml:space="preserve"> </w:t>
      </w:r>
      <w:r>
        <w:rPr>
          <w:szCs w:val="22"/>
          <w:lang w:val="de-DE"/>
        </w:rPr>
        <w:t>uvjeta</w:t>
      </w:r>
      <w:r>
        <w:rPr>
          <w:szCs w:val="22"/>
        </w:rPr>
        <w:t>.</w:t>
      </w:r>
    </w:p>
    <w:p w:rsidR="00012172" w:rsidRDefault="00012172">
      <w:pPr>
        <w:jc w:val="both"/>
        <w:rPr>
          <w:szCs w:val="22"/>
        </w:rPr>
      </w:pPr>
    </w:p>
    <w:p w:rsidR="00012172" w:rsidRDefault="00012172">
      <w:pPr>
        <w:jc w:val="both"/>
        <w:rPr>
          <w:szCs w:val="22"/>
        </w:rPr>
      </w:pPr>
      <w:r>
        <w:rPr>
          <w:szCs w:val="22"/>
        </w:rPr>
        <w:t xml:space="preserve">(8) </w:t>
      </w:r>
      <w:r>
        <w:rPr>
          <w:szCs w:val="22"/>
          <w:lang w:val="de-DE"/>
        </w:rPr>
        <w:t>Prije</w:t>
      </w:r>
      <w:r>
        <w:rPr>
          <w:szCs w:val="22"/>
        </w:rPr>
        <w:t xml:space="preserve"> </w:t>
      </w:r>
      <w:r>
        <w:rPr>
          <w:szCs w:val="22"/>
          <w:lang w:val="de-DE"/>
        </w:rPr>
        <w:t>izrade</w:t>
      </w:r>
      <w:r>
        <w:rPr>
          <w:szCs w:val="22"/>
        </w:rPr>
        <w:t xml:space="preserve"> </w:t>
      </w:r>
      <w:r>
        <w:rPr>
          <w:szCs w:val="22"/>
          <w:lang w:val="de-DE"/>
        </w:rPr>
        <w:t>tehni</w:t>
      </w:r>
      <w:r>
        <w:rPr>
          <w:szCs w:val="22"/>
        </w:rPr>
        <w:t>č</w:t>
      </w:r>
      <w:r>
        <w:rPr>
          <w:szCs w:val="22"/>
          <w:lang w:val="de-DE"/>
        </w:rPr>
        <w:t>ke</w:t>
      </w:r>
      <w:r>
        <w:rPr>
          <w:szCs w:val="22"/>
        </w:rPr>
        <w:t xml:space="preserve"> </w:t>
      </w:r>
      <w:r>
        <w:rPr>
          <w:szCs w:val="22"/>
          <w:lang w:val="de-DE"/>
        </w:rPr>
        <w:t>dokumentacije</w:t>
      </w:r>
      <w:r>
        <w:rPr>
          <w:szCs w:val="22"/>
        </w:rPr>
        <w:t xml:space="preserve"> </w:t>
      </w:r>
      <w:r>
        <w:rPr>
          <w:szCs w:val="22"/>
          <w:lang w:val="de-DE"/>
        </w:rPr>
        <w:t>za</w:t>
      </w:r>
      <w:r>
        <w:rPr>
          <w:szCs w:val="22"/>
        </w:rPr>
        <w:t xml:space="preserve"> </w:t>
      </w:r>
      <w:r>
        <w:rPr>
          <w:szCs w:val="22"/>
          <w:lang w:val="de-DE"/>
        </w:rPr>
        <w:t>ure</w:t>
      </w:r>
      <w:r>
        <w:rPr>
          <w:szCs w:val="22"/>
        </w:rPr>
        <w:t>đ</w:t>
      </w:r>
      <w:r>
        <w:rPr>
          <w:szCs w:val="22"/>
          <w:lang w:val="de-DE"/>
        </w:rPr>
        <w:t>aj</w:t>
      </w:r>
      <w:r>
        <w:rPr>
          <w:szCs w:val="22"/>
        </w:rPr>
        <w:t xml:space="preserve"> </w:t>
      </w:r>
      <w:r>
        <w:rPr>
          <w:szCs w:val="22"/>
          <w:lang w:val="de-DE"/>
        </w:rPr>
        <w:t>za</w:t>
      </w:r>
      <w:r>
        <w:rPr>
          <w:szCs w:val="22"/>
        </w:rPr>
        <w:t xml:space="preserve"> </w:t>
      </w:r>
      <w:r>
        <w:rPr>
          <w:szCs w:val="22"/>
          <w:lang w:val="de-DE"/>
        </w:rPr>
        <w:t>pro</w:t>
      </w:r>
      <w:r>
        <w:rPr>
          <w:szCs w:val="22"/>
        </w:rPr>
        <w:t>č</w:t>
      </w:r>
      <w:r>
        <w:rPr>
          <w:szCs w:val="22"/>
          <w:lang w:val="de-DE"/>
        </w:rPr>
        <w:t>i</w:t>
      </w:r>
      <w:r>
        <w:rPr>
          <w:szCs w:val="22"/>
        </w:rPr>
        <w:t>šć</w:t>
      </w:r>
      <w:r>
        <w:rPr>
          <w:szCs w:val="22"/>
          <w:lang w:val="de-DE"/>
        </w:rPr>
        <w:t>avanje</w:t>
      </w:r>
      <w:r>
        <w:rPr>
          <w:szCs w:val="22"/>
        </w:rPr>
        <w:t xml:space="preserve"> </w:t>
      </w:r>
      <w:r>
        <w:rPr>
          <w:szCs w:val="22"/>
          <w:lang w:val="de-DE"/>
        </w:rPr>
        <w:t>treba</w:t>
      </w:r>
      <w:r>
        <w:rPr>
          <w:szCs w:val="22"/>
        </w:rPr>
        <w:t xml:space="preserve"> </w:t>
      </w:r>
      <w:r>
        <w:rPr>
          <w:szCs w:val="22"/>
          <w:lang w:val="de-DE"/>
        </w:rPr>
        <w:t>predvidjeti</w:t>
      </w:r>
      <w:r>
        <w:rPr>
          <w:szCs w:val="22"/>
        </w:rPr>
        <w:t xml:space="preserve"> </w:t>
      </w:r>
      <w:r>
        <w:rPr>
          <w:szCs w:val="22"/>
          <w:lang w:val="de-DE"/>
        </w:rPr>
        <w:t>optimalno</w:t>
      </w:r>
      <w:r>
        <w:rPr>
          <w:szCs w:val="22"/>
        </w:rPr>
        <w:t xml:space="preserve"> </w:t>
      </w:r>
      <w:r>
        <w:rPr>
          <w:szCs w:val="22"/>
          <w:lang w:val="de-DE"/>
        </w:rPr>
        <w:t>tehni</w:t>
      </w:r>
      <w:r>
        <w:rPr>
          <w:szCs w:val="22"/>
        </w:rPr>
        <w:t>č</w:t>
      </w:r>
      <w:r>
        <w:rPr>
          <w:szCs w:val="22"/>
          <w:lang w:val="de-DE"/>
        </w:rPr>
        <w:t>ko</w:t>
      </w:r>
      <w:r>
        <w:rPr>
          <w:szCs w:val="22"/>
        </w:rPr>
        <w:t xml:space="preserve"> </w:t>
      </w:r>
      <w:r>
        <w:rPr>
          <w:szCs w:val="22"/>
          <w:lang w:val="de-DE"/>
        </w:rPr>
        <w:t>rje</w:t>
      </w:r>
      <w:r>
        <w:rPr>
          <w:szCs w:val="22"/>
        </w:rPr>
        <w:t>š</w:t>
      </w:r>
      <w:r>
        <w:rPr>
          <w:szCs w:val="22"/>
          <w:lang w:val="de-DE"/>
        </w:rPr>
        <w:t>enje</w:t>
      </w:r>
      <w:r>
        <w:rPr>
          <w:szCs w:val="22"/>
        </w:rPr>
        <w:t xml:space="preserve"> </w:t>
      </w:r>
      <w:r>
        <w:rPr>
          <w:szCs w:val="22"/>
          <w:lang w:val="de-DE"/>
        </w:rPr>
        <w:t>za</w:t>
      </w:r>
      <w:r>
        <w:rPr>
          <w:szCs w:val="22"/>
        </w:rPr>
        <w:t xml:space="preserve"> </w:t>
      </w:r>
      <w:r>
        <w:rPr>
          <w:szCs w:val="22"/>
          <w:lang w:val="de-DE"/>
        </w:rPr>
        <w:t>kona</w:t>
      </w:r>
      <w:r>
        <w:rPr>
          <w:szCs w:val="22"/>
        </w:rPr>
        <w:t>č</w:t>
      </w:r>
      <w:r>
        <w:rPr>
          <w:szCs w:val="22"/>
          <w:lang w:val="de-DE"/>
        </w:rPr>
        <w:t>an</w:t>
      </w:r>
      <w:r>
        <w:rPr>
          <w:szCs w:val="22"/>
        </w:rPr>
        <w:t xml:space="preserve"> </w:t>
      </w:r>
      <w:r>
        <w:rPr>
          <w:szCs w:val="22"/>
          <w:lang w:val="de-DE"/>
        </w:rPr>
        <w:t>kapacitet</w:t>
      </w:r>
      <w:r>
        <w:rPr>
          <w:szCs w:val="22"/>
        </w:rPr>
        <w:t xml:space="preserve">, </w:t>
      </w:r>
      <w:r>
        <w:rPr>
          <w:szCs w:val="22"/>
          <w:lang w:val="de-DE"/>
        </w:rPr>
        <w:t>a</w:t>
      </w:r>
      <w:r>
        <w:rPr>
          <w:szCs w:val="22"/>
        </w:rPr>
        <w:t xml:space="preserve"> </w:t>
      </w:r>
      <w:r>
        <w:rPr>
          <w:szCs w:val="22"/>
          <w:lang w:val="de-DE"/>
        </w:rPr>
        <w:t>izgradnju</w:t>
      </w:r>
      <w:r>
        <w:rPr>
          <w:i/>
          <w:szCs w:val="22"/>
        </w:rPr>
        <w:t xml:space="preserve"> </w:t>
      </w:r>
      <w:r>
        <w:rPr>
          <w:szCs w:val="22"/>
          <w:lang w:val="de-DE"/>
        </w:rPr>
        <w:t>obavljati</w:t>
      </w:r>
      <w:r>
        <w:rPr>
          <w:szCs w:val="22"/>
        </w:rPr>
        <w:t xml:space="preserve"> </w:t>
      </w:r>
      <w:r>
        <w:rPr>
          <w:szCs w:val="22"/>
          <w:lang w:val="de-DE"/>
        </w:rPr>
        <w:t>u</w:t>
      </w:r>
      <w:r>
        <w:rPr>
          <w:szCs w:val="22"/>
        </w:rPr>
        <w:t xml:space="preserve"> </w:t>
      </w:r>
      <w:r>
        <w:rPr>
          <w:szCs w:val="22"/>
          <w:lang w:val="de-DE"/>
        </w:rPr>
        <w:t>etapama</w:t>
      </w:r>
      <w:r>
        <w:rPr>
          <w:szCs w:val="22"/>
        </w:rPr>
        <w:t xml:space="preserve">. </w:t>
      </w:r>
      <w:r>
        <w:rPr>
          <w:szCs w:val="22"/>
          <w:lang w:val="de-DE"/>
        </w:rPr>
        <w:t>Potrebno</w:t>
      </w:r>
      <w:r>
        <w:rPr>
          <w:szCs w:val="22"/>
        </w:rPr>
        <w:t xml:space="preserve"> </w:t>
      </w:r>
      <w:r>
        <w:rPr>
          <w:szCs w:val="22"/>
          <w:lang w:val="de-DE"/>
        </w:rPr>
        <w:t>je</w:t>
      </w:r>
      <w:r>
        <w:rPr>
          <w:szCs w:val="22"/>
        </w:rPr>
        <w:t xml:space="preserve"> </w:t>
      </w:r>
      <w:r>
        <w:rPr>
          <w:szCs w:val="22"/>
          <w:lang w:val="de-DE"/>
        </w:rPr>
        <w:t>utvrditi</w:t>
      </w:r>
      <w:r>
        <w:rPr>
          <w:szCs w:val="22"/>
        </w:rPr>
        <w:t xml:space="preserve"> </w:t>
      </w:r>
      <w:r>
        <w:rPr>
          <w:szCs w:val="22"/>
          <w:lang w:val="de-DE"/>
        </w:rPr>
        <w:t>kvalitetu</w:t>
      </w:r>
      <w:r>
        <w:rPr>
          <w:szCs w:val="22"/>
        </w:rPr>
        <w:t xml:space="preserve"> </w:t>
      </w:r>
      <w:r>
        <w:rPr>
          <w:szCs w:val="22"/>
          <w:lang w:val="de-DE"/>
        </w:rPr>
        <w:t>otpadne</w:t>
      </w:r>
      <w:r>
        <w:rPr>
          <w:szCs w:val="22"/>
        </w:rPr>
        <w:t xml:space="preserve"> </w:t>
      </w:r>
      <w:r>
        <w:rPr>
          <w:szCs w:val="22"/>
          <w:lang w:val="de-DE"/>
        </w:rPr>
        <w:t>vode</w:t>
      </w:r>
      <w:r>
        <w:rPr>
          <w:szCs w:val="22"/>
        </w:rPr>
        <w:t xml:space="preserve">, </w:t>
      </w:r>
      <w:r>
        <w:rPr>
          <w:szCs w:val="22"/>
          <w:lang w:val="de-DE"/>
        </w:rPr>
        <w:t>potreban</w:t>
      </w:r>
      <w:r>
        <w:rPr>
          <w:szCs w:val="22"/>
        </w:rPr>
        <w:t xml:space="preserve"> </w:t>
      </w:r>
      <w:r>
        <w:rPr>
          <w:szCs w:val="22"/>
          <w:lang w:val="de-DE"/>
        </w:rPr>
        <w:t>stupanj</w:t>
      </w:r>
      <w:r>
        <w:rPr>
          <w:szCs w:val="22"/>
        </w:rPr>
        <w:t xml:space="preserve"> </w:t>
      </w:r>
      <w:r>
        <w:rPr>
          <w:szCs w:val="22"/>
          <w:lang w:val="de-DE"/>
        </w:rPr>
        <w:t>pro</w:t>
      </w:r>
      <w:r>
        <w:rPr>
          <w:szCs w:val="22"/>
        </w:rPr>
        <w:t>č</w:t>
      </w:r>
      <w:r>
        <w:rPr>
          <w:szCs w:val="22"/>
          <w:lang w:val="de-DE"/>
        </w:rPr>
        <w:t>i</w:t>
      </w:r>
      <w:r>
        <w:rPr>
          <w:szCs w:val="22"/>
        </w:rPr>
        <w:t>šć</w:t>
      </w:r>
      <w:r>
        <w:rPr>
          <w:szCs w:val="22"/>
          <w:lang w:val="de-DE"/>
        </w:rPr>
        <w:t>avanja</w:t>
      </w:r>
      <w:r>
        <w:rPr>
          <w:szCs w:val="22"/>
        </w:rPr>
        <w:t xml:space="preserve">, </w:t>
      </w:r>
      <w:r>
        <w:rPr>
          <w:szCs w:val="22"/>
          <w:lang w:val="de-DE"/>
        </w:rPr>
        <w:t>veli</w:t>
      </w:r>
      <w:r>
        <w:rPr>
          <w:szCs w:val="22"/>
        </w:rPr>
        <w:t>č</w:t>
      </w:r>
      <w:r>
        <w:rPr>
          <w:szCs w:val="22"/>
          <w:lang w:val="de-DE"/>
        </w:rPr>
        <w:t>inu</w:t>
      </w:r>
      <w:r>
        <w:rPr>
          <w:szCs w:val="22"/>
        </w:rPr>
        <w:t xml:space="preserve"> </w:t>
      </w:r>
      <w:r>
        <w:rPr>
          <w:szCs w:val="22"/>
          <w:lang w:val="de-DE"/>
        </w:rPr>
        <w:t>i</w:t>
      </w:r>
      <w:r>
        <w:rPr>
          <w:szCs w:val="22"/>
        </w:rPr>
        <w:t xml:space="preserve"> </w:t>
      </w:r>
      <w:r>
        <w:rPr>
          <w:szCs w:val="22"/>
          <w:lang w:val="de-DE"/>
        </w:rPr>
        <w:t>tempo</w:t>
      </w:r>
      <w:r>
        <w:rPr>
          <w:szCs w:val="22"/>
        </w:rPr>
        <w:t xml:space="preserve"> </w:t>
      </w:r>
      <w:r>
        <w:rPr>
          <w:szCs w:val="22"/>
          <w:lang w:val="de-DE"/>
        </w:rPr>
        <w:t>financijskih</w:t>
      </w:r>
      <w:r>
        <w:rPr>
          <w:szCs w:val="22"/>
        </w:rPr>
        <w:t xml:space="preserve"> </w:t>
      </w:r>
      <w:r>
        <w:rPr>
          <w:szCs w:val="22"/>
          <w:lang w:val="de-DE"/>
        </w:rPr>
        <w:t>ulaganja</w:t>
      </w:r>
      <w:r>
        <w:rPr>
          <w:szCs w:val="22"/>
        </w:rPr>
        <w:t>.</w:t>
      </w:r>
    </w:p>
    <w:p w:rsidR="00012172" w:rsidRDefault="00012172">
      <w:pPr>
        <w:jc w:val="both"/>
        <w:rPr>
          <w:szCs w:val="22"/>
        </w:rPr>
      </w:pPr>
    </w:p>
    <w:p w:rsidR="00012172" w:rsidRDefault="00012172">
      <w:pPr>
        <w:jc w:val="both"/>
        <w:rPr>
          <w:szCs w:val="22"/>
        </w:rPr>
      </w:pPr>
      <w:r>
        <w:rPr>
          <w:szCs w:val="22"/>
        </w:rPr>
        <w:t xml:space="preserve">(9) </w:t>
      </w:r>
      <w:r>
        <w:rPr>
          <w:szCs w:val="22"/>
          <w:lang w:val="de-DE"/>
        </w:rPr>
        <w:t>Oblikovanje</w:t>
      </w:r>
      <w:r>
        <w:rPr>
          <w:szCs w:val="22"/>
        </w:rPr>
        <w:t xml:space="preserve"> </w:t>
      </w:r>
      <w:r>
        <w:rPr>
          <w:szCs w:val="22"/>
          <w:lang w:val="de-DE"/>
        </w:rPr>
        <w:t>gra</w:t>
      </w:r>
      <w:r>
        <w:rPr>
          <w:szCs w:val="22"/>
        </w:rPr>
        <w:t>đ</w:t>
      </w:r>
      <w:r>
        <w:rPr>
          <w:szCs w:val="22"/>
          <w:lang w:val="de-DE"/>
        </w:rPr>
        <w:t>evine</w:t>
      </w:r>
      <w:r>
        <w:rPr>
          <w:szCs w:val="22"/>
        </w:rPr>
        <w:t xml:space="preserve"> </w:t>
      </w:r>
      <w:r>
        <w:rPr>
          <w:szCs w:val="22"/>
          <w:lang w:val="de-DE"/>
        </w:rPr>
        <w:t>mora</w:t>
      </w:r>
      <w:r>
        <w:rPr>
          <w:szCs w:val="22"/>
        </w:rPr>
        <w:t xml:space="preserve"> </w:t>
      </w:r>
      <w:r>
        <w:rPr>
          <w:szCs w:val="22"/>
          <w:lang w:val="de-DE"/>
        </w:rPr>
        <w:t>zadovaljavati</w:t>
      </w:r>
      <w:r>
        <w:rPr>
          <w:szCs w:val="22"/>
        </w:rPr>
        <w:t xml:space="preserve"> </w:t>
      </w:r>
      <w:r>
        <w:rPr>
          <w:szCs w:val="22"/>
          <w:lang w:val="de-DE"/>
        </w:rPr>
        <w:t>estetske</w:t>
      </w:r>
      <w:r>
        <w:rPr>
          <w:szCs w:val="22"/>
        </w:rPr>
        <w:t xml:space="preserve"> </w:t>
      </w:r>
      <w:r>
        <w:rPr>
          <w:szCs w:val="22"/>
          <w:lang w:val="de-DE"/>
        </w:rPr>
        <w:t>kriterije</w:t>
      </w:r>
      <w:r>
        <w:rPr>
          <w:szCs w:val="22"/>
        </w:rPr>
        <w:t xml:space="preserve"> </w:t>
      </w:r>
      <w:r>
        <w:rPr>
          <w:szCs w:val="22"/>
          <w:lang w:val="de-DE"/>
        </w:rPr>
        <w:t>te</w:t>
      </w:r>
      <w:r>
        <w:rPr>
          <w:szCs w:val="22"/>
        </w:rPr>
        <w:t xml:space="preserve"> </w:t>
      </w:r>
      <w:r>
        <w:rPr>
          <w:szCs w:val="22"/>
          <w:lang w:val="de-DE"/>
        </w:rPr>
        <w:t>mora</w:t>
      </w:r>
      <w:r>
        <w:rPr>
          <w:szCs w:val="22"/>
        </w:rPr>
        <w:t xml:space="preserve"> </w:t>
      </w:r>
      <w:r>
        <w:rPr>
          <w:szCs w:val="22"/>
          <w:lang w:val="de-DE"/>
        </w:rPr>
        <w:t>biti</w:t>
      </w:r>
      <w:r>
        <w:rPr>
          <w:szCs w:val="22"/>
        </w:rPr>
        <w:t xml:space="preserve"> </w:t>
      </w:r>
      <w:r>
        <w:rPr>
          <w:szCs w:val="22"/>
          <w:lang w:val="de-DE"/>
        </w:rPr>
        <w:t>u</w:t>
      </w:r>
      <w:r>
        <w:rPr>
          <w:szCs w:val="22"/>
        </w:rPr>
        <w:t xml:space="preserve"> </w:t>
      </w:r>
      <w:r>
        <w:rPr>
          <w:szCs w:val="22"/>
          <w:lang w:val="de-DE"/>
        </w:rPr>
        <w:t>skladu</w:t>
      </w:r>
      <w:r>
        <w:rPr>
          <w:szCs w:val="22"/>
        </w:rPr>
        <w:t xml:space="preserve"> </w:t>
      </w:r>
      <w:r>
        <w:rPr>
          <w:szCs w:val="22"/>
          <w:lang w:val="de-DE"/>
        </w:rPr>
        <w:t>s</w:t>
      </w:r>
      <w:r>
        <w:rPr>
          <w:szCs w:val="22"/>
        </w:rPr>
        <w:t xml:space="preserve"> </w:t>
      </w:r>
      <w:r>
        <w:rPr>
          <w:szCs w:val="22"/>
          <w:lang w:val="de-DE"/>
        </w:rPr>
        <w:t>pejsa</w:t>
      </w:r>
      <w:r>
        <w:rPr>
          <w:szCs w:val="22"/>
        </w:rPr>
        <w:t>ž</w:t>
      </w:r>
      <w:r>
        <w:rPr>
          <w:szCs w:val="22"/>
          <w:lang w:val="de-DE"/>
        </w:rPr>
        <w:t>em</w:t>
      </w:r>
      <w:r>
        <w:rPr>
          <w:szCs w:val="22"/>
        </w:rPr>
        <w:t xml:space="preserve"> </w:t>
      </w:r>
      <w:r>
        <w:rPr>
          <w:szCs w:val="22"/>
          <w:lang w:val="de-DE"/>
        </w:rPr>
        <w:t>i</w:t>
      </w:r>
      <w:r>
        <w:rPr>
          <w:szCs w:val="22"/>
        </w:rPr>
        <w:t xml:space="preserve"> </w:t>
      </w:r>
      <w:r>
        <w:rPr>
          <w:szCs w:val="22"/>
          <w:lang w:val="de-DE"/>
        </w:rPr>
        <w:t>lokalnim</w:t>
      </w:r>
      <w:r>
        <w:rPr>
          <w:szCs w:val="22"/>
        </w:rPr>
        <w:t xml:space="preserve"> </w:t>
      </w:r>
      <w:r>
        <w:rPr>
          <w:szCs w:val="22"/>
          <w:lang w:val="de-DE"/>
        </w:rPr>
        <w:t>arhitektonskim</w:t>
      </w:r>
      <w:r>
        <w:rPr>
          <w:szCs w:val="22"/>
        </w:rPr>
        <w:t xml:space="preserve"> </w:t>
      </w:r>
      <w:r>
        <w:rPr>
          <w:szCs w:val="22"/>
          <w:lang w:val="de-DE"/>
        </w:rPr>
        <w:t>izrazom</w:t>
      </w:r>
      <w:r>
        <w:rPr>
          <w:szCs w:val="22"/>
        </w:rPr>
        <w:t>.</w:t>
      </w:r>
    </w:p>
    <w:p w:rsidR="00012172" w:rsidRDefault="00012172">
      <w:pPr>
        <w:jc w:val="both"/>
        <w:rPr>
          <w:szCs w:val="22"/>
        </w:rPr>
      </w:pPr>
    </w:p>
    <w:p w:rsidR="00012172" w:rsidRDefault="00012172">
      <w:pPr>
        <w:jc w:val="both"/>
        <w:rPr>
          <w:szCs w:val="22"/>
        </w:rPr>
      </w:pPr>
      <w:r>
        <w:rPr>
          <w:szCs w:val="22"/>
        </w:rPr>
        <w:t>(10) Kod projektiranja nove vodovodne mreže ili rekonstrukcije postojeće mreže u naselju, obvezno je planiranje hidrantskog razvoda i postave nadzemnih hidranata</w:t>
      </w:r>
      <w:r>
        <w:t>.</w:t>
      </w:r>
    </w:p>
    <w:p w:rsidR="00012172" w:rsidRDefault="00012172">
      <w:pPr>
        <w:jc w:val="both"/>
        <w:rPr>
          <w:rFonts w:ascii="Arial" w:hAnsi="Arial"/>
          <w:sz w:val="22"/>
          <w:szCs w:val="22"/>
        </w:rPr>
      </w:pPr>
    </w:p>
    <w:p w:rsidR="00012172" w:rsidRDefault="00012172">
      <w:pPr>
        <w:jc w:val="both"/>
        <w:rPr>
          <w:rFonts w:ascii="Arial" w:hAnsi="Arial"/>
          <w:sz w:val="22"/>
          <w:szCs w:val="22"/>
        </w:rPr>
      </w:pPr>
    </w:p>
    <w:p w:rsidR="00012172" w:rsidRDefault="00012172">
      <w:pPr>
        <w:jc w:val="center"/>
        <w:rPr>
          <w:szCs w:val="22"/>
        </w:rPr>
      </w:pPr>
      <w:r>
        <w:rPr>
          <w:szCs w:val="22"/>
        </w:rPr>
        <w:t>Č</w:t>
      </w:r>
      <w:r>
        <w:rPr>
          <w:szCs w:val="22"/>
          <w:lang w:val="de-DE"/>
        </w:rPr>
        <w:t>lanak</w:t>
      </w:r>
      <w:r w:rsidR="00F237BF">
        <w:rPr>
          <w:szCs w:val="22"/>
        </w:rPr>
        <w:t xml:space="preserve"> 98</w:t>
      </w:r>
      <w:r>
        <w:rPr>
          <w:szCs w:val="22"/>
        </w:rPr>
        <w:t>.</w:t>
      </w:r>
    </w:p>
    <w:p w:rsidR="00012172" w:rsidRDefault="00012172">
      <w:pPr>
        <w:jc w:val="both"/>
        <w:rPr>
          <w:szCs w:val="22"/>
        </w:rPr>
      </w:pPr>
      <w:r>
        <w:rPr>
          <w:szCs w:val="22"/>
        </w:rPr>
        <w:t xml:space="preserve">(1) </w:t>
      </w:r>
      <w:r>
        <w:rPr>
          <w:szCs w:val="22"/>
          <w:lang w:val="de-DE"/>
        </w:rPr>
        <w:t>Svi</w:t>
      </w:r>
      <w:r>
        <w:rPr>
          <w:szCs w:val="22"/>
        </w:rPr>
        <w:t xml:space="preserve"> </w:t>
      </w:r>
      <w:r>
        <w:rPr>
          <w:szCs w:val="22"/>
          <w:lang w:val="de-DE"/>
        </w:rPr>
        <w:t>eventualni</w:t>
      </w:r>
      <w:r>
        <w:rPr>
          <w:szCs w:val="22"/>
        </w:rPr>
        <w:t xml:space="preserve"> </w:t>
      </w:r>
      <w:r>
        <w:rPr>
          <w:szCs w:val="22"/>
          <w:lang w:val="de-DE"/>
        </w:rPr>
        <w:t>industrijski</w:t>
      </w:r>
      <w:r>
        <w:rPr>
          <w:szCs w:val="22"/>
        </w:rPr>
        <w:t xml:space="preserve"> </w:t>
      </w:r>
      <w:r>
        <w:rPr>
          <w:szCs w:val="22"/>
          <w:lang w:val="de-DE"/>
        </w:rPr>
        <w:t>pogoni</w:t>
      </w:r>
      <w:r>
        <w:rPr>
          <w:szCs w:val="22"/>
        </w:rPr>
        <w:t xml:space="preserve">, </w:t>
      </w:r>
      <w:r>
        <w:rPr>
          <w:szCs w:val="22"/>
          <w:lang w:val="de-DE"/>
        </w:rPr>
        <w:t>pogoni</w:t>
      </w:r>
      <w:r>
        <w:rPr>
          <w:szCs w:val="22"/>
        </w:rPr>
        <w:t xml:space="preserve"> </w:t>
      </w:r>
      <w:r>
        <w:rPr>
          <w:szCs w:val="22"/>
          <w:lang w:val="de-DE"/>
        </w:rPr>
        <w:t>male</w:t>
      </w:r>
      <w:r>
        <w:rPr>
          <w:szCs w:val="22"/>
        </w:rPr>
        <w:t xml:space="preserve"> </w:t>
      </w:r>
      <w:r>
        <w:rPr>
          <w:szCs w:val="22"/>
          <w:lang w:val="de-DE"/>
        </w:rPr>
        <w:t>privrede</w:t>
      </w:r>
      <w:r>
        <w:rPr>
          <w:szCs w:val="22"/>
        </w:rPr>
        <w:t xml:space="preserve"> </w:t>
      </w:r>
      <w:r>
        <w:rPr>
          <w:szCs w:val="22"/>
          <w:lang w:val="de-DE"/>
        </w:rPr>
        <w:t>kao</w:t>
      </w:r>
      <w:r>
        <w:rPr>
          <w:szCs w:val="22"/>
        </w:rPr>
        <w:t xml:space="preserve"> </w:t>
      </w:r>
      <w:r>
        <w:rPr>
          <w:szCs w:val="22"/>
          <w:lang w:val="de-DE"/>
        </w:rPr>
        <w:t>i</w:t>
      </w:r>
      <w:r>
        <w:rPr>
          <w:szCs w:val="22"/>
        </w:rPr>
        <w:t xml:space="preserve"> </w:t>
      </w:r>
      <w:r>
        <w:rPr>
          <w:szCs w:val="22"/>
          <w:lang w:val="de-DE"/>
        </w:rPr>
        <w:t>gospodarske</w:t>
      </w:r>
      <w:r>
        <w:rPr>
          <w:szCs w:val="22"/>
        </w:rPr>
        <w:t xml:space="preserve"> </w:t>
      </w:r>
      <w:r>
        <w:rPr>
          <w:szCs w:val="22"/>
          <w:lang w:val="de-DE"/>
        </w:rPr>
        <w:t>gra</w:t>
      </w:r>
      <w:r>
        <w:rPr>
          <w:szCs w:val="22"/>
        </w:rPr>
        <w:t>đ</w:t>
      </w:r>
      <w:r>
        <w:rPr>
          <w:szCs w:val="22"/>
          <w:lang w:val="de-DE"/>
        </w:rPr>
        <w:t>evine</w:t>
      </w:r>
      <w:r>
        <w:rPr>
          <w:szCs w:val="22"/>
        </w:rPr>
        <w:t xml:space="preserve"> </w:t>
      </w:r>
      <w:r>
        <w:rPr>
          <w:szCs w:val="22"/>
          <w:lang w:val="de-DE"/>
        </w:rPr>
        <w:t>za</w:t>
      </w:r>
      <w:r>
        <w:rPr>
          <w:szCs w:val="22"/>
        </w:rPr>
        <w:t xml:space="preserve"> </w:t>
      </w:r>
      <w:r>
        <w:rPr>
          <w:szCs w:val="22"/>
          <w:lang w:val="de-DE"/>
        </w:rPr>
        <w:t>uzgoj</w:t>
      </w:r>
      <w:r>
        <w:rPr>
          <w:szCs w:val="22"/>
        </w:rPr>
        <w:t xml:space="preserve"> ž</w:t>
      </w:r>
      <w:r>
        <w:rPr>
          <w:szCs w:val="22"/>
          <w:lang w:val="de-DE"/>
        </w:rPr>
        <w:t>ivotinja</w:t>
      </w:r>
      <w:r>
        <w:rPr>
          <w:szCs w:val="22"/>
        </w:rPr>
        <w:t xml:space="preserve"> (</w:t>
      </w:r>
      <w:r>
        <w:rPr>
          <w:szCs w:val="22"/>
          <w:lang w:val="de-DE"/>
        </w:rPr>
        <w:t>tovili</w:t>
      </w:r>
      <w:r>
        <w:rPr>
          <w:szCs w:val="22"/>
        </w:rPr>
        <w:t>š</w:t>
      </w:r>
      <w:r>
        <w:rPr>
          <w:szCs w:val="22"/>
          <w:lang w:val="de-DE"/>
        </w:rPr>
        <w:t>ta</w:t>
      </w:r>
      <w:r>
        <w:rPr>
          <w:szCs w:val="22"/>
        </w:rPr>
        <w:t xml:space="preserve">) </w:t>
      </w:r>
      <w:r>
        <w:rPr>
          <w:szCs w:val="22"/>
          <w:lang w:val="de-DE"/>
        </w:rPr>
        <w:t>trebaju</w:t>
      </w:r>
      <w:r>
        <w:rPr>
          <w:szCs w:val="22"/>
        </w:rPr>
        <w:t xml:space="preserve"> </w:t>
      </w:r>
      <w:r>
        <w:rPr>
          <w:szCs w:val="22"/>
          <w:lang w:val="de-DE"/>
        </w:rPr>
        <w:t>imati</w:t>
      </w:r>
      <w:r>
        <w:rPr>
          <w:szCs w:val="22"/>
        </w:rPr>
        <w:t xml:space="preserve"> </w:t>
      </w:r>
      <w:r>
        <w:rPr>
          <w:szCs w:val="22"/>
          <w:lang w:val="de-DE"/>
        </w:rPr>
        <w:t>svoje</w:t>
      </w:r>
      <w:r>
        <w:rPr>
          <w:szCs w:val="22"/>
        </w:rPr>
        <w:t xml:space="preserve"> </w:t>
      </w:r>
      <w:r>
        <w:rPr>
          <w:szCs w:val="22"/>
          <w:lang w:val="de-DE"/>
        </w:rPr>
        <w:t>predtretmane</w:t>
      </w:r>
      <w:r>
        <w:rPr>
          <w:szCs w:val="22"/>
        </w:rPr>
        <w:t xml:space="preserve"> </w:t>
      </w:r>
      <w:r>
        <w:rPr>
          <w:szCs w:val="22"/>
          <w:lang w:val="de-DE"/>
        </w:rPr>
        <w:t>otpadnih</w:t>
      </w:r>
      <w:r>
        <w:rPr>
          <w:szCs w:val="22"/>
        </w:rPr>
        <w:t xml:space="preserve"> </w:t>
      </w:r>
      <w:r>
        <w:rPr>
          <w:szCs w:val="22"/>
          <w:lang w:val="de-DE"/>
        </w:rPr>
        <w:t>voda</w:t>
      </w:r>
      <w:r>
        <w:rPr>
          <w:szCs w:val="22"/>
        </w:rPr>
        <w:t xml:space="preserve"> </w:t>
      </w:r>
      <w:r>
        <w:rPr>
          <w:szCs w:val="22"/>
          <w:lang w:val="de-DE"/>
        </w:rPr>
        <w:t>prije</w:t>
      </w:r>
      <w:r>
        <w:rPr>
          <w:szCs w:val="22"/>
        </w:rPr>
        <w:t xml:space="preserve"> </w:t>
      </w:r>
      <w:r>
        <w:rPr>
          <w:szCs w:val="22"/>
          <w:lang w:val="de-DE"/>
        </w:rPr>
        <w:t>upu</w:t>
      </w:r>
      <w:r>
        <w:rPr>
          <w:szCs w:val="22"/>
        </w:rPr>
        <w:t>š</w:t>
      </w:r>
      <w:r>
        <w:rPr>
          <w:szCs w:val="22"/>
          <w:lang w:val="de-DE"/>
        </w:rPr>
        <w:t>tanja</w:t>
      </w:r>
      <w:r>
        <w:rPr>
          <w:szCs w:val="22"/>
        </w:rPr>
        <w:t xml:space="preserve"> </w:t>
      </w:r>
      <w:r>
        <w:rPr>
          <w:szCs w:val="22"/>
          <w:lang w:val="de-DE"/>
        </w:rPr>
        <w:t>u</w:t>
      </w:r>
      <w:r>
        <w:rPr>
          <w:szCs w:val="22"/>
        </w:rPr>
        <w:t xml:space="preserve"> </w:t>
      </w:r>
      <w:r>
        <w:rPr>
          <w:szCs w:val="22"/>
          <w:lang w:val="de-DE"/>
        </w:rPr>
        <w:t>javnu</w:t>
      </w:r>
      <w:r>
        <w:rPr>
          <w:szCs w:val="22"/>
        </w:rPr>
        <w:t xml:space="preserve"> </w:t>
      </w:r>
      <w:r>
        <w:rPr>
          <w:szCs w:val="22"/>
          <w:lang w:val="de-DE"/>
        </w:rPr>
        <w:t>kanalizaciju</w:t>
      </w:r>
      <w:r>
        <w:rPr>
          <w:szCs w:val="22"/>
        </w:rPr>
        <w:t>, š</w:t>
      </w:r>
      <w:r>
        <w:rPr>
          <w:szCs w:val="22"/>
          <w:lang w:val="de-DE"/>
        </w:rPr>
        <w:t>to</w:t>
      </w:r>
      <w:r>
        <w:rPr>
          <w:szCs w:val="22"/>
        </w:rPr>
        <w:t xml:space="preserve"> </w:t>
      </w:r>
      <w:r>
        <w:rPr>
          <w:szCs w:val="22"/>
          <w:lang w:val="de-DE"/>
        </w:rPr>
        <w:t>se</w:t>
      </w:r>
      <w:r>
        <w:rPr>
          <w:szCs w:val="22"/>
        </w:rPr>
        <w:t xml:space="preserve"> </w:t>
      </w:r>
      <w:r>
        <w:rPr>
          <w:szCs w:val="22"/>
          <w:lang w:val="de-DE"/>
        </w:rPr>
        <w:t>odnosi</w:t>
      </w:r>
      <w:r>
        <w:rPr>
          <w:szCs w:val="22"/>
        </w:rPr>
        <w:t xml:space="preserve"> </w:t>
      </w:r>
      <w:r>
        <w:rPr>
          <w:szCs w:val="22"/>
          <w:lang w:val="de-DE"/>
        </w:rPr>
        <w:t>i</w:t>
      </w:r>
      <w:r>
        <w:rPr>
          <w:szCs w:val="22"/>
        </w:rPr>
        <w:t xml:space="preserve"> </w:t>
      </w:r>
      <w:r>
        <w:rPr>
          <w:szCs w:val="22"/>
          <w:lang w:val="de-DE"/>
        </w:rPr>
        <w:t>na</w:t>
      </w:r>
      <w:r>
        <w:rPr>
          <w:szCs w:val="22"/>
        </w:rPr>
        <w:t xml:space="preserve"> </w:t>
      </w:r>
      <w:r>
        <w:rPr>
          <w:szCs w:val="22"/>
          <w:lang w:val="de-DE"/>
        </w:rPr>
        <w:t>separaciju</w:t>
      </w:r>
      <w:r>
        <w:rPr>
          <w:szCs w:val="22"/>
        </w:rPr>
        <w:t xml:space="preserve"> </w:t>
      </w:r>
      <w:r>
        <w:rPr>
          <w:szCs w:val="22"/>
          <w:lang w:val="de-DE"/>
        </w:rPr>
        <w:t>ulja</w:t>
      </w:r>
      <w:r>
        <w:rPr>
          <w:szCs w:val="22"/>
        </w:rPr>
        <w:t xml:space="preserve"> </w:t>
      </w:r>
      <w:r>
        <w:rPr>
          <w:szCs w:val="22"/>
          <w:lang w:val="de-DE"/>
        </w:rPr>
        <w:t>i</w:t>
      </w:r>
      <w:r>
        <w:rPr>
          <w:szCs w:val="22"/>
        </w:rPr>
        <w:t xml:space="preserve"> </w:t>
      </w:r>
      <w:r>
        <w:rPr>
          <w:szCs w:val="22"/>
          <w:lang w:val="de-DE"/>
        </w:rPr>
        <w:t>masti</w:t>
      </w:r>
      <w:r>
        <w:rPr>
          <w:szCs w:val="22"/>
        </w:rPr>
        <w:t>. Otpadne vode treba rješavati temeljem ishođenih vodopravnih akata (vodopravni uvjeti, suglasnosti, dozvole).</w:t>
      </w:r>
    </w:p>
    <w:p w:rsidR="00012172" w:rsidRDefault="00012172">
      <w:pPr>
        <w:jc w:val="center"/>
        <w:rPr>
          <w:rFonts w:ascii="Arial" w:hAnsi="Arial"/>
          <w:b/>
          <w:bCs/>
          <w:sz w:val="22"/>
        </w:rPr>
      </w:pPr>
    </w:p>
    <w:p w:rsidR="00D15F48" w:rsidRDefault="00F237BF">
      <w:pPr>
        <w:jc w:val="center"/>
        <w:rPr>
          <w:rFonts w:ascii="Arial" w:hAnsi="Arial"/>
          <w:b/>
          <w:bCs/>
          <w:sz w:val="22"/>
        </w:rPr>
      </w:pPr>
      <w:r>
        <w:rPr>
          <w:rFonts w:ascii="Arial" w:hAnsi="Arial"/>
          <w:b/>
          <w:bCs/>
          <w:sz w:val="22"/>
        </w:rPr>
        <w:br w:type="page"/>
      </w:r>
    </w:p>
    <w:p w:rsidR="00012172" w:rsidRDefault="00012172">
      <w:pPr>
        <w:pStyle w:val="Naslov1"/>
      </w:pPr>
      <w:bookmarkStart w:id="82" w:name="_Toc49756030"/>
      <w:bookmarkStart w:id="83" w:name="_Toc95140620"/>
      <w:r>
        <w:t>6. Mjere zaštite krajobraznih i prirodnih vrijednosti i kulturno-povijesnih cjelina</w:t>
      </w:r>
      <w:bookmarkEnd w:id="82"/>
      <w:bookmarkEnd w:id="83"/>
      <w:r>
        <w:t xml:space="preserve"> </w:t>
      </w:r>
    </w:p>
    <w:p w:rsidR="00012172" w:rsidRDefault="00012172">
      <w:pPr>
        <w:rPr>
          <w:rFonts w:ascii="Arial" w:hAnsi="Arial"/>
          <w:b/>
          <w:sz w:val="22"/>
          <w:szCs w:val="22"/>
        </w:rPr>
      </w:pPr>
    </w:p>
    <w:p w:rsidR="00012172" w:rsidRDefault="00012172">
      <w:pPr>
        <w:rPr>
          <w:rFonts w:ascii="Arial" w:hAnsi="Arial"/>
          <w:b/>
          <w:sz w:val="22"/>
          <w:szCs w:val="22"/>
        </w:rPr>
      </w:pPr>
      <w:r>
        <w:rPr>
          <w:rFonts w:ascii="Arial" w:hAnsi="Arial"/>
          <w:b/>
          <w:sz w:val="22"/>
          <w:szCs w:val="22"/>
        </w:rPr>
        <w:t xml:space="preserve">6.1. </w:t>
      </w:r>
      <w:r>
        <w:rPr>
          <w:rFonts w:ascii="Arial" w:hAnsi="Arial"/>
          <w:b/>
          <w:sz w:val="22"/>
          <w:szCs w:val="22"/>
          <w:lang w:val="de-DE"/>
        </w:rPr>
        <w:t>Krajobrazne</w:t>
      </w:r>
      <w:r>
        <w:rPr>
          <w:rFonts w:ascii="Arial" w:hAnsi="Arial"/>
          <w:b/>
          <w:sz w:val="22"/>
          <w:szCs w:val="22"/>
        </w:rPr>
        <w:t xml:space="preserve"> </w:t>
      </w:r>
      <w:r>
        <w:rPr>
          <w:rFonts w:ascii="Arial" w:hAnsi="Arial"/>
          <w:b/>
          <w:sz w:val="22"/>
          <w:szCs w:val="22"/>
          <w:lang w:val="de-DE"/>
        </w:rPr>
        <w:t>vrijednosti</w:t>
      </w:r>
    </w:p>
    <w:p w:rsidR="00012172" w:rsidRDefault="00012172">
      <w:pPr>
        <w:jc w:val="center"/>
        <w:rPr>
          <w:rFonts w:ascii="Arial" w:hAnsi="Arial"/>
          <w:b/>
        </w:rPr>
      </w:pPr>
    </w:p>
    <w:p w:rsidR="00012172" w:rsidRDefault="00012172">
      <w:pPr>
        <w:jc w:val="center"/>
      </w:pPr>
      <w:r>
        <w:rPr>
          <w:szCs w:val="22"/>
        </w:rPr>
        <w:t>Č</w:t>
      </w:r>
      <w:r>
        <w:rPr>
          <w:szCs w:val="22"/>
          <w:lang w:val="de-DE"/>
        </w:rPr>
        <w:t>lanak</w:t>
      </w:r>
      <w:r w:rsidR="00F237BF">
        <w:rPr>
          <w:szCs w:val="22"/>
        </w:rPr>
        <w:t xml:space="preserve"> 99</w:t>
      </w:r>
      <w:r>
        <w:rPr>
          <w:szCs w:val="22"/>
        </w:rPr>
        <w:t>.</w:t>
      </w:r>
      <w:r>
        <w:tab/>
      </w:r>
    </w:p>
    <w:p w:rsidR="00012172" w:rsidRDefault="00012172">
      <w:pPr>
        <w:jc w:val="both"/>
        <w:rPr>
          <w:szCs w:val="22"/>
        </w:rPr>
      </w:pPr>
      <w:r>
        <w:rPr>
          <w:szCs w:val="22"/>
        </w:rPr>
        <w:t xml:space="preserve">(1) </w:t>
      </w:r>
      <w:r>
        <w:rPr>
          <w:szCs w:val="22"/>
          <w:lang w:val="de-DE"/>
        </w:rPr>
        <w:t>Ovim</w:t>
      </w:r>
      <w:r>
        <w:rPr>
          <w:szCs w:val="22"/>
        </w:rPr>
        <w:t xml:space="preserve"> </w:t>
      </w:r>
      <w:r>
        <w:rPr>
          <w:szCs w:val="22"/>
          <w:lang w:val="de-DE"/>
        </w:rPr>
        <w:t>Planom</w:t>
      </w:r>
      <w:r>
        <w:rPr>
          <w:szCs w:val="22"/>
        </w:rPr>
        <w:t xml:space="preserve"> </w:t>
      </w:r>
      <w:r>
        <w:rPr>
          <w:szCs w:val="22"/>
          <w:lang w:val="de-DE"/>
        </w:rPr>
        <w:t>prostor</w:t>
      </w:r>
      <w:r>
        <w:rPr>
          <w:szCs w:val="22"/>
        </w:rPr>
        <w:t xml:space="preserve"> </w:t>
      </w:r>
      <w:r>
        <w:rPr>
          <w:szCs w:val="22"/>
          <w:lang w:val="de-DE"/>
        </w:rPr>
        <w:t>Op</w:t>
      </w:r>
      <w:r>
        <w:rPr>
          <w:szCs w:val="22"/>
        </w:rPr>
        <w:t>ć</w:t>
      </w:r>
      <w:r>
        <w:rPr>
          <w:szCs w:val="22"/>
          <w:lang w:val="de-DE"/>
        </w:rPr>
        <w:t>ine</w:t>
      </w:r>
      <w:r>
        <w:rPr>
          <w:szCs w:val="22"/>
        </w:rPr>
        <w:t xml:space="preserve"> </w:t>
      </w:r>
      <w:r>
        <w:rPr>
          <w:szCs w:val="22"/>
          <w:lang w:val="de-DE"/>
        </w:rPr>
        <w:t>Gornja</w:t>
      </w:r>
      <w:r>
        <w:rPr>
          <w:szCs w:val="22"/>
        </w:rPr>
        <w:t xml:space="preserve"> </w:t>
      </w:r>
      <w:r>
        <w:rPr>
          <w:szCs w:val="22"/>
          <w:lang w:val="de-DE"/>
        </w:rPr>
        <w:t>Rijeka</w:t>
      </w:r>
      <w:r>
        <w:rPr>
          <w:szCs w:val="22"/>
        </w:rPr>
        <w:t xml:space="preserve"> </w:t>
      </w:r>
      <w:r>
        <w:rPr>
          <w:szCs w:val="22"/>
          <w:lang w:val="de-DE"/>
        </w:rPr>
        <w:t>dijeli</w:t>
      </w:r>
      <w:r>
        <w:rPr>
          <w:szCs w:val="22"/>
        </w:rPr>
        <w:t xml:space="preserve"> se </w:t>
      </w:r>
      <w:r>
        <w:rPr>
          <w:szCs w:val="22"/>
          <w:lang w:val="de-DE"/>
        </w:rPr>
        <w:t>na</w:t>
      </w:r>
      <w:r>
        <w:rPr>
          <w:szCs w:val="22"/>
        </w:rPr>
        <w:t xml:space="preserve"> </w:t>
      </w:r>
      <w:r>
        <w:rPr>
          <w:szCs w:val="22"/>
          <w:lang w:val="de-DE"/>
        </w:rPr>
        <w:t>kategorije</w:t>
      </w:r>
      <w:r>
        <w:rPr>
          <w:szCs w:val="22"/>
        </w:rPr>
        <w:t xml:space="preserve"> </w:t>
      </w:r>
      <w:r>
        <w:rPr>
          <w:szCs w:val="22"/>
          <w:lang w:val="de-DE"/>
        </w:rPr>
        <w:t>krajobraznih</w:t>
      </w:r>
      <w:r>
        <w:rPr>
          <w:szCs w:val="22"/>
        </w:rPr>
        <w:t xml:space="preserve"> </w:t>
      </w:r>
      <w:r>
        <w:rPr>
          <w:szCs w:val="22"/>
          <w:lang w:val="de-DE"/>
        </w:rPr>
        <w:t>cjelina</w:t>
      </w:r>
      <w:r>
        <w:rPr>
          <w:szCs w:val="22"/>
        </w:rPr>
        <w:t xml:space="preserve"> </w:t>
      </w:r>
      <w:r>
        <w:rPr>
          <w:szCs w:val="22"/>
          <w:lang w:val="de-DE"/>
        </w:rPr>
        <w:t>kojima</w:t>
      </w:r>
      <w:r>
        <w:rPr>
          <w:szCs w:val="22"/>
        </w:rPr>
        <w:t xml:space="preserve"> </w:t>
      </w:r>
      <w:r>
        <w:rPr>
          <w:szCs w:val="22"/>
          <w:lang w:val="de-DE"/>
        </w:rPr>
        <w:t>se</w:t>
      </w:r>
      <w:r>
        <w:rPr>
          <w:szCs w:val="22"/>
        </w:rPr>
        <w:t xml:space="preserve"> </w:t>
      </w:r>
      <w:r>
        <w:rPr>
          <w:szCs w:val="22"/>
          <w:lang w:val="de-DE"/>
        </w:rPr>
        <w:t>valorizira</w:t>
      </w:r>
      <w:r>
        <w:rPr>
          <w:szCs w:val="22"/>
        </w:rPr>
        <w:t xml:space="preserve"> </w:t>
      </w:r>
      <w:r>
        <w:rPr>
          <w:szCs w:val="22"/>
          <w:lang w:val="de-DE"/>
        </w:rPr>
        <w:t>prostor</w:t>
      </w:r>
      <w:r>
        <w:rPr>
          <w:szCs w:val="22"/>
        </w:rPr>
        <w:t xml:space="preserve"> </w:t>
      </w:r>
      <w:r>
        <w:rPr>
          <w:szCs w:val="22"/>
          <w:lang w:val="de-DE"/>
        </w:rPr>
        <w:t>prema</w:t>
      </w:r>
      <w:r>
        <w:rPr>
          <w:szCs w:val="22"/>
        </w:rPr>
        <w:t xml:space="preserve"> </w:t>
      </w:r>
      <w:r>
        <w:rPr>
          <w:szCs w:val="22"/>
          <w:lang w:val="de-DE"/>
        </w:rPr>
        <w:t>vrijednosti</w:t>
      </w:r>
      <w:r>
        <w:rPr>
          <w:szCs w:val="22"/>
        </w:rPr>
        <w:t xml:space="preserve"> </w:t>
      </w:r>
      <w:r>
        <w:rPr>
          <w:szCs w:val="22"/>
          <w:lang w:val="de-DE"/>
        </w:rPr>
        <w:t>kulturne</w:t>
      </w:r>
      <w:r>
        <w:rPr>
          <w:szCs w:val="22"/>
        </w:rPr>
        <w:t xml:space="preserve"> </w:t>
      </w:r>
      <w:r>
        <w:rPr>
          <w:szCs w:val="22"/>
          <w:lang w:val="de-DE"/>
        </w:rPr>
        <w:t>i</w:t>
      </w:r>
      <w:r>
        <w:rPr>
          <w:szCs w:val="22"/>
        </w:rPr>
        <w:t xml:space="preserve"> </w:t>
      </w:r>
      <w:r>
        <w:rPr>
          <w:szCs w:val="22"/>
          <w:lang w:val="de-DE"/>
        </w:rPr>
        <w:t>prirodne</w:t>
      </w:r>
      <w:r>
        <w:rPr>
          <w:szCs w:val="22"/>
        </w:rPr>
        <w:t xml:space="preserve"> </w:t>
      </w:r>
      <w:r>
        <w:rPr>
          <w:szCs w:val="22"/>
          <w:lang w:val="de-DE"/>
        </w:rPr>
        <w:t>ba</w:t>
      </w:r>
      <w:r>
        <w:rPr>
          <w:szCs w:val="22"/>
        </w:rPr>
        <w:t>š</w:t>
      </w:r>
      <w:r>
        <w:rPr>
          <w:szCs w:val="22"/>
          <w:lang w:val="de-DE"/>
        </w:rPr>
        <w:t>tine</w:t>
      </w:r>
      <w:r>
        <w:rPr>
          <w:szCs w:val="22"/>
        </w:rPr>
        <w:t xml:space="preserve"> </w:t>
      </w:r>
      <w:r>
        <w:rPr>
          <w:szCs w:val="22"/>
          <w:lang w:val="de-DE"/>
        </w:rPr>
        <w:t>integralno</w:t>
      </w:r>
      <w:r>
        <w:rPr>
          <w:szCs w:val="22"/>
        </w:rPr>
        <w:t>:</w:t>
      </w:r>
    </w:p>
    <w:p w:rsidR="00012172" w:rsidRDefault="00012172">
      <w:pPr>
        <w:ind w:left="342"/>
        <w:jc w:val="both"/>
        <w:rPr>
          <w:szCs w:val="22"/>
        </w:rPr>
      </w:pPr>
      <w:r>
        <w:rPr>
          <w:szCs w:val="22"/>
          <w:lang w:val="de-DE"/>
        </w:rPr>
        <w:t>I</w:t>
      </w:r>
      <w:r>
        <w:rPr>
          <w:szCs w:val="22"/>
        </w:rPr>
        <w:t xml:space="preserve">. </w:t>
      </w:r>
      <w:r>
        <w:rPr>
          <w:szCs w:val="22"/>
        </w:rPr>
        <w:tab/>
      </w:r>
      <w:r>
        <w:rPr>
          <w:szCs w:val="22"/>
          <w:lang w:val="de-DE"/>
        </w:rPr>
        <w:t>kategorija</w:t>
      </w:r>
      <w:r>
        <w:rPr>
          <w:szCs w:val="22"/>
        </w:rPr>
        <w:t xml:space="preserve"> </w:t>
      </w:r>
      <w:r>
        <w:rPr>
          <w:szCs w:val="22"/>
          <w:lang w:val="de-DE"/>
        </w:rPr>
        <w:t>krajolika</w:t>
      </w:r>
      <w:r>
        <w:rPr>
          <w:szCs w:val="22"/>
        </w:rPr>
        <w:t xml:space="preserve"> (</w:t>
      </w:r>
      <w:r>
        <w:rPr>
          <w:szCs w:val="22"/>
          <w:lang w:val="de-DE"/>
        </w:rPr>
        <w:t>nacionalna vrijednost</w:t>
      </w:r>
      <w:r>
        <w:rPr>
          <w:szCs w:val="22"/>
        </w:rPr>
        <w:t>),</w:t>
      </w:r>
    </w:p>
    <w:p w:rsidR="00012172" w:rsidRDefault="00012172">
      <w:pPr>
        <w:jc w:val="both"/>
        <w:rPr>
          <w:rFonts w:ascii="Arial" w:hAnsi="Arial"/>
        </w:rPr>
      </w:pPr>
    </w:p>
    <w:p w:rsidR="00012172" w:rsidRDefault="00012172">
      <w:pPr>
        <w:jc w:val="both"/>
        <w:rPr>
          <w:rFonts w:ascii="Arial" w:hAnsi="Arial"/>
          <w:sz w:val="16"/>
        </w:rPr>
      </w:pPr>
    </w:p>
    <w:p w:rsidR="00012172" w:rsidRDefault="00012172">
      <w:pPr>
        <w:rPr>
          <w:b/>
          <w:szCs w:val="22"/>
        </w:rPr>
      </w:pPr>
      <w:r>
        <w:rPr>
          <w:b/>
          <w:szCs w:val="22"/>
        </w:rPr>
        <w:t xml:space="preserve">6.2. </w:t>
      </w:r>
      <w:r>
        <w:rPr>
          <w:b/>
          <w:szCs w:val="22"/>
          <w:lang w:val="en-AU"/>
        </w:rPr>
        <w:t>Prirodna</w:t>
      </w:r>
      <w:r>
        <w:rPr>
          <w:b/>
          <w:szCs w:val="22"/>
        </w:rPr>
        <w:t xml:space="preserve"> </w:t>
      </w:r>
      <w:r>
        <w:rPr>
          <w:b/>
          <w:szCs w:val="22"/>
          <w:lang w:val="en-AU"/>
        </w:rPr>
        <w:t>ba</w:t>
      </w:r>
      <w:r>
        <w:rPr>
          <w:b/>
          <w:szCs w:val="22"/>
        </w:rPr>
        <w:t>š</w:t>
      </w:r>
      <w:r>
        <w:rPr>
          <w:b/>
          <w:szCs w:val="22"/>
          <w:lang w:val="en-AU"/>
        </w:rPr>
        <w:t>tina</w:t>
      </w:r>
    </w:p>
    <w:p w:rsidR="00012172" w:rsidRDefault="00012172">
      <w:pPr>
        <w:jc w:val="center"/>
        <w:rPr>
          <w:szCs w:val="22"/>
        </w:rPr>
      </w:pPr>
      <w:r>
        <w:rPr>
          <w:szCs w:val="22"/>
        </w:rPr>
        <w:t>Č</w:t>
      </w:r>
      <w:r>
        <w:rPr>
          <w:szCs w:val="22"/>
          <w:lang w:val="en-AU"/>
        </w:rPr>
        <w:t>lanak</w:t>
      </w:r>
      <w:r w:rsidR="00F237BF">
        <w:rPr>
          <w:szCs w:val="22"/>
        </w:rPr>
        <w:t xml:space="preserve"> 100</w:t>
      </w:r>
      <w:r>
        <w:rPr>
          <w:szCs w:val="22"/>
        </w:rPr>
        <w:t>.</w:t>
      </w:r>
    </w:p>
    <w:p w:rsidR="00CF55D7" w:rsidRDefault="00515186" w:rsidP="004D14A3">
      <w:pPr>
        <w:tabs>
          <w:tab w:val="num" w:pos="0"/>
        </w:tabs>
        <w:overflowPunct w:val="0"/>
        <w:autoSpaceDE w:val="0"/>
        <w:autoSpaceDN w:val="0"/>
        <w:adjustRightInd w:val="0"/>
        <w:ind w:left="360" w:hanging="360"/>
        <w:jc w:val="both"/>
        <w:textAlignment w:val="baseline"/>
        <w:rPr>
          <w:szCs w:val="22"/>
        </w:rPr>
      </w:pPr>
      <w:r w:rsidRPr="00515186">
        <w:rPr>
          <w:szCs w:val="22"/>
        </w:rPr>
        <w:t xml:space="preserve">(1) </w:t>
      </w:r>
      <w:r w:rsidR="00012172">
        <w:rPr>
          <w:szCs w:val="22"/>
          <w:lang w:val="en-AU"/>
        </w:rPr>
        <w:t>Od</w:t>
      </w:r>
      <w:r w:rsidR="00012172">
        <w:rPr>
          <w:szCs w:val="22"/>
        </w:rPr>
        <w:t xml:space="preserve"> </w:t>
      </w:r>
      <w:r w:rsidR="00012172">
        <w:rPr>
          <w:szCs w:val="22"/>
          <w:lang w:val="en-AU"/>
        </w:rPr>
        <w:t>postoje</w:t>
      </w:r>
      <w:r w:rsidR="00012172">
        <w:rPr>
          <w:szCs w:val="22"/>
        </w:rPr>
        <w:t>ć</w:t>
      </w:r>
      <w:r w:rsidR="00012172">
        <w:rPr>
          <w:szCs w:val="22"/>
          <w:lang w:val="en-AU"/>
        </w:rPr>
        <w:t>ih</w:t>
      </w:r>
      <w:r w:rsidR="00012172">
        <w:rPr>
          <w:szCs w:val="22"/>
        </w:rPr>
        <w:t xml:space="preserve"> </w:t>
      </w:r>
      <w:r w:rsidR="00012172">
        <w:rPr>
          <w:szCs w:val="22"/>
          <w:lang w:val="en-AU"/>
        </w:rPr>
        <w:t>kategorija</w:t>
      </w:r>
      <w:r w:rsidR="00012172">
        <w:rPr>
          <w:szCs w:val="22"/>
        </w:rPr>
        <w:t xml:space="preserve"> </w:t>
      </w:r>
      <w:r w:rsidR="00012172">
        <w:rPr>
          <w:szCs w:val="22"/>
          <w:lang w:val="en-AU"/>
        </w:rPr>
        <w:t>za</w:t>
      </w:r>
      <w:r w:rsidR="00012172">
        <w:rPr>
          <w:szCs w:val="22"/>
        </w:rPr>
        <w:t>š</w:t>
      </w:r>
      <w:r w:rsidR="00012172">
        <w:rPr>
          <w:szCs w:val="22"/>
          <w:lang w:val="en-AU"/>
        </w:rPr>
        <w:t>tite</w:t>
      </w:r>
      <w:r w:rsidR="00012172">
        <w:rPr>
          <w:szCs w:val="22"/>
        </w:rPr>
        <w:t xml:space="preserve"> </w:t>
      </w:r>
      <w:r w:rsidR="00012172">
        <w:rPr>
          <w:szCs w:val="22"/>
          <w:lang w:val="en-AU"/>
        </w:rPr>
        <w:t>koje</w:t>
      </w:r>
      <w:r w:rsidR="00012172">
        <w:rPr>
          <w:szCs w:val="22"/>
        </w:rPr>
        <w:t xml:space="preserve"> </w:t>
      </w:r>
      <w:r w:rsidR="00012172">
        <w:rPr>
          <w:szCs w:val="22"/>
          <w:lang w:val="en-AU"/>
        </w:rPr>
        <w:t>predvi</w:t>
      </w:r>
      <w:r w:rsidR="00012172">
        <w:rPr>
          <w:szCs w:val="22"/>
        </w:rPr>
        <w:t>đ</w:t>
      </w:r>
      <w:r w:rsidR="00012172">
        <w:rPr>
          <w:szCs w:val="22"/>
          <w:lang w:val="en-AU"/>
        </w:rPr>
        <w:t>a</w:t>
      </w:r>
      <w:r w:rsidR="00012172">
        <w:rPr>
          <w:szCs w:val="22"/>
        </w:rPr>
        <w:t xml:space="preserve"> </w:t>
      </w:r>
      <w:r w:rsidR="00012172">
        <w:rPr>
          <w:szCs w:val="22"/>
          <w:lang w:val="en-AU"/>
        </w:rPr>
        <w:t>Zakon</w:t>
      </w:r>
      <w:r w:rsidR="00012172">
        <w:rPr>
          <w:szCs w:val="22"/>
        </w:rPr>
        <w:t xml:space="preserve"> </w:t>
      </w:r>
      <w:r w:rsidR="00012172">
        <w:rPr>
          <w:szCs w:val="22"/>
          <w:lang w:val="en-AU"/>
        </w:rPr>
        <w:t>o</w:t>
      </w:r>
      <w:r w:rsidR="00012172">
        <w:rPr>
          <w:szCs w:val="22"/>
        </w:rPr>
        <w:t xml:space="preserve"> </w:t>
      </w:r>
      <w:r w:rsidR="00012172">
        <w:rPr>
          <w:szCs w:val="22"/>
          <w:lang w:val="en-AU"/>
        </w:rPr>
        <w:t>za</w:t>
      </w:r>
      <w:r w:rsidR="00012172">
        <w:rPr>
          <w:szCs w:val="22"/>
        </w:rPr>
        <w:t>š</w:t>
      </w:r>
      <w:r w:rsidR="00012172">
        <w:rPr>
          <w:szCs w:val="22"/>
          <w:lang w:val="en-AU"/>
        </w:rPr>
        <w:t>titi</w:t>
      </w:r>
      <w:r w:rsidR="00012172">
        <w:rPr>
          <w:szCs w:val="22"/>
        </w:rPr>
        <w:t xml:space="preserve"> </w:t>
      </w:r>
      <w:r w:rsidR="00012172">
        <w:rPr>
          <w:szCs w:val="22"/>
          <w:lang w:val="en-AU"/>
        </w:rPr>
        <w:t>prirode</w:t>
      </w:r>
      <w:r w:rsidR="00012172">
        <w:rPr>
          <w:szCs w:val="22"/>
        </w:rPr>
        <w:t xml:space="preserve"> </w:t>
      </w:r>
      <w:r w:rsidR="00012172">
        <w:rPr>
          <w:szCs w:val="22"/>
          <w:lang w:val="en-AU"/>
        </w:rPr>
        <w:t>na</w:t>
      </w:r>
      <w:r w:rsidR="00012172">
        <w:rPr>
          <w:szCs w:val="22"/>
        </w:rPr>
        <w:t xml:space="preserve"> </w:t>
      </w:r>
      <w:r w:rsidR="00012172">
        <w:rPr>
          <w:szCs w:val="22"/>
          <w:lang w:val="en-AU"/>
        </w:rPr>
        <w:t>podru</w:t>
      </w:r>
      <w:r w:rsidR="00012172">
        <w:rPr>
          <w:szCs w:val="22"/>
        </w:rPr>
        <w:t>č</w:t>
      </w:r>
      <w:r w:rsidR="00012172">
        <w:rPr>
          <w:szCs w:val="22"/>
          <w:lang w:val="en-AU"/>
        </w:rPr>
        <w:t>ju</w:t>
      </w:r>
      <w:r w:rsidR="00012172">
        <w:rPr>
          <w:szCs w:val="22"/>
        </w:rPr>
        <w:t xml:space="preserve"> </w:t>
      </w:r>
      <w:r w:rsidR="00012172">
        <w:rPr>
          <w:szCs w:val="22"/>
          <w:lang w:val="en-AU"/>
        </w:rPr>
        <w:t>Op</w:t>
      </w:r>
      <w:r w:rsidR="00012172">
        <w:rPr>
          <w:szCs w:val="22"/>
        </w:rPr>
        <w:t>ć</w:t>
      </w:r>
      <w:r w:rsidR="00012172">
        <w:rPr>
          <w:szCs w:val="22"/>
          <w:lang w:val="en-AU"/>
        </w:rPr>
        <w:t>ine</w:t>
      </w:r>
      <w:r w:rsidR="00012172">
        <w:rPr>
          <w:szCs w:val="22"/>
        </w:rPr>
        <w:t xml:space="preserve"> </w:t>
      </w:r>
      <w:r w:rsidR="00012172">
        <w:rPr>
          <w:szCs w:val="22"/>
          <w:lang w:val="en-AU"/>
        </w:rPr>
        <w:t>Gornja</w:t>
      </w:r>
      <w:r w:rsidR="00012172">
        <w:rPr>
          <w:szCs w:val="22"/>
        </w:rPr>
        <w:t xml:space="preserve"> </w:t>
      </w:r>
      <w:r w:rsidR="00012172">
        <w:rPr>
          <w:szCs w:val="22"/>
          <w:lang w:val="en-AU"/>
        </w:rPr>
        <w:t>Rijeka</w:t>
      </w:r>
      <w:r w:rsidR="00012172">
        <w:rPr>
          <w:szCs w:val="22"/>
        </w:rPr>
        <w:t xml:space="preserve"> </w:t>
      </w:r>
      <w:r w:rsidR="00012172">
        <w:rPr>
          <w:szCs w:val="22"/>
          <w:lang w:val="en-AU"/>
        </w:rPr>
        <w:t>nalaze</w:t>
      </w:r>
      <w:r w:rsidR="00012172">
        <w:rPr>
          <w:szCs w:val="22"/>
        </w:rPr>
        <w:t xml:space="preserve"> </w:t>
      </w:r>
      <w:r w:rsidR="00012172">
        <w:rPr>
          <w:szCs w:val="22"/>
          <w:lang w:val="en-AU"/>
        </w:rPr>
        <w:t>se</w:t>
      </w:r>
      <w:r w:rsidR="00012172">
        <w:rPr>
          <w:szCs w:val="22"/>
        </w:rPr>
        <w:t xml:space="preserve"> </w:t>
      </w:r>
      <w:r w:rsidR="00012172">
        <w:rPr>
          <w:szCs w:val="22"/>
          <w:lang w:val="en-AU"/>
        </w:rPr>
        <w:t>lokaliteti</w:t>
      </w:r>
      <w:r w:rsidR="00012172">
        <w:rPr>
          <w:szCs w:val="22"/>
        </w:rPr>
        <w:t xml:space="preserve"> (prikazani na kartografskom prikazu broj 3. Uvjeti korištenja, uređenja i zaštite prostora, 1:25.000) </w:t>
      </w:r>
      <w:r w:rsidR="00012172">
        <w:rPr>
          <w:szCs w:val="22"/>
          <w:lang w:val="en-AU"/>
        </w:rPr>
        <w:t>za</w:t>
      </w:r>
      <w:r w:rsidR="00012172">
        <w:rPr>
          <w:szCs w:val="22"/>
        </w:rPr>
        <w:t>š</w:t>
      </w:r>
      <w:r w:rsidR="00012172">
        <w:rPr>
          <w:szCs w:val="22"/>
          <w:lang w:val="en-AU"/>
        </w:rPr>
        <w:t>ti</w:t>
      </w:r>
      <w:r w:rsidR="00012172">
        <w:rPr>
          <w:szCs w:val="22"/>
        </w:rPr>
        <w:t>ć</w:t>
      </w:r>
      <w:r w:rsidR="00012172">
        <w:rPr>
          <w:szCs w:val="22"/>
          <w:lang w:val="en-AU"/>
        </w:rPr>
        <w:t>eni</w:t>
      </w:r>
      <w:r w:rsidR="00012172">
        <w:rPr>
          <w:szCs w:val="22"/>
        </w:rPr>
        <w:t xml:space="preserve"> </w:t>
      </w:r>
      <w:r w:rsidR="00012172">
        <w:rPr>
          <w:szCs w:val="22"/>
          <w:lang w:val="en-AU"/>
        </w:rPr>
        <w:t>u</w:t>
      </w:r>
      <w:r w:rsidR="00012172">
        <w:rPr>
          <w:szCs w:val="22"/>
        </w:rPr>
        <w:t xml:space="preserve"> </w:t>
      </w:r>
      <w:r w:rsidR="00012172">
        <w:rPr>
          <w:szCs w:val="22"/>
          <w:lang w:val="en-AU"/>
        </w:rPr>
        <w:t>kategorijama</w:t>
      </w:r>
      <w:r w:rsidR="004D14A3">
        <w:rPr>
          <w:szCs w:val="22"/>
        </w:rPr>
        <w:t xml:space="preserve"> </w:t>
      </w:r>
      <w:r w:rsidR="00012172">
        <w:rPr>
          <w:szCs w:val="22"/>
        </w:rPr>
        <w:t>značajni krajobra</w:t>
      </w:r>
      <w:r w:rsidR="004D14A3">
        <w:rPr>
          <w:szCs w:val="22"/>
        </w:rPr>
        <w:t xml:space="preserve">z Kalnik i </w:t>
      </w:r>
      <w:r w:rsidR="00012172">
        <w:rPr>
          <w:szCs w:val="22"/>
        </w:rPr>
        <w:t xml:space="preserve">posebni </w:t>
      </w:r>
      <w:r w:rsidR="004C746B">
        <w:rPr>
          <w:szCs w:val="22"/>
        </w:rPr>
        <w:t>posebni botanički rezervat</w:t>
      </w:r>
      <w:r w:rsidR="00012172">
        <w:rPr>
          <w:szCs w:val="22"/>
        </w:rPr>
        <w:t xml:space="preserve"> Mali Kalnik</w:t>
      </w:r>
      <w:r w:rsidR="004D14A3">
        <w:rPr>
          <w:szCs w:val="22"/>
        </w:rPr>
        <w:t>.</w:t>
      </w:r>
    </w:p>
    <w:p w:rsidR="004D14A3" w:rsidRDefault="004D14A3" w:rsidP="004D14A3">
      <w:pPr>
        <w:overflowPunct w:val="0"/>
        <w:autoSpaceDE w:val="0"/>
        <w:autoSpaceDN w:val="0"/>
        <w:adjustRightInd w:val="0"/>
        <w:jc w:val="both"/>
        <w:textAlignment w:val="baseline"/>
        <w:rPr>
          <w:i/>
          <w:iCs/>
          <w:u w:val="single"/>
        </w:rPr>
      </w:pPr>
    </w:p>
    <w:p w:rsidR="00CF55D7" w:rsidRPr="004D14A3" w:rsidRDefault="004D14A3" w:rsidP="004D14A3">
      <w:pPr>
        <w:overflowPunct w:val="0"/>
        <w:autoSpaceDE w:val="0"/>
        <w:autoSpaceDN w:val="0"/>
        <w:adjustRightInd w:val="0"/>
        <w:jc w:val="both"/>
        <w:textAlignment w:val="baseline"/>
        <w:rPr>
          <w:szCs w:val="22"/>
        </w:rPr>
      </w:pPr>
      <w:r w:rsidRPr="004D14A3">
        <w:rPr>
          <w:i/>
          <w:iCs/>
        </w:rPr>
        <w:t>a)</w:t>
      </w:r>
      <w:r>
        <w:rPr>
          <w:i/>
          <w:iCs/>
        </w:rPr>
        <w:t xml:space="preserve"> </w:t>
      </w:r>
      <w:r w:rsidR="00CF55D7">
        <w:rPr>
          <w:i/>
          <w:iCs/>
          <w:u w:val="single"/>
        </w:rPr>
        <w:t>Značajni krajobraz</w:t>
      </w:r>
      <w:r w:rsidR="00CF55D7">
        <w:t xml:space="preserve">– je prirodni i kultivirani predjel velike krajobrazne vrijednosti i biološke raznolikosti, te krajobraz očuvanih jedinstvenih obilježja, a namijenjen odmoru i rekreaciji. Unutar zaštićenog područja nisu dopušteni zahvati i radnje koje bi narušavale obilježja zbog koji je navedeno područje zaštićeno.  </w:t>
      </w:r>
      <w:r w:rsidR="00CF55D7" w:rsidRPr="004D14A3">
        <w:t>Ovaj oblik zaštite sam po sebi ne nosi stroga ograničenja zadiranja u prostor, već ponajprije ima intenciju upozoriti na osobitosti  predjela u biološko-ekološkom i kulturnom smislu koja  krajolik treba očuvati od uništenja.</w:t>
      </w:r>
    </w:p>
    <w:p w:rsidR="00CF55D7" w:rsidRDefault="00CF55D7" w:rsidP="00CF55D7">
      <w:pPr>
        <w:ind w:left="360"/>
        <w:jc w:val="both"/>
        <w:rPr>
          <w:rFonts w:ascii="Arial" w:hAnsi="Arial" w:cs="Arial"/>
          <w:sz w:val="22"/>
        </w:rPr>
      </w:pPr>
    </w:p>
    <w:p w:rsidR="00CF55D7" w:rsidRPr="004D14A3" w:rsidRDefault="004D14A3" w:rsidP="00FF441F">
      <w:pPr>
        <w:jc w:val="both"/>
      </w:pPr>
      <w:r w:rsidRPr="00F237BF">
        <w:t>b)</w:t>
      </w:r>
      <w:r w:rsidR="00CF55D7" w:rsidRPr="00F237BF">
        <w:t>Posebni rezervat – je područje kopna i/ili mora od osobitog značenja radi svoje</w:t>
      </w:r>
      <w:r w:rsidR="00CF55D7">
        <w:rPr>
          <w:rFonts w:ascii="Arial" w:hAnsi="Arial" w:cs="Arial"/>
          <w:sz w:val="22"/>
        </w:rPr>
        <w:t xml:space="preserve"> </w:t>
      </w:r>
      <w:r w:rsidR="00CF55D7" w:rsidRPr="004D14A3">
        <w:t xml:space="preserve">jedinstvenosti, ili je stanište ugrožene divlje svojte, a osobitog je znanstvenog značenja i namjene. Aktom o proglašenju posebnog rezervata se navodi zbog kojih vrijednosti se štiti područje (Mali Kalnik – </w:t>
      </w:r>
      <w:r w:rsidR="00CF55D7" w:rsidRPr="004D14A3">
        <w:rPr>
          <w:i/>
        </w:rPr>
        <w:t>posebni botanički rezervat</w:t>
      </w:r>
      <w:r w:rsidR="00CF55D7" w:rsidRPr="004D14A3">
        <w:t>). U posebnom rezervatu nisu dopuštene radnje i djelatnosti koje mogu narušiti svojstva zbog koji je proglašen rezervatom (branje i uništavanje biljnih svojti, unošenje novih bioloških svojti, razni invazijski oblici korištenja i sl.). Posjećivanje i razgledanje rezervata je dopušteno, ali se određenim mjerama zaštite može i ograničiti i/ili zabraniti. U rezervatu su dopuštene radnje koje održavaju i/ili unaprjeđuju stanje biološke raznolikosti i svojstava zbog koji je određena zaštita.</w:t>
      </w:r>
      <w:r w:rsidR="00FF441F">
        <w:t xml:space="preserve"> D</w:t>
      </w:r>
      <w:r w:rsidR="00CF55D7" w:rsidRPr="004D14A3">
        <w:t>opuštenje za zahvate i radnje u posebnom rezervatu izdaje Ministarstvo</w:t>
      </w:r>
    </w:p>
    <w:p w:rsidR="00012172" w:rsidRDefault="00012172">
      <w:pPr>
        <w:overflowPunct w:val="0"/>
        <w:autoSpaceDE w:val="0"/>
        <w:autoSpaceDN w:val="0"/>
        <w:adjustRightInd w:val="0"/>
        <w:jc w:val="both"/>
        <w:textAlignment w:val="baseline"/>
        <w:rPr>
          <w:szCs w:val="22"/>
        </w:rPr>
      </w:pPr>
    </w:p>
    <w:p w:rsidR="00012172" w:rsidRPr="00725F6F" w:rsidRDefault="00515186" w:rsidP="00725F6F">
      <w:pPr>
        <w:jc w:val="both"/>
      </w:pPr>
      <w:r>
        <w:t xml:space="preserve">(2) </w:t>
      </w:r>
      <w:r w:rsidR="00012172" w:rsidRPr="00725F6F">
        <w:t>Područjem zaštićenih lokaliteta upravlja Javna ustanova za upravljanje zaštićenim prirodnim vrijednostima na području Koprivničko-križevačke županije pridržavajući se smjernica određenih Zakonom o zaštiti prirode i šumsko-gospodarskih osnova datih lokacija.</w:t>
      </w:r>
    </w:p>
    <w:p w:rsidR="00012172" w:rsidRDefault="00012172">
      <w:pPr>
        <w:overflowPunct w:val="0"/>
        <w:autoSpaceDE w:val="0"/>
        <w:autoSpaceDN w:val="0"/>
        <w:adjustRightInd w:val="0"/>
        <w:jc w:val="both"/>
        <w:textAlignment w:val="baseline"/>
        <w:rPr>
          <w:szCs w:val="22"/>
        </w:rPr>
      </w:pPr>
    </w:p>
    <w:p w:rsidR="00012172" w:rsidRPr="00725F6F" w:rsidRDefault="00515186" w:rsidP="00725F6F">
      <w:pPr>
        <w:jc w:val="both"/>
      </w:pPr>
      <w:r>
        <w:t xml:space="preserve">(3) </w:t>
      </w:r>
      <w:r w:rsidR="00012172" w:rsidRPr="00725F6F">
        <w:t xml:space="preserve">Potrebna je izrada </w:t>
      </w:r>
      <w:r w:rsidR="005710D8">
        <w:t>P</w:t>
      </w:r>
      <w:r w:rsidR="00012172" w:rsidRPr="00725F6F">
        <w:t>lana upravljanja sa propisanim mjerama zaštite značajnog krajobraza Kalnik. Za izradu spomenutog dokumenta nužna je suradnja sa susjednim županijama.</w:t>
      </w:r>
    </w:p>
    <w:p w:rsidR="00012172" w:rsidRPr="00725F6F" w:rsidRDefault="00012172" w:rsidP="00725F6F">
      <w:pPr>
        <w:jc w:val="both"/>
      </w:pPr>
    </w:p>
    <w:p w:rsidR="00012172" w:rsidRPr="00725F6F" w:rsidRDefault="00515186" w:rsidP="00725F6F">
      <w:pPr>
        <w:jc w:val="both"/>
      </w:pPr>
      <w:r>
        <w:t xml:space="preserve">(4) </w:t>
      </w:r>
      <w:r w:rsidR="00012172" w:rsidRPr="00725F6F">
        <w:t xml:space="preserve">Ovim Planom, slap Sopot koji se nalazi nedaleko naselja Gornja Rijeka, predlaže se za zaštitu u kategoriji </w:t>
      </w:r>
      <w:r w:rsidR="005710D8">
        <w:t>–</w:t>
      </w:r>
      <w:r w:rsidR="00012172" w:rsidRPr="00725F6F">
        <w:t xml:space="preserve"> </w:t>
      </w:r>
      <w:r w:rsidR="005710D8">
        <w:t>spomenik prirode</w:t>
      </w:r>
      <w:r w:rsidR="00012172" w:rsidRPr="00725F6F">
        <w:t>. Za ovaj vrijedni dio prirode Općina Gornja Rijeka, temeljem Zakona o zaštiti prirode, treba pokrenuti propisani postupak za utvrđivanje stupnja zaštite, koji će rezultirati donošenjem određenih mjera zaštite.</w:t>
      </w:r>
      <w:r w:rsidR="009A60CD">
        <w:t xml:space="preserve"> Izradit će se stručna podloga ili stručno obrazloženje kako bi se pokrenuo postupak zaštite, a do donošenja odluke o valjanosti prijedloga za zaštitu ovo će se područje štititi odredbama za provođenje ovog Plana.</w:t>
      </w:r>
    </w:p>
    <w:p w:rsidR="00012172" w:rsidRDefault="00012172">
      <w:pPr>
        <w:rPr>
          <w:rFonts w:ascii="Arial" w:hAnsi="Arial"/>
          <w:b/>
          <w:sz w:val="22"/>
          <w:szCs w:val="22"/>
        </w:rPr>
      </w:pPr>
    </w:p>
    <w:p w:rsidR="00012172" w:rsidRDefault="005B7DC3" w:rsidP="007455AD">
      <w:pPr>
        <w:jc w:val="both"/>
      </w:pPr>
      <w:r w:rsidRPr="005B7DC3">
        <w:t xml:space="preserve">(5) </w:t>
      </w:r>
      <w:r>
        <w:t>Ovim Planom priroda se štiti očuvanjem biološke i krajobrazne raznolikosti te zaštitom prirodnih vrijednosti, a to su zaštićena područja, zaštićene svojte te zaštićeni minerali i fosili.</w:t>
      </w:r>
    </w:p>
    <w:p w:rsidR="007455AD" w:rsidRDefault="007455AD" w:rsidP="005B7DC3">
      <w:pPr>
        <w:jc w:val="both"/>
      </w:pPr>
    </w:p>
    <w:p w:rsidR="005B7DC3" w:rsidRDefault="005B7DC3" w:rsidP="005B7DC3">
      <w:pPr>
        <w:jc w:val="both"/>
      </w:pPr>
      <w:r>
        <w:t>(6) U cilju očuvanja prirodne biološke raznolikosti treba očuvati postojeće šumske površine, šumske rubove, živice koje se nalaze između obradivih površina, te zabraniti njihovo pretvaranje u obradive površine; osobito štititi područja prirodnih vodotoka i lokvi od neprimjerenih zahvata i radnji.</w:t>
      </w:r>
    </w:p>
    <w:p w:rsidR="005B7DC3" w:rsidRDefault="005B7DC3" w:rsidP="005B7DC3">
      <w:pPr>
        <w:jc w:val="both"/>
      </w:pPr>
    </w:p>
    <w:p w:rsidR="005B7DC3" w:rsidRDefault="0046237A" w:rsidP="005B7DC3">
      <w:pPr>
        <w:jc w:val="both"/>
      </w:pPr>
      <w:r>
        <w:t>(7) U</w:t>
      </w:r>
      <w:r w:rsidR="005B7DC3">
        <w:t xml:space="preserve"> cilju</w:t>
      </w:r>
      <w:r>
        <w:t xml:space="preserve"> očuvanja krajobraznih  vrijednosti mora se izvršiti analiza krajobraza obzirom na prostornu, biofizičku i antropogenu strukturu područja, istaknuti posebnosti krajobraza, utvrditi problemska područja i trendove koji ugrožavaju krajobrazne vrijednosti te u skladu s tim planirati izgradnju koja neće narušiti fizionomiju krajobraza. </w:t>
      </w:r>
    </w:p>
    <w:p w:rsidR="0046237A" w:rsidRDefault="0046237A" w:rsidP="005B7DC3">
      <w:pPr>
        <w:jc w:val="both"/>
      </w:pPr>
    </w:p>
    <w:p w:rsidR="0046237A" w:rsidRDefault="0046237A" w:rsidP="005B7DC3">
      <w:pPr>
        <w:jc w:val="both"/>
      </w:pPr>
      <w:r>
        <w:t xml:space="preserve">(8) </w:t>
      </w:r>
      <w:r w:rsidR="009A60CD">
        <w:t>Za planirane zahvate u prirodi, koji sami ili s drugim zahvatima mogu imati bitan utjecaj na ekološki značajno područje</w:t>
      </w:r>
      <w:r w:rsidR="003202A3">
        <w:t xml:space="preserve"> ili zaštićenu prirodnu vrijednost odnosno prirodnu vrijednost predviđenu za zaštitu, treba ocijeniti, sukladno Zakonu o zaštiti prirode, njihovu prihvatljivost za prirodu u odnosu na ciljeve očuvanja tog ekološki značajnog područja ili zaštićene vrijednosti.</w:t>
      </w:r>
    </w:p>
    <w:p w:rsidR="003202A3" w:rsidRDefault="003202A3" w:rsidP="005B7DC3">
      <w:pPr>
        <w:jc w:val="both"/>
      </w:pPr>
    </w:p>
    <w:p w:rsidR="003202A3" w:rsidRDefault="003202A3" w:rsidP="005B7DC3">
      <w:pPr>
        <w:jc w:val="both"/>
      </w:pPr>
      <w:r>
        <w:t>(9) Pri planiranju gospodarskih djelatnosti, osobito eksploatacijskih zahvata, treba osigurati racionalno korištenje neobnovljivih prirodnih dobara, te održivo korištenje obnovljivih prirodnih izvora.</w:t>
      </w:r>
    </w:p>
    <w:p w:rsidR="007455AD" w:rsidRDefault="007455AD" w:rsidP="005B7DC3">
      <w:pPr>
        <w:jc w:val="both"/>
      </w:pPr>
    </w:p>
    <w:p w:rsidR="007455AD" w:rsidRDefault="007455AD" w:rsidP="007455AD">
      <w:pPr>
        <w:jc w:val="both"/>
        <w:rPr>
          <w:szCs w:val="22"/>
        </w:rPr>
      </w:pPr>
      <w:r>
        <w:t>(10) Ekološki vrijedna područja koja se nalaze na području Općine treba sačuvati i vrednovati u skladu sa Zakonom o zaštiti prirode i Pravilnikom o vrstama stanišnih tipova, karti staništa, ugroženim i rijetkim stanišnim tipovima te mjerama za očuvanje stanišnih tipova (</w:t>
      </w:r>
      <w:r>
        <w:rPr>
          <w:szCs w:val="22"/>
          <w:lang w:val="en-AU"/>
        </w:rPr>
        <w:t>Narodne</w:t>
      </w:r>
      <w:r>
        <w:rPr>
          <w:szCs w:val="22"/>
        </w:rPr>
        <w:t xml:space="preserve"> </w:t>
      </w:r>
      <w:r>
        <w:rPr>
          <w:szCs w:val="22"/>
          <w:lang w:val="en-AU"/>
        </w:rPr>
        <w:t>novine</w:t>
      </w:r>
      <w:r>
        <w:rPr>
          <w:szCs w:val="22"/>
        </w:rPr>
        <w:t xml:space="preserve"> </w:t>
      </w:r>
      <w:r>
        <w:rPr>
          <w:szCs w:val="22"/>
          <w:lang w:val="en-AU"/>
        </w:rPr>
        <w:t>broj</w:t>
      </w:r>
      <w:r>
        <w:rPr>
          <w:szCs w:val="22"/>
        </w:rPr>
        <w:t xml:space="preserve"> 7/06).</w:t>
      </w:r>
    </w:p>
    <w:p w:rsidR="007455AD" w:rsidRDefault="007455AD" w:rsidP="007455AD">
      <w:pPr>
        <w:jc w:val="both"/>
        <w:rPr>
          <w:szCs w:val="22"/>
        </w:rPr>
      </w:pPr>
    </w:p>
    <w:p w:rsidR="007455AD" w:rsidRDefault="007455AD" w:rsidP="007455AD">
      <w:pPr>
        <w:jc w:val="both"/>
        <w:rPr>
          <w:szCs w:val="22"/>
        </w:rPr>
      </w:pPr>
      <w:r>
        <w:rPr>
          <w:szCs w:val="22"/>
        </w:rPr>
        <w:t>(11) Na području Općine Gornja Rijeka utvrđeni su ugroženi i rijetki tipovi staništa (mješovite hrastovo-grabove i čiste grabove šume; mezofilne</w:t>
      </w:r>
      <w:r w:rsidR="002718D6">
        <w:rPr>
          <w:szCs w:val="22"/>
        </w:rPr>
        <w:t xml:space="preserve"> i neutrofilne čiste bukove šume) za koje treba provoditi sljedeće mjere očuvanja:</w:t>
      </w:r>
    </w:p>
    <w:p w:rsidR="002718D6" w:rsidRDefault="002718D6" w:rsidP="007455AD">
      <w:pPr>
        <w:jc w:val="both"/>
        <w:rPr>
          <w:szCs w:val="22"/>
        </w:rPr>
      </w:pPr>
      <w:r>
        <w:rPr>
          <w:szCs w:val="22"/>
        </w:rPr>
        <w:t>- u gospodarenju šumama očuvati u najvećoj mjeri šumske čistine (livade, pašnjaci i dr.) i šumske rubove;</w:t>
      </w:r>
    </w:p>
    <w:p w:rsidR="002718D6" w:rsidRDefault="002718D6" w:rsidP="007455AD">
      <w:pPr>
        <w:jc w:val="both"/>
        <w:rPr>
          <w:szCs w:val="22"/>
        </w:rPr>
      </w:pPr>
      <w:r>
        <w:rPr>
          <w:szCs w:val="22"/>
        </w:rPr>
        <w:t>- prilikom dovršenog sijeka šumskih površina, gdje je to moguće i prikladno, ostavljati manje neposječene površine;</w:t>
      </w:r>
    </w:p>
    <w:p w:rsidR="002718D6" w:rsidRDefault="002718D6" w:rsidP="007455AD">
      <w:pPr>
        <w:jc w:val="both"/>
        <w:rPr>
          <w:szCs w:val="22"/>
        </w:rPr>
      </w:pPr>
      <w:r>
        <w:rPr>
          <w:szCs w:val="22"/>
        </w:rPr>
        <w:t>- u gospodarenju šumama izbjegavati uporabu kemijskih sredstava za zaštitu bilja i bioloških kontrolnih sredstava („control agens“), ne koristiti genetski modificirane organizme;</w:t>
      </w:r>
    </w:p>
    <w:p w:rsidR="002718D6" w:rsidRDefault="002718D6" w:rsidP="007455AD">
      <w:pPr>
        <w:jc w:val="both"/>
        <w:rPr>
          <w:szCs w:val="22"/>
        </w:rPr>
      </w:pPr>
      <w:r>
        <w:rPr>
          <w:szCs w:val="22"/>
        </w:rPr>
        <w:t>- u svim šumama</w:t>
      </w:r>
      <w:r w:rsidR="0092702B">
        <w:rPr>
          <w:szCs w:val="22"/>
        </w:rPr>
        <w:t xml:space="preserve"> osigurati stalan postotak zrelih, starih i suhih (stojećih i oborenih</w:t>
      </w:r>
      <w:r w:rsidR="006C0EE1">
        <w:rPr>
          <w:szCs w:val="22"/>
        </w:rPr>
        <w:t xml:space="preserve"> stabala, osobito stabala s dupljama;</w:t>
      </w:r>
    </w:p>
    <w:p w:rsidR="006C0EE1" w:rsidRDefault="006C0EE1" w:rsidP="007455AD">
      <w:pPr>
        <w:jc w:val="both"/>
        <w:rPr>
          <w:szCs w:val="22"/>
        </w:rPr>
      </w:pPr>
      <w:r>
        <w:rPr>
          <w:szCs w:val="22"/>
        </w:rPr>
        <w:t>- u gospodarenju šumama osigurati prikladu brigu za očuvanje ugroženih i rijetkih divljih svojti te sustavno praćenje njihova stanja (monitoring);</w:t>
      </w:r>
    </w:p>
    <w:p w:rsidR="0089067D" w:rsidRDefault="006C0EE1" w:rsidP="007455AD">
      <w:pPr>
        <w:jc w:val="both"/>
        <w:rPr>
          <w:szCs w:val="22"/>
        </w:rPr>
      </w:pPr>
      <w:r>
        <w:rPr>
          <w:szCs w:val="22"/>
        </w:rPr>
        <w:t>- pošumljavanje, gdje to dopuštaju uvjeti staništa, obavljati autohtonim vrstama drveća u sastavu koji odražava prirodni sastav, koristeći bliske metode; pošumljavanje nešumskih površina obavljati samo gdje je opravdano  uz uvjet da se ne ugrožavaju ugroženi i rijetki nešumski stanišni tipovi</w:t>
      </w:r>
      <w:r w:rsidR="0089067D">
        <w:rPr>
          <w:szCs w:val="22"/>
        </w:rPr>
        <w:t>;</w:t>
      </w:r>
    </w:p>
    <w:p w:rsidR="0089067D" w:rsidRDefault="0089067D" w:rsidP="007455AD">
      <w:pPr>
        <w:jc w:val="both"/>
        <w:rPr>
          <w:szCs w:val="22"/>
        </w:rPr>
      </w:pPr>
      <w:r>
        <w:rPr>
          <w:szCs w:val="22"/>
        </w:rPr>
        <w:t>- očuvati biološke vrste značajne za stanišni tip što podrazumjeva neunošenje stranih (alohtonih) vrsta i  genetski modificiranih organizama.</w:t>
      </w:r>
    </w:p>
    <w:p w:rsidR="0089067D" w:rsidRDefault="0089067D" w:rsidP="007455AD">
      <w:pPr>
        <w:jc w:val="both"/>
        <w:rPr>
          <w:szCs w:val="22"/>
        </w:rPr>
      </w:pPr>
    </w:p>
    <w:p w:rsidR="0089067D" w:rsidRDefault="0089067D" w:rsidP="007455AD">
      <w:pPr>
        <w:jc w:val="both"/>
        <w:rPr>
          <w:szCs w:val="22"/>
        </w:rPr>
      </w:pPr>
      <w:r>
        <w:rPr>
          <w:szCs w:val="22"/>
        </w:rPr>
        <w:t>(12) Dio obuhvata prostornog plana uređenja Općine Gornja Rijeka nalazi se u preliminarnoj Nacionalnoj ekološkoj mreži Hrvatske (NEN) kao dio središnje jezgre i dio koridora NEN-a i odnosi se na područje značajnog krajobraza „Kalnik“ i posebnog botaničkog rezervata „Mali Kalnik“. Dio područja obuhvata Općine Gornja Rijeka</w:t>
      </w:r>
      <w:r w:rsidR="00D3405A">
        <w:rPr>
          <w:szCs w:val="22"/>
        </w:rPr>
        <w:t xml:space="preserve"> vrednovano je i kao dio područja važnog z aptice Europske Unije, odnosno potencijalno područje EU ekološke mreže NATURA 2000.</w:t>
      </w:r>
    </w:p>
    <w:p w:rsidR="0089067D" w:rsidRDefault="0089067D" w:rsidP="007455AD">
      <w:pPr>
        <w:jc w:val="both"/>
        <w:rPr>
          <w:szCs w:val="22"/>
        </w:rPr>
      </w:pPr>
    </w:p>
    <w:p w:rsidR="005B7DC3" w:rsidRPr="005B7DC3" w:rsidRDefault="005B7DC3"/>
    <w:p w:rsidR="00012172" w:rsidRDefault="00012172">
      <w:pPr>
        <w:rPr>
          <w:rFonts w:ascii="Arial" w:hAnsi="Arial"/>
          <w:b/>
          <w:sz w:val="22"/>
          <w:szCs w:val="22"/>
        </w:rPr>
      </w:pPr>
      <w:r>
        <w:rPr>
          <w:rFonts w:ascii="Arial" w:hAnsi="Arial"/>
          <w:b/>
          <w:sz w:val="22"/>
          <w:szCs w:val="22"/>
        </w:rPr>
        <w:t xml:space="preserve">6.3. </w:t>
      </w:r>
      <w:r w:rsidRPr="00D15F48">
        <w:rPr>
          <w:rFonts w:ascii="Arial" w:hAnsi="Arial"/>
          <w:b/>
          <w:sz w:val="22"/>
          <w:szCs w:val="22"/>
          <w:lang w:val="de-DE"/>
        </w:rPr>
        <w:t>Kulturna</w:t>
      </w:r>
      <w:r>
        <w:rPr>
          <w:rFonts w:ascii="Arial" w:hAnsi="Arial"/>
          <w:b/>
          <w:sz w:val="22"/>
          <w:szCs w:val="22"/>
        </w:rPr>
        <w:t xml:space="preserve"> </w:t>
      </w:r>
      <w:r w:rsidRPr="00D15F48">
        <w:rPr>
          <w:rFonts w:ascii="Arial" w:hAnsi="Arial"/>
          <w:b/>
          <w:sz w:val="22"/>
          <w:szCs w:val="22"/>
          <w:lang w:val="de-DE"/>
        </w:rPr>
        <w:t>ba</w:t>
      </w:r>
      <w:r>
        <w:rPr>
          <w:rFonts w:ascii="Arial" w:hAnsi="Arial"/>
          <w:b/>
          <w:sz w:val="22"/>
          <w:szCs w:val="22"/>
        </w:rPr>
        <w:t>š</w:t>
      </w:r>
      <w:r w:rsidRPr="00D15F48">
        <w:rPr>
          <w:rFonts w:ascii="Arial" w:hAnsi="Arial"/>
          <w:b/>
          <w:sz w:val="22"/>
          <w:szCs w:val="22"/>
          <w:lang w:val="de-DE"/>
        </w:rPr>
        <w:t>tina</w:t>
      </w:r>
      <w:r w:rsidR="00D15F48" w:rsidRPr="00D15F48">
        <w:rPr>
          <w:rFonts w:ascii="Arial" w:hAnsi="Arial"/>
          <w:b/>
          <w:sz w:val="22"/>
          <w:szCs w:val="22"/>
        </w:rPr>
        <w:t xml:space="preserve"> (</w:t>
      </w:r>
      <w:r w:rsidR="00D15F48" w:rsidRPr="00D15F48">
        <w:rPr>
          <w:rFonts w:ascii="Arial" w:hAnsi="Arial"/>
          <w:b/>
          <w:sz w:val="22"/>
          <w:szCs w:val="22"/>
          <w:lang w:val="de-DE"/>
        </w:rPr>
        <w:t>nedostaju</w:t>
      </w:r>
      <w:r w:rsidR="00D15F48" w:rsidRPr="00D15F48">
        <w:rPr>
          <w:rFonts w:ascii="Arial" w:hAnsi="Arial"/>
          <w:b/>
          <w:sz w:val="22"/>
          <w:szCs w:val="22"/>
        </w:rPr>
        <w:t xml:space="preserve"> </w:t>
      </w:r>
      <w:r w:rsidR="00D15F48" w:rsidRPr="00D15F48">
        <w:rPr>
          <w:rFonts w:ascii="Arial" w:hAnsi="Arial"/>
          <w:b/>
          <w:sz w:val="22"/>
          <w:szCs w:val="22"/>
          <w:lang w:val="de-DE"/>
        </w:rPr>
        <w:t>mjere</w:t>
      </w:r>
      <w:r w:rsidR="00D15F48" w:rsidRPr="00D15F48">
        <w:rPr>
          <w:rFonts w:ascii="Arial" w:hAnsi="Arial"/>
          <w:b/>
          <w:sz w:val="22"/>
          <w:szCs w:val="22"/>
        </w:rPr>
        <w:t xml:space="preserve"> </w:t>
      </w:r>
      <w:r w:rsidR="00D15F48" w:rsidRPr="00D15F48">
        <w:rPr>
          <w:rFonts w:ascii="Arial" w:hAnsi="Arial"/>
          <w:b/>
          <w:sz w:val="22"/>
          <w:szCs w:val="22"/>
          <w:lang w:val="de-DE"/>
        </w:rPr>
        <w:t>zastite</w:t>
      </w:r>
      <w:r w:rsidR="00D15F48" w:rsidRPr="00D15F48">
        <w:rPr>
          <w:rFonts w:ascii="Arial" w:hAnsi="Arial"/>
          <w:b/>
          <w:sz w:val="22"/>
          <w:szCs w:val="22"/>
        </w:rPr>
        <w:t xml:space="preserve"> </w:t>
      </w:r>
      <w:r w:rsidR="00D15F48" w:rsidRPr="00D15F48">
        <w:rPr>
          <w:rFonts w:ascii="Arial" w:hAnsi="Arial"/>
          <w:b/>
          <w:sz w:val="22"/>
          <w:szCs w:val="22"/>
          <w:lang w:val="de-DE"/>
        </w:rPr>
        <w:t>koje</w:t>
      </w:r>
      <w:r w:rsidR="00D15F48" w:rsidRPr="00D15F48">
        <w:rPr>
          <w:rFonts w:ascii="Arial" w:hAnsi="Arial"/>
          <w:b/>
          <w:sz w:val="22"/>
          <w:szCs w:val="22"/>
        </w:rPr>
        <w:t xml:space="preserve"> </w:t>
      </w:r>
      <w:r w:rsidR="00D15F48">
        <w:rPr>
          <w:rFonts w:ascii="Arial" w:hAnsi="Arial"/>
          <w:b/>
          <w:sz w:val="22"/>
          <w:szCs w:val="22"/>
          <w:lang w:val="de-DE"/>
        </w:rPr>
        <w:t>izra</w:t>
      </w:r>
      <w:r w:rsidR="00D15F48" w:rsidRPr="00D15F48">
        <w:rPr>
          <w:rFonts w:ascii="Arial" w:hAnsi="Arial"/>
          <w:b/>
          <w:sz w:val="22"/>
          <w:szCs w:val="22"/>
        </w:rPr>
        <w:t>đ</w:t>
      </w:r>
      <w:r w:rsidR="00D15F48">
        <w:rPr>
          <w:rFonts w:ascii="Arial" w:hAnsi="Arial"/>
          <w:b/>
          <w:sz w:val="22"/>
          <w:szCs w:val="22"/>
          <w:lang w:val="de-DE"/>
        </w:rPr>
        <w:t>uje</w:t>
      </w:r>
      <w:r w:rsidR="00D15F48" w:rsidRPr="00D15F48">
        <w:rPr>
          <w:rFonts w:ascii="Arial" w:hAnsi="Arial"/>
          <w:b/>
          <w:sz w:val="22"/>
          <w:szCs w:val="22"/>
        </w:rPr>
        <w:t xml:space="preserve"> </w:t>
      </w:r>
      <w:r w:rsidR="00D15F48">
        <w:rPr>
          <w:rFonts w:ascii="Arial" w:hAnsi="Arial"/>
          <w:b/>
          <w:sz w:val="22"/>
          <w:szCs w:val="22"/>
          <w:lang w:val="de-DE"/>
        </w:rPr>
        <w:t>konzervatorski</w:t>
      </w:r>
      <w:r w:rsidR="00D15F48" w:rsidRPr="00D15F48">
        <w:rPr>
          <w:rFonts w:ascii="Arial" w:hAnsi="Arial"/>
          <w:b/>
          <w:sz w:val="22"/>
          <w:szCs w:val="22"/>
        </w:rPr>
        <w:t xml:space="preserve"> </w:t>
      </w:r>
      <w:r w:rsidR="00D15F48">
        <w:rPr>
          <w:rFonts w:ascii="Arial" w:hAnsi="Arial"/>
          <w:b/>
          <w:sz w:val="22"/>
          <w:szCs w:val="22"/>
          <w:lang w:val="de-DE"/>
        </w:rPr>
        <w:t>odjel</w:t>
      </w:r>
      <w:r w:rsidR="00D15F48" w:rsidRPr="00D15F48">
        <w:rPr>
          <w:rFonts w:ascii="Arial" w:hAnsi="Arial"/>
          <w:b/>
          <w:sz w:val="22"/>
          <w:szCs w:val="22"/>
        </w:rPr>
        <w:t xml:space="preserve"> </w:t>
      </w:r>
      <w:r w:rsidR="00D15F48">
        <w:rPr>
          <w:rFonts w:ascii="Arial" w:hAnsi="Arial"/>
          <w:b/>
          <w:sz w:val="22"/>
          <w:szCs w:val="22"/>
        </w:rPr>
        <w:t xml:space="preserve">Ministarstva kulture </w:t>
      </w:r>
      <w:r w:rsidR="00D15F48">
        <w:rPr>
          <w:rFonts w:ascii="Arial" w:hAnsi="Arial"/>
          <w:b/>
          <w:sz w:val="22"/>
          <w:szCs w:val="22"/>
          <w:lang w:val="de-DE"/>
        </w:rPr>
        <w:t>iz</w:t>
      </w:r>
      <w:r w:rsidR="00D15F48" w:rsidRPr="00D15F48">
        <w:rPr>
          <w:rFonts w:ascii="Arial" w:hAnsi="Arial"/>
          <w:b/>
          <w:sz w:val="22"/>
          <w:szCs w:val="22"/>
        </w:rPr>
        <w:t xml:space="preserve"> </w:t>
      </w:r>
      <w:r w:rsidR="00D15F48">
        <w:rPr>
          <w:rFonts w:ascii="Arial" w:hAnsi="Arial"/>
          <w:b/>
          <w:sz w:val="22"/>
          <w:szCs w:val="22"/>
          <w:lang w:val="de-DE"/>
        </w:rPr>
        <w:t>Zagreba</w:t>
      </w:r>
      <w:r w:rsidR="00D15F48" w:rsidRPr="00D15F48">
        <w:rPr>
          <w:rFonts w:ascii="Arial" w:hAnsi="Arial"/>
          <w:b/>
          <w:sz w:val="22"/>
          <w:szCs w:val="22"/>
        </w:rPr>
        <w:t>)</w:t>
      </w:r>
    </w:p>
    <w:p w:rsidR="008C63AE" w:rsidRDefault="008C63AE">
      <w:pPr>
        <w:jc w:val="center"/>
        <w:rPr>
          <w:szCs w:val="22"/>
        </w:rPr>
      </w:pPr>
    </w:p>
    <w:p w:rsidR="00012172" w:rsidRDefault="00012172">
      <w:pPr>
        <w:jc w:val="center"/>
        <w:rPr>
          <w:szCs w:val="22"/>
        </w:rPr>
      </w:pPr>
      <w:r>
        <w:rPr>
          <w:szCs w:val="22"/>
        </w:rPr>
        <w:t>Č</w:t>
      </w:r>
      <w:r>
        <w:rPr>
          <w:szCs w:val="22"/>
          <w:lang w:val="en-AU"/>
        </w:rPr>
        <w:t>lanak</w:t>
      </w:r>
      <w:r w:rsidR="00F237BF">
        <w:rPr>
          <w:szCs w:val="22"/>
        </w:rPr>
        <w:t xml:space="preserve"> 101</w:t>
      </w:r>
      <w:r>
        <w:rPr>
          <w:szCs w:val="22"/>
        </w:rPr>
        <w:t>.</w:t>
      </w:r>
    </w:p>
    <w:p w:rsidR="00012172" w:rsidRDefault="00012172">
      <w:pPr>
        <w:jc w:val="both"/>
        <w:rPr>
          <w:szCs w:val="22"/>
        </w:rPr>
      </w:pPr>
      <w:r>
        <w:rPr>
          <w:szCs w:val="22"/>
        </w:rPr>
        <w:t xml:space="preserve">(1) </w:t>
      </w:r>
      <w:r>
        <w:rPr>
          <w:szCs w:val="22"/>
          <w:lang w:val="en-AU"/>
        </w:rPr>
        <w:t>Odredbe</w:t>
      </w:r>
      <w:r>
        <w:rPr>
          <w:szCs w:val="22"/>
        </w:rPr>
        <w:t xml:space="preserve"> </w:t>
      </w:r>
      <w:r>
        <w:rPr>
          <w:szCs w:val="22"/>
          <w:lang w:val="en-AU"/>
        </w:rPr>
        <w:t>za</w:t>
      </w:r>
      <w:r>
        <w:rPr>
          <w:szCs w:val="22"/>
        </w:rPr>
        <w:t xml:space="preserve"> </w:t>
      </w:r>
      <w:r>
        <w:rPr>
          <w:szCs w:val="22"/>
          <w:lang w:val="en-AU"/>
        </w:rPr>
        <w:t>uspostavu</w:t>
      </w:r>
      <w:r>
        <w:rPr>
          <w:szCs w:val="22"/>
        </w:rPr>
        <w:t xml:space="preserve"> </w:t>
      </w:r>
      <w:r>
        <w:rPr>
          <w:szCs w:val="22"/>
          <w:lang w:val="en-AU"/>
        </w:rPr>
        <w:t>i</w:t>
      </w:r>
      <w:r>
        <w:rPr>
          <w:szCs w:val="22"/>
        </w:rPr>
        <w:t xml:space="preserve"> </w:t>
      </w:r>
      <w:r>
        <w:rPr>
          <w:szCs w:val="22"/>
          <w:lang w:val="en-AU"/>
        </w:rPr>
        <w:t>provo</w:t>
      </w:r>
      <w:r>
        <w:rPr>
          <w:szCs w:val="22"/>
        </w:rPr>
        <w:t>đ</w:t>
      </w:r>
      <w:r>
        <w:rPr>
          <w:szCs w:val="22"/>
          <w:lang w:val="en-AU"/>
        </w:rPr>
        <w:t>enje</w:t>
      </w:r>
      <w:r>
        <w:rPr>
          <w:szCs w:val="22"/>
        </w:rPr>
        <w:t xml:space="preserve"> </w:t>
      </w:r>
      <w:r>
        <w:rPr>
          <w:szCs w:val="22"/>
          <w:lang w:val="en-AU"/>
        </w:rPr>
        <w:t>mjera</w:t>
      </w:r>
      <w:r>
        <w:rPr>
          <w:szCs w:val="22"/>
        </w:rPr>
        <w:t xml:space="preserve"> </w:t>
      </w:r>
      <w:r>
        <w:rPr>
          <w:szCs w:val="22"/>
          <w:lang w:val="en-AU"/>
        </w:rPr>
        <w:t>za</w:t>
      </w:r>
      <w:r>
        <w:rPr>
          <w:szCs w:val="22"/>
        </w:rPr>
        <w:t>š</w:t>
      </w:r>
      <w:r>
        <w:rPr>
          <w:szCs w:val="22"/>
          <w:lang w:val="en-AU"/>
        </w:rPr>
        <w:t>tite</w:t>
      </w:r>
      <w:r>
        <w:rPr>
          <w:szCs w:val="22"/>
        </w:rPr>
        <w:t xml:space="preserve"> </w:t>
      </w:r>
      <w:r>
        <w:rPr>
          <w:szCs w:val="22"/>
          <w:lang w:val="en-AU"/>
        </w:rPr>
        <w:t>i</w:t>
      </w:r>
      <w:r>
        <w:rPr>
          <w:szCs w:val="22"/>
        </w:rPr>
        <w:t xml:space="preserve"> </w:t>
      </w:r>
      <w:r>
        <w:rPr>
          <w:szCs w:val="22"/>
          <w:lang w:val="en-AU"/>
        </w:rPr>
        <w:t>obnove</w:t>
      </w:r>
      <w:r>
        <w:rPr>
          <w:szCs w:val="22"/>
        </w:rPr>
        <w:t xml:space="preserve"> </w:t>
      </w:r>
      <w:r>
        <w:rPr>
          <w:szCs w:val="22"/>
          <w:lang w:val="en-AU"/>
        </w:rPr>
        <w:t>kulturne</w:t>
      </w:r>
      <w:r>
        <w:rPr>
          <w:szCs w:val="22"/>
        </w:rPr>
        <w:t xml:space="preserve"> </w:t>
      </w:r>
      <w:r>
        <w:rPr>
          <w:szCs w:val="22"/>
          <w:lang w:val="en-AU"/>
        </w:rPr>
        <w:t>ba</w:t>
      </w:r>
      <w:r>
        <w:rPr>
          <w:szCs w:val="22"/>
        </w:rPr>
        <w:t>š</w:t>
      </w:r>
      <w:r>
        <w:rPr>
          <w:szCs w:val="22"/>
          <w:lang w:val="en-AU"/>
        </w:rPr>
        <w:t>tine</w:t>
      </w:r>
      <w:r>
        <w:rPr>
          <w:szCs w:val="22"/>
        </w:rPr>
        <w:t xml:space="preserve"> </w:t>
      </w:r>
      <w:r>
        <w:rPr>
          <w:szCs w:val="22"/>
          <w:lang w:val="en-AU"/>
        </w:rPr>
        <w:t>proizlaze</w:t>
      </w:r>
      <w:r>
        <w:rPr>
          <w:szCs w:val="22"/>
        </w:rPr>
        <w:t xml:space="preserve"> </w:t>
      </w:r>
      <w:r>
        <w:rPr>
          <w:szCs w:val="22"/>
          <w:lang w:val="en-AU"/>
        </w:rPr>
        <w:t>iz</w:t>
      </w:r>
      <w:r>
        <w:rPr>
          <w:szCs w:val="22"/>
        </w:rPr>
        <w:t xml:space="preserve"> </w:t>
      </w:r>
      <w:r>
        <w:rPr>
          <w:szCs w:val="22"/>
          <w:lang w:val="en-AU"/>
        </w:rPr>
        <w:t>Zakona</w:t>
      </w:r>
      <w:r>
        <w:rPr>
          <w:szCs w:val="22"/>
        </w:rPr>
        <w:t xml:space="preserve"> </w:t>
      </w:r>
      <w:r>
        <w:rPr>
          <w:szCs w:val="22"/>
          <w:lang w:val="en-AU"/>
        </w:rPr>
        <w:t>i</w:t>
      </w:r>
      <w:r>
        <w:rPr>
          <w:szCs w:val="22"/>
        </w:rPr>
        <w:t xml:space="preserve"> </w:t>
      </w:r>
      <w:r>
        <w:rPr>
          <w:szCs w:val="22"/>
          <w:lang w:val="en-AU"/>
        </w:rPr>
        <w:t>Uputa</w:t>
      </w:r>
      <w:r>
        <w:rPr>
          <w:szCs w:val="22"/>
        </w:rPr>
        <w:t xml:space="preserve">, </w:t>
      </w:r>
      <w:r>
        <w:rPr>
          <w:szCs w:val="22"/>
          <w:lang w:val="en-AU"/>
        </w:rPr>
        <w:t>koji</w:t>
      </w:r>
      <w:r>
        <w:rPr>
          <w:szCs w:val="22"/>
        </w:rPr>
        <w:t xml:space="preserve"> </w:t>
      </w:r>
      <w:r>
        <w:rPr>
          <w:szCs w:val="22"/>
          <w:lang w:val="en-AU"/>
        </w:rPr>
        <w:t>se</w:t>
      </w:r>
      <w:r>
        <w:rPr>
          <w:szCs w:val="22"/>
        </w:rPr>
        <w:t xml:space="preserve"> </w:t>
      </w:r>
      <w:r>
        <w:rPr>
          <w:szCs w:val="22"/>
          <w:lang w:val="en-AU"/>
        </w:rPr>
        <w:t>na</w:t>
      </w:r>
      <w:r>
        <w:rPr>
          <w:szCs w:val="22"/>
        </w:rPr>
        <w:t xml:space="preserve"> </w:t>
      </w:r>
      <w:r>
        <w:rPr>
          <w:szCs w:val="22"/>
          <w:lang w:val="en-AU"/>
        </w:rPr>
        <w:t>nju</w:t>
      </w:r>
      <w:r>
        <w:rPr>
          <w:szCs w:val="22"/>
        </w:rPr>
        <w:t xml:space="preserve"> </w:t>
      </w:r>
      <w:r>
        <w:rPr>
          <w:szCs w:val="22"/>
          <w:lang w:val="en-AU"/>
        </w:rPr>
        <w:t>odnose</w:t>
      </w:r>
      <w:r>
        <w:rPr>
          <w:szCs w:val="22"/>
        </w:rPr>
        <w:t xml:space="preserve"> (</w:t>
      </w:r>
      <w:r>
        <w:rPr>
          <w:szCs w:val="22"/>
          <w:lang w:val="en-AU"/>
        </w:rPr>
        <w:t>uklju</w:t>
      </w:r>
      <w:r>
        <w:rPr>
          <w:szCs w:val="22"/>
        </w:rPr>
        <w:t>č</w:t>
      </w:r>
      <w:r>
        <w:rPr>
          <w:szCs w:val="22"/>
          <w:lang w:val="en-AU"/>
        </w:rPr>
        <w:t>uju</w:t>
      </w:r>
      <w:r>
        <w:rPr>
          <w:szCs w:val="22"/>
        </w:rPr>
        <w:t>ć</w:t>
      </w:r>
      <w:r>
        <w:rPr>
          <w:szCs w:val="22"/>
          <w:lang w:val="en-AU"/>
        </w:rPr>
        <w:t>i</w:t>
      </w:r>
      <w:r>
        <w:rPr>
          <w:szCs w:val="22"/>
        </w:rPr>
        <w:t xml:space="preserve"> </w:t>
      </w:r>
      <w:r>
        <w:rPr>
          <w:szCs w:val="22"/>
          <w:lang w:val="en-AU"/>
        </w:rPr>
        <w:t>i</w:t>
      </w:r>
      <w:r>
        <w:rPr>
          <w:szCs w:val="22"/>
        </w:rPr>
        <w:t xml:space="preserve"> </w:t>
      </w:r>
      <w:r>
        <w:rPr>
          <w:szCs w:val="22"/>
          <w:lang w:val="en-AU"/>
        </w:rPr>
        <w:t>sve</w:t>
      </w:r>
      <w:r>
        <w:rPr>
          <w:szCs w:val="22"/>
        </w:rPr>
        <w:t xml:space="preserve"> </w:t>
      </w:r>
      <w:r>
        <w:rPr>
          <w:szCs w:val="22"/>
          <w:lang w:val="en-AU"/>
        </w:rPr>
        <w:t>naknadne</w:t>
      </w:r>
      <w:r>
        <w:rPr>
          <w:szCs w:val="22"/>
        </w:rPr>
        <w:t xml:space="preserve"> </w:t>
      </w:r>
      <w:r>
        <w:rPr>
          <w:szCs w:val="22"/>
          <w:lang w:val="en-AU"/>
        </w:rPr>
        <w:t>izmjene</w:t>
      </w:r>
      <w:r>
        <w:rPr>
          <w:szCs w:val="22"/>
        </w:rPr>
        <w:t xml:space="preserve"> </w:t>
      </w:r>
      <w:r>
        <w:rPr>
          <w:szCs w:val="22"/>
          <w:lang w:val="en-AU"/>
        </w:rPr>
        <w:t>i</w:t>
      </w:r>
      <w:r>
        <w:rPr>
          <w:szCs w:val="22"/>
        </w:rPr>
        <w:t xml:space="preserve"> </w:t>
      </w:r>
      <w:r>
        <w:rPr>
          <w:szCs w:val="22"/>
          <w:lang w:val="en-AU"/>
        </w:rPr>
        <w:t>dopune</w:t>
      </w:r>
      <w:r>
        <w:rPr>
          <w:szCs w:val="22"/>
        </w:rPr>
        <w:t>):</w:t>
      </w:r>
    </w:p>
    <w:p w:rsidR="00012172" w:rsidRDefault="00012172">
      <w:pPr>
        <w:ind w:left="720" w:hanging="360"/>
        <w:jc w:val="both"/>
        <w:rPr>
          <w:szCs w:val="22"/>
        </w:rPr>
      </w:pPr>
      <w:r>
        <w:rPr>
          <w:szCs w:val="22"/>
        </w:rPr>
        <w:tab/>
      </w:r>
      <w:r>
        <w:rPr>
          <w:szCs w:val="22"/>
          <w:lang w:val="en-AU"/>
        </w:rPr>
        <w:t>Zakon</w:t>
      </w:r>
      <w:r>
        <w:rPr>
          <w:szCs w:val="22"/>
        </w:rPr>
        <w:t xml:space="preserve"> </w:t>
      </w:r>
      <w:r>
        <w:rPr>
          <w:szCs w:val="22"/>
          <w:lang w:val="en-AU"/>
        </w:rPr>
        <w:t>o</w:t>
      </w:r>
      <w:r>
        <w:rPr>
          <w:szCs w:val="22"/>
        </w:rPr>
        <w:t xml:space="preserve"> </w:t>
      </w:r>
      <w:r>
        <w:rPr>
          <w:szCs w:val="22"/>
          <w:lang w:val="en-AU"/>
        </w:rPr>
        <w:t>za</w:t>
      </w:r>
      <w:r>
        <w:rPr>
          <w:szCs w:val="22"/>
        </w:rPr>
        <w:t>š</w:t>
      </w:r>
      <w:r>
        <w:rPr>
          <w:szCs w:val="22"/>
          <w:lang w:val="en-AU"/>
        </w:rPr>
        <w:t>titi</w:t>
      </w:r>
      <w:r>
        <w:rPr>
          <w:szCs w:val="22"/>
        </w:rPr>
        <w:t xml:space="preserve"> </w:t>
      </w:r>
      <w:r>
        <w:rPr>
          <w:szCs w:val="22"/>
          <w:lang w:val="en-AU"/>
        </w:rPr>
        <w:t>i</w:t>
      </w:r>
      <w:r>
        <w:rPr>
          <w:szCs w:val="22"/>
        </w:rPr>
        <w:t xml:space="preserve"> </w:t>
      </w:r>
      <w:r>
        <w:rPr>
          <w:szCs w:val="22"/>
          <w:lang w:val="en-AU"/>
        </w:rPr>
        <w:t>o</w:t>
      </w:r>
      <w:r>
        <w:rPr>
          <w:szCs w:val="22"/>
        </w:rPr>
        <w:t>č</w:t>
      </w:r>
      <w:r>
        <w:rPr>
          <w:szCs w:val="22"/>
          <w:lang w:val="en-AU"/>
        </w:rPr>
        <w:t>uvanju</w:t>
      </w:r>
      <w:r>
        <w:rPr>
          <w:szCs w:val="22"/>
        </w:rPr>
        <w:t xml:space="preserve"> </w:t>
      </w:r>
      <w:r>
        <w:rPr>
          <w:szCs w:val="22"/>
          <w:lang w:val="en-AU"/>
        </w:rPr>
        <w:t>kulturnih</w:t>
      </w:r>
      <w:r>
        <w:rPr>
          <w:szCs w:val="22"/>
        </w:rPr>
        <w:t xml:space="preserve"> </w:t>
      </w:r>
      <w:r>
        <w:rPr>
          <w:szCs w:val="22"/>
          <w:lang w:val="en-AU"/>
        </w:rPr>
        <w:t>dobara</w:t>
      </w:r>
      <w:r>
        <w:rPr>
          <w:szCs w:val="22"/>
        </w:rPr>
        <w:t xml:space="preserve"> (</w:t>
      </w:r>
      <w:r>
        <w:rPr>
          <w:szCs w:val="22"/>
          <w:lang w:val="en-AU"/>
        </w:rPr>
        <w:t>Narodne</w:t>
      </w:r>
      <w:r>
        <w:rPr>
          <w:szCs w:val="22"/>
        </w:rPr>
        <w:t xml:space="preserve"> </w:t>
      </w:r>
      <w:r>
        <w:rPr>
          <w:szCs w:val="22"/>
          <w:lang w:val="en-AU"/>
        </w:rPr>
        <w:t>novine</w:t>
      </w:r>
      <w:r>
        <w:rPr>
          <w:szCs w:val="22"/>
        </w:rPr>
        <w:t xml:space="preserve"> </w:t>
      </w:r>
      <w:r>
        <w:rPr>
          <w:szCs w:val="22"/>
          <w:lang w:val="en-AU"/>
        </w:rPr>
        <w:t>broj</w:t>
      </w:r>
      <w:r>
        <w:rPr>
          <w:szCs w:val="22"/>
        </w:rPr>
        <w:t xml:space="preserve"> 69/99);</w:t>
      </w:r>
    </w:p>
    <w:p w:rsidR="00012172" w:rsidRDefault="00012172">
      <w:pPr>
        <w:ind w:left="720" w:hanging="360"/>
        <w:jc w:val="both"/>
        <w:rPr>
          <w:szCs w:val="22"/>
        </w:rPr>
      </w:pPr>
      <w:r>
        <w:rPr>
          <w:szCs w:val="22"/>
        </w:rPr>
        <w:tab/>
      </w:r>
      <w:r>
        <w:rPr>
          <w:szCs w:val="22"/>
          <w:lang w:val="en-AU"/>
        </w:rPr>
        <w:t>Zakon</w:t>
      </w:r>
      <w:r>
        <w:rPr>
          <w:szCs w:val="22"/>
        </w:rPr>
        <w:t xml:space="preserve"> </w:t>
      </w:r>
      <w:r>
        <w:rPr>
          <w:szCs w:val="22"/>
          <w:lang w:val="en-AU"/>
        </w:rPr>
        <w:t>o</w:t>
      </w:r>
      <w:r>
        <w:rPr>
          <w:szCs w:val="22"/>
        </w:rPr>
        <w:t xml:space="preserve"> </w:t>
      </w:r>
      <w:r>
        <w:rPr>
          <w:szCs w:val="22"/>
          <w:lang w:val="en-AU"/>
        </w:rPr>
        <w:t>gradnji</w:t>
      </w:r>
      <w:r>
        <w:rPr>
          <w:szCs w:val="22"/>
        </w:rPr>
        <w:t xml:space="preserve"> (</w:t>
      </w:r>
      <w:r>
        <w:rPr>
          <w:szCs w:val="22"/>
          <w:lang w:val="en-AU"/>
        </w:rPr>
        <w:t>Narodne</w:t>
      </w:r>
      <w:r>
        <w:rPr>
          <w:szCs w:val="22"/>
        </w:rPr>
        <w:t xml:space="preserve"> </w:t>
      </w:r>
      <w:r>
        <w:rPr>
          <w:szCs w:val="22"/>
          <w:lang w:val="en-AU"/>
        </w:rPr>
        <w:t>novine</w:t>
      </w:r>
      <w:r>
        <w:rPr>
          <w:szCs w:val="22"/>
        </w:rPr>
        <w:t xml:space="preserve"> </w:t>
      </w:r>
      <w:r>
        <w:rPr>
          <w:szCs w:val="22"/>
          <w:lang w:val="en-AU"/>
        </w:rPr>
        <w:t>broj</w:t>
      </w:r>
      <w:r>
        <w:rPr>
          <w:szCs w:val="22"/>
        </w:rPr>
        <w:t xml:space="preserve"> 175/03 </w:t>
      </w:r>
      <w:r>
        <w:rPr>
          <w:szCs w:val="22"/>
          <w:lang w:val="en-AU"/>
        </w:rPr>
        <w:t>i</w:t>
      </w:r>
      <w:r>
        <w:rPr>
          <w:szCs w:val="22"/>
        </w:rPr>
        <w:t xml:space="preserve"> 100/04);</w:t>
      </w:r>
    </w:p>
    <w:p w:rsidR="00012172" w:rsidRDefault="00012172">
      <w:pPr>
        <w:ind w:left="720" w:hanging="360"/>
        <w:jc w:val="both"/>
        <w:rPr>
          <w:szCs w:val="22"/>
          <w:lang w:val="en-AU"/>
        </w:rPr>
      </w:pPr>
      <w:r>
        <w:rPr>
          <w:szCs w:val="22"/>
        </w:rPr>
        <w:tab/>
      </w:r>
      <w:r>
        <w:rPr>
          <w:szCs w:val="22"/>
          <w:lang w:val="en-AU"/>
        </w:rPr>
        <w:t>Zakon o prostornom uređenju (Narodne novine 30/94, 68/98, 61/00, 32/02 i 100/04);</w:t>
      </w:r>
    </w:p>
    <w:p w:rsidR="00012172" w:rsidRDefault="00012172">
      <w:pPr>
        <w:ind w:left="720" w:hanging="360"/>
        <w:jc w:val="both"/>
        <w:rPr>
          <w:szCs w:val="22"/>
          <w:lang w:val="en-AU"/>
        </w:rPr>
      </w:pPr>
      <w:r>
        <w:rPr>
          <w:szCs w:val="22"/>
          <w:lang w:val="en-AU"/>
        </w:rPr>
        <w:tab/>
        <w:t>Obvezatna uputa o zoniranju zaštićenih povijesnih cjelina gradova i ostalih naselja (Ministarstvo kulture - Uprava za zaštitu kulturne baštine, 1995., 1998.)</w:t>
      </w:r>
    </w:p>
    <w:p w:rsidR="00012172" w:rsidRDefault="00012172">
      <w:pPr>
        <w:jc w:val="both"/>
        <w:rPr>
          <w:szCs w:val="22"/>
          <w:lang w:val="en-AU"/>
        </w:rPr>
      </w:pPr>
    </w:p>
    <w:p w:rsidR="00012172" w:rsidRDefault="00012172">
      <w:pPr>
        <w:jc w:val="both"/>
      </w:pPr>
      <w:r>
        <w:rPr>
          <w:szCs w:val="22"/>
          <w:lang w:val="en-AU"/>
        </w:rPr>
        <w:t xml:space="preserve">(2) Propisanim mjerama utvrđuju se obvezatni upravni postupci te način i oblici graditeljskih i drugih zahvata na </w:t>
      </w:r>
      <w:r>
        <w:t>pojedinačnim spomeničkim građevinama, građevnim sklopovima, arheološkim lokalitetima, parcelama na kojima se spomeničke građevine nalaze te predjelima (zonama) zaštite naselja i kultiviranog krajolika ili drugim predjelima s utvrđenim spomeničkim svojstvima.</w:t>
      </w:r>
    </w:p>
    <w:p w:rsidR="00012172" w:rsidRDefault="00012172">
      <w:pPr>
        <w:jc w:val="both"/>
        <w:rPr>
          <w:rFonts w:ascii="Arial" w:hAnsi="Arial"/>
          <w:sz w:val="22"/>
          <w:szCs w:val="22"/>
        </w:rPr>
      </w:pPr>
    </w:p>
    <w:p w:rsidR="00012172" w:rsidRDefault="00012172">
      <w:pPr>
        <w:tabs>
          <w:tab w:val="left" w:pos="720"/>
          <w:tab w:val="num" w:pos="840"/>
        </w:tabs>
        <w:overflowPunct w:val="0"/>
        <w:autoSpaceDE w:val="0"/>
        <w:autoSpaceDN w:val="0"/>
        <w:adjustRightInd w:val="0"/>
        <w:ind w:left="720" w:hanging="360"/>
        <w:jc w:val="both"/>
        <w:textAlignment w:val="baseline"/>
        <w:rPr>
          <w:szCs w:val="22"/>
        </w:rPr>
      </w:pPr>
      <w:r>
        <w:rPr>
          <w:szCs w:val="22"/>
          <w:lang w:val="en-AU"/>
        </w:rPr>
        <w:t>Posebnom</w:t>
      </w:r>
      <w:r>
        <w:rPr>
          <w:szCs w:val="22"/>
        </w:rPr>
        <w:t xml:space="preserve"> </w:t>
      </w:r>
      <w:r>
        <w:rPr>
          <w:szCs w:val="22"/>
          <w:lang w:val="en-AU"/>
        </w:rPr>
        <w:t>konzervatorskom</w:t>
      </w:r>
      <w:r>
        <w:rPr>
          <w:szCs w:val="22"/>
        </w:rPr>
        <w:t xml:space="preserve"> </w:t>
      </w:r>
      <w:r>
        <w:rPr>
          <w:szCs w:val="22"/>
          <w:lang w:val="en-AU"/>
        </w:rPr>
        <w:t>postupku</w:t>
      </w:r>
      <w:r>
        <w:rPr>
          <w:szCs w:val="22"/>
        </w:rPr>
        <w:t xml:space="preserve"> </w:t>
      </w:r>
      <w:r>
        <w:rPr>
          <w:szCs w:val="22"/>
          <w:lang w:val="en-AU"/>
        </w:rPr>
        <w:t>osobito</w:t>
      </w:r>
      <w:r>
        <w:rPr>
          <w:szCs w:val="22"/>
        </w:rPr>
        <w:t xml:space="preserve"> </w:t>
      </w:r>
      <w:r>
        <w:rPr>
          <w:szCs w:val="22"/>
          <w:lang w:val="en-AU"/>
        </w:rPr>
        <w:t>podlije</w:t>
      </w:r>
      <w:r>
        <w:rPr>
          <w:szCs w:val="22"/>
        </w:rPr>
        <w:t>ž</w:t>
      </w:r>
      <w:r>
        <w:rPr>
          <w:szCs w:val="22"/>
          <w:lang w:val="en-AU"/>
        </w:rPr>
        <w:t>u</w:t>
      </w:r>
      <w:r>
        <w:rPr>
          <w:szCs w:val="22"/>
        </w:rPr>
        <w:t xml:space="preserve"> </w:t>
      </w:r>
      <w:r>
        <w:rPr>
          <w:szCs w:val="22"/>
          <w:lang w:val="en-AU"/>
        </w:rPr>
        <w:t>sljede</w:t>
      </w:r>
      <w:r>
        <w:rPr>
          <w:szCs w:val="22"/>
        </w:rPr>
        <w:t>ć</w:t>
      </w:r>
      <w:r>
        <w:rPr>
          <w:szCs w:val="22"/>
          <w:lang w:val="en-AU"/>
        </w:rPr>
        <w:t>i</w:t>
      </w:r>
      <w:r>
        <w:rPr>
          <w:szCs w:val="22"/>
        </w:rPr>
        <w:t xml:space="preserve"> </w:t>
      </w:r>
      <w:r>
        <w:rPr>
          <w:szCs w:val="22"/>
          <w:lang w:val="en-AU"/>
        </w:rPr>
        <w:t>zahvati</w:t>
      </w:r>
      <w:r>
        <w:rPr>
          <w:szCs w:val="22"/>
        </w:rPr>
        <w:t xml:space="preserve"> </w:t>
      </w:r>
      <w:r>
        <w:rPr>
          <w:szCs w:val="22"/>
          <w:lang w:val="en-AU"/>
        </w:rPr>
        <w:t>na</w:t>
      </w:r>
      <w:r>
        <w:rPr>
          <w:szCs w:val="22"/>
        </w:rPr>
        <w:t xml:space="preserve"> </w:t>
      </w:r>
      <w:r>
        <w:rPr>
          <w:szCs w:val="22"/>
          <w:lang w:val="en-AU"/>
        </w:rPr>
        <w:t>za</w:t>
      </w:r>
      <w:r>
        <w:rPr>
          <w:szCs w:val="22"/>
        </w:rPr>
        <w:t>š</w:t>
      </w:r>
      <w:r>
        <w:rPr>
          <w:szCs w:val="22"/>
          <w:lang w:val="en-AU"/>
        </w:rPr>
        <w:t>ti</w:t>
      </w:r>
      <w:r>
        <w:rPr>
          <w:szCs w:val="22"/>
        </w:rPr>
        <w:t>ć</w:t>
      </w:r>
      <w:r>
        <w:rPr>
          <w:szCs w:val="22"/>
          <w:lang w:val="en-AU"/>
        </w:rPr>
        <w:t>enim</w:t>
      </w:r>
      <w:r>
        <w:rPr>
          <w:szCs w:val="22"/>
        </w:rPr>
        <w:t xml:space="preserve"> </w:t>
      </w:r>
      <w:r>
        <w:rPr>
          <w:szCs w:val="22"/>
          <w:lang w:val="en-AU"/>
        </w:rPr>
        <w:t>gra</w:t>
      </w:r>
      <w:r>
        <w:rPr>
          <w:szCs w:val="22"/>
        </w:rPr>
        <w:t>đ</w:t>
      </w:r>
      <w:r>
        <w:rPr>
          <w:szCs w:val="22"/>
          <w:lang w:val="en-AU"/>
        </w:rPr>
        <w:t>evinama</w:t>
      </w:r>
      <w:r>
        <w:rPr>
          <w:szCs w:val="22"/>
        </w:rPr>
        <w:t xml:space="preserve">, </w:t>
      </w:r>
      <w:r>
        <w:rPr>
          <w:szCs w:val="22"/>
          <w:lang w:val="en-AU"/>
        </w:rPr>
        <w:t>sklopovima</w:t>
      </w:r>
      <w:r>
        <w:rPr>
          <w:szCs w:val="22"/>
        </w:rPr>
        <w:t xml:space="preserve">, </w:t>
      </w:r>
      <w:r>
        <w:rPr>
          <w:szCs w:val="22"/>
          <w:lang w:val="en-AU"/>
        </w:rPr>
        <w:t>predjelima</w:t>
      </w:r>
      <w:r>
        <w:rPr>
          <w:szCs w:val="22"/>
        </w:rPr>
        <w:t xml:space="preserve"> </w:t>
      </w:r>
      <w:r>
        <w:rPr>
          <w:szCs w:val="22"/>
          <w:lang w:val="en-AU"/>
        </w:rPr>
        <w:t>i</w:t>
      </w:r>
      <w:r>
        <w:rPr>
          <w:szCs w:val="22"/>
        </w:rPr>
        <w:t xml:space="preserve"> </w:t>
      </w:r>
      <w:r>
        <w:rPr>
          <w:szCs w:val="22"/>
          <w:lang w:val="en-AU"/>
        </w:rPr>
        <w:t>lokalitetima</w:t>
      </w:r>
      <w:r>
        <w:rPr>
          <w:szCs w:val="22"/>
        </w:rPr>
        <w:t xml:space="preserve">: </w:t>
      </w:r>
      <w:r>
        <w:rPr>
          <w:szCs w:val="22"/>
          <w:lang w:val="en-AU"/>
        </w:rPr>
        <w:t>popravak</w:t>
      </w:r>
      <w:r>
        <w:rPr>
          <w:szCs w:val="22"/>
        </w:rPr>
        <w:t xml:space="preserve"> </w:t>
      </w:r>
      <w:r>
        <w:rPr>
          <w:szCs w:val="22"/>
          <w:lang w:val="en-AU"/>
        </w:rPr>
        <w:t>i</w:t>
      </w:r>
      <w:r>
        <w:rPr>
          <w:szCs w:val="22"/>
        </w:rPr>
        <w:t xml:space="preserve"> </w:t>
      </w:r>
      <w:r>
        <w:rPr>
          <w:szCs w:val="22"/>
          <w:lang w:val="en-AU"/>
        </w:rPr>
        <w:t>odr</w:t>
      </w:r>
      <w:r>
        <w:rPr>
          <w:szCs w:val="22"/>
        </w:rPr>
        <w:t>ž</w:t>
      </w:r>
      <w:r>
        <w:rPr>
          <w:szCs w:val="22"/>
          <w:lang w:val="en-AU"/>
        </w:rPr>
        <w:t>avanje</w:t>
      </w:r>
      <w:r>
        <w:rPr>
          <w:szCs w:val="22"/>
        </w:rPr>
        <w:t xml:space="preserve"> </w:t>
      </w:r>
      <w:r>
        <w:rPr>
          <w:szCs w:val="22"/>
          <w:lang w:val="en-AU"/>
        </w:rPr>
        <w:t>postoje</w:t>
      </w:r>
      <w:r>
        <w:rPr>
          <w:szCs w:val="22"/>
        </w:rPr>
        <w:t>ć</w:t>
      </w:r>
      <w:r>
        <w:rPr>
          <w:szCs w:val="22"/>
          <w:lang w:val="en-AU"/>
        </w:rPr>
        <w:t>ih</w:t>
      </w:r>
      <w:r>
        <w:rPr>
          <w:szCs w:val="22"/>
        </w:rPr>
        <w:t xml:space="preserve"> </w:t>
      </w:r>
      <w:r>
        <w:rPr>
          <w:szCs w:val="22"/>
          <w:lang w:val="en-AU"/>
        </w:rPr>
        <w:t>gra</w:t>
      </w:r>
      <w:r>
        <w:rPr>
          <w:szCs w:val="22"/>
        </w:rPr>
        <w:t>đ</w:t>
      </w:r>
      <w:r>
        <w:rPr>
          <w:szCs w:val="22"/>
          <w:lang w:val="en-AU"/>
        </w:rPr>
        <w:t>evina</w:t>
      </w:r>
      <w:r>
        <w:rPr>
          <w:szCs w:val="22"/>
        </w:rPr>
        <w:t xml:space="preserve">, </w:t>
      </w:r>
      <w:r>
        <w:rPr>
          <w:szCs w:val="22"/>
          <w:lang w:val="en-AU"/>
        </w:rPr>
        <w:t>nadogradnje</w:t>
      </w:r>
      <w:r>
        <w:rPr>
          <w:szCs w:val="22"/>
        </w:rPr>
        <w:t xml:space="preserve">, </w:t>
      </w:r>
      <w:r>
        <w:rPr>
          <w:szCs w:val="22"/>
          <w:lang w:val="en-AU"/>
        </w:rPr>
        <w:t>prigradnje</w:t>
      </w:r>
      <w:r>
        <w:rPr>
          <w:szCs w:val="22"/>
        </w:rPr>
        <w:t xml:space="preserve">, </w:t>
      </w:r>
      <w:r>
        <w:rPr>
          <w:szCs w:val="22"/>
          <w:lang w:val="en-AU"/>
        </w:rPr>
        <w:t>preoblikovanja</w:t>
      </w:r>
      <w:r>
        <w:rPr>
          <w:szCs w:val="22"/>
        </w:rPr>
        <w:t xml:space="preserve"> </w:t>
      </w:r>
      <w:r>
        <w:rPr>
          <w:szCs w:val="22"/>
          <w:lang w:val="en-AU"/>
        </w:rPr>
        <w:t>i</w:t>
      </w:r>
      <w:r>
        <w:rPr>
          <w:szCs w:val="22"/>
        </w:rPr>
        <w:t xml:space="preserve"> </w:t>
      </w:r>
      <w:r>
        <w:rPr>
          <w:szCs w:val="22"/>
          <w:lang w:val="en-AU"/>
        </w:rPr>
        <w:t>gra</w:t>
      </w:r>
      <w:r>
        <w:rPr>
          <w:szCs w:val="22"/>
        </w:rPr>
        <w:t>đ</w:t>
      </w:r>
      <w:r>
        <w:rPr>
          <w:szCs w:val="22"/>
          <w:lang w:val="en-AU"/>
        </w:rPr>
        <w:t>evne</w:t>
      </w:r>
      <w:r>
        <w:rPr>
          <w:szCs w:val="22"/>
        </w:rPr>
        <w:t xml:space="preserve"> </w:t>
      </w:r>
      <w:r>
        <w:rPr>
          <w:szCs w:val="22"/>
          <w:lang w:val="en-AU"/>
        </w:rPr>
        <w:t>prilagodbe</w:t>
      </w:r>
      <w:r>
        <w:rPr>
          <w:szCs w:val="22"/>
        </w:rPr>
        <w:t xml:space="preserve"> (</w:t>
      </w:r>
      <w:r>
        <w:rPr>
          <w:szCs w:val="22"/>
          <w:lang w:val="en-AU"/>
        </w:rPr>
        <w:t>adaptacije</w:t>
      </w:r>
      <w:r>
        <w:rPr>
          <w:szCs w:val="22"/>
        </w:rPr>
        <w:t xml:space="preserve">), </w:t>
      </w:r>
      <w:r>
        <w:rPr>
          <w:szCs w:val="22"/>
          <w:lang w:val="en-AU"/>
        </w:rPr>
        <w:t>ru</w:t>
      </w:r>
      <w:r>
        <w:rPr>
          <w:szCs w:val="22"/>
        </w:rPr>
        <w:t>š</w:t>
      </w:r>
      <w:r>
        <w:rPr>
          <w:szCs w:val="22"/>
          <w:lang w:val="en-AU"/>
        </w:rPr>
        <w:t>enja</w:t>
      </w:r>
      <w:r>
        <w:rPr>
          <w:szCs w:val="22"/>
        </w:rPr>
        <w:t xml:space="preserve"> </w:t>
      </w:r>
      <w:r>
        <w:rPr>
          <w:szCs w:val="22"/>
          <w:lang w:val="en-AU"/>
        </w:rPr>
        <w:t>i</w:t>
      </w:r>
      <w:r>
        <w:rPr>
          <w:szCs w:val="22"/>
        </w:rPr>
        <w:t xml:space="preserve"> </w:t>
      </w:r>
      <w:r>
        <w:rPr>
          <w:szCs w:val="22"/>
          <w:lang w:val="en-AU"/>
        </w:rPr>
        <w:t>uklanjanja</w:t>
      </w:r>
      <w:r>
        <w:rPr>
          <w:szCs w:val="22"/>
        </w:rPr>
        <w:t xml:space="preserve"> </w:t>
      </w:r>
      <w:r>
        <w:rPr>
          <w:szCs w:val="22"/>
          <w:lang w:val="en-AU"/>
        </w:rPr>
        <w:t>gra</w:t>
      </w:r>
      <w:r>
        <w:rPr>
          <w:szCs w:val="22"/>
        </w:rPr>
        <w:t>đ</w:t>
      </w:r>
      <w:r>
        <w:rPr>
          <w:szCs w:val="22"/>
          <w:lang w:val="en-AU"/>
        </w:rPr>
        <w:t>evina</w:t>
      </w:r>
      <w:r>
        <w:rPr>
          <w:szCs w:val="22"/>
        </w:rPr>
        <w:t xml:space="preserve"> </w:t>
      </w:r>
      <w:r>
        <w:rPr>
          <w:szCs w:val="22"/>
          <w:lang w:val="en-AU"/>
        </w:rPr>
        <w:t>ili</w:t>
      </w:r>
      <w:r>
        <w:rPr>
          <w:szCs w:val="22"/>
        </w:rPr>
        <w:t xml:space="preserve"> </w:t>
      </w:r>
      <w:r>
        <w:rPr>
          <w:szCs w:val="22"/>
          <w:lang w:val="en-AU"/>
        </w:rPr>
        <w:t>njihovih</w:t>
      </w:r>
      <w:r>
        <w:rPr>
          <w:szCs w:val="22"/>
        </w:rPr>
        <w:t xml:space="preserve"> </w:t>
      </w:r>
      <w:r>
        <w:rPr>
          <w:szCs w:val="22"/>
          <w:lang w:val="en-AU"/>
        </w:rPr>
        <w:t>dijelova</w:t>
      </w:r>
      <w:r>
        <w:rPr>
          <w:szCs w:val="22"/>
        </w:rPr>
        <w:t xml:space="preserve">, </w:t>
      </w:r>
      <w:r>
        <w:t>novogradnje na zaštićenim parcelama ili unutar zaštićenih predjela</w:t>
      </w:r>
      <w:r>
        <w:rPr>
          <w:szCs w:val="22"/>
        </w:rPr>
        <w:t xml:space="preserve">, </w:t>
      </w:r>
      <w:r>
        <w:rPr>
          <w:szCs w:val="22"/>
          <w:lang w:val="en-AU"/>
        </w:rPr>
        <w:t>funkcionalne</w:t>
      </w:r>
      <w:r>
        <w:rPr>
          <w:szCs w:val="22"/>
        </w:rPr>
        <w:t xml:space="preserve"> </w:t>
      </w:r>
      <w:r>
        <w:rPr>
          <w:szCs w:val="22"/>
          <w:lang w:val="en-AU"/>
        </w:rPr>
        <w:t>prenamjene</w:t>
      </w:r>
      <w:r>
        <w:rPr>
          <w:szCs w:val="22"/>
        </w:rPr>
        <w:t xml:space="preserve"> </w:t>
      </w:r>
      <w:r>
        <w:rPr>
          <w:szCs w:val="22"/>
          <w:lang w:val="en-AU"/>
        </w:rPr>
        <w:t>postoje</w:t>
      </w:r>
      <w:r>
        <w:rPr>
          <w:szCs w:val="22"/>
        </w:rPr>
        <w:t>ć</w:t>
      </w:r>
      <w:r>
        <w:rPr>
          <w:szCs w:val="22"/>
          <w:lang w:val="en-AU"/>
        </w:rPr>
        <w:t>ih</w:t>
      </w:r>
      <w:r>
        <w:rPr>
          <w:szCs w:val="22"/>
        </w:rPr>
        <w:t xml:space="preserve"> </w:t>
      </w:r>
      <w:r>
        <w:rPr>
          <w:szCs w:val="22"/>
          <w:lang w:val="en-AU"/>
        </w:rPr>
        <w:t>gra</w:t>
      </w:r>
      <w:r>
        <w:rPr>
          <w:szCs w:val="22"/>
        </w:rPr>
        <w:t>đ</w:t>
      </w:r>
      <w:r>
        <w:rPr>
          <w:szCs w:val="22"/>
          <w:lang w:val="en-AU"/>
        </w:rPr>
        <w:t>evina</w:t>
      </w:r>
      <w:r>
        <w:rPr>
          <w:szCs w:val="22"/>
        </w:rPr>
        <w:t xml:space="preserve">, </w:t>
      </w:r>
      <w:r>
        <w:rPr>
          <w:szCs w:val="22"/>
          <w:lang w:val="en-AU"/>
        </w:rPr>
        <w:t>izvo</w:t>
      </w:r>
      <w:r>
        <w:rPr>
          <w:szCs w:val="22"/>
        </w:rPr>
        <w:t>đ</w:t>
      </w:r>
      <w:r>
        <w:rPr>
          <w:szCs w:val="22"/>
          <w:lang w:val="en-AU"/>
        </w:rPr>
        <w:t>enje</w:t>
      </w:r>
      <w:r>
        <w:rPr>
          <w:szCs w:val="22"/>
        </w:rPr>
        <w:t xml:space="preserve"> </w:t>
      </w:r>
      <w:r>
        <w:rPr>
          <w:szCs w:val="22"/>
          <w:lang w:val="en-AU"/>
        </w:rPr>
        <w:t>radova</w:t>
      </w:r>
      <w:r>
        <w:rPr>
          <w:szCs w:val="22"/>
        </w:rPr>
        <w:t xml:space="preserve"> </w:t>
      </w:r>
      <w:r>
        <w:rPr>
          <w:szCs w:val="22"/>
          <w:lang w:val="en-AU"/>
        </w:rPr>
        <w:t>na</w:t>
      </w:r>
      <w:r>
        <w:rPr>
          <w:szCs w:val="22"/>
        </w:rPr>
        <w:t xml:space="preserve"> </w:t>
      </w:r>
      <w:r>
        <w:rPr>
          <w:szCs w:val="22"/>
          <w:lang w:val="en-AU"/>
        </w:rPr>
        <w:t>arheolo</w:t>
      </w:r>
      <w:r>
        <w:rPr>
          <w:szCs w:val="22"/>
        </w:rPr>
        <w:t>š</w:t>
      </w:r>
      <w:r>
        <w:rPr>
          <w:szCs w:val="22"/>
          <w:lang w:val="en-AU"/>
        </w:rPr>
        <w:t>kim</w:t>
      </w:r>
      <w:r>
        <w:rPr>
          <w:szCs w:val="22"/>
        </w:rPr>
        <w:t xml:space="preserve"> </w:t>
      </w:r>
      <w:r>
        <w:rPr>
          <w:szCs w:val="22"/>
          <w:lang w:val="en-AU"/>
        </w:rPr>
        <w:t>lokalitetima</w:t>
      </w:r>
      <w:r>
        <w:rPr>
          <w:szCs w:val="22"/>
        </w:rPr>
        <w:t xml:space="preserve">. </w:t>
      </w:r>
    </w:p>
    <w:p w:rsidR="00012172" w:rsidRDefault="00012172">
      <w:pPr>
        <w:ind w:left="360"/>
        <w:jc w:val="both"/>
      </w:pPr>
    </w:p>
    <w:p w:rsidR="00012172" w:rsidRDefault="00012172">
      <w:pPr>
        <w:tabs>
          <w:tab w:val="left" w:pos="720"/>
          <w:tab w:val="num" w:pos="840"/>
        </w:tabs>
        <w:overflowPunct w:val="0"/>
        <w:autoSpaceDE w:val="0"/>
        <w:autoSpaceDN w:val="0"/>
        <w:adjustRightInd w:val="0"/>
        <w:ind w:left="720" w:hanging="360"/>
        <w:jc w:val="both"/>
        <w:textAlignment w:val="baseline"/>
        <w:rPr>
          <w:szCs w:val="22"/>
        </w:rPr>
      </w:pPr>
      <w:r>
        <w:rPr>
          <w:szCs w:val="22"/>
          <w:lang w:val="en-AU"/>
        </w:rPr>
        <w:t>U</w:t>
      </w:r>
      <w:r>
        <w:rPr>
          <w:szCs w:val="22"/>
        </w:rPr>
        <w:t xml:space="preserve"> </w:t>
      </w:r>
      <w:r>
        <w:rPr>
          <w:szCs w:val="22"/>
          <w:lang w:val="en-AU"/>
        </w:rPr>
        <w:t>skladu</w:t>
      </w:r>
      <w:r>
        <w:rPr>
          <w:szCs w:val="22"/>
        </w:rPr>
        <w:t xml:space="preserve"> </w:t>
      </w:r>
      <w:r>
        <w:rPr>
          <w:szCs w:val="22"/>
          <w:lang w:val="en-AU"/>
        </w:rPr>
        <w:t>s</w:t>
      </w:r>
      <w:r>
        <w:rPr>
          <w:szCs w:val="22"/>
        </w:rPr>
        <w:t xml:space="preserve"> </w:t>
      </w:r>
      <w:r>
        <w:rPr>
          <w:szCs w:val="22"/>
          <w:lang w:val="en-AU"/>
        </w:rPr>
        <w:t>navedenim</w:t>
      </w:r>
      <w:r>
        <w:rPr>
          <w:szCs w:val="22"/>
        </w:rPr>
        <w:t xml:space="preserve"> </w:t>
      </w:r>
      <w:r>
        <w:rPr>
          <w:szCs w:val="22"/>
          <w:lang w:val="en-AU"/>
        </w:rPr>
        <w:t>zakonima</w:t>
      </w:r>
      <w:r>
        <w:rPr>
          <w:szCs w:val="22"/>
        </w:rPr>
        <w:t xml:space="preserve"> </w:t>
      </w:r>
      <w:r>
        <w:rPr>
          <w:szCs w:val="22"/>
          <w:lang w:val="en-AU"/>
        </w:rPr>
        <w:t>za</w:t>
      </w:r>
      <w:r>
        <w:rPr>
          <w:szCs w:val="22"/>
        </w:rPr>
        <w:t xml:space="preserve"> </w:t>
      </w:r>
      <w:r>
        <w:rPr>
          <w:szCs w:val="22"/>
          <w:lang w:val="en-AU"/>
        </w:rPr>
        <w:t>sve</w:t>
      </w:r>
      <w:r>
        <w:rPr>
          <w:szCs w:val="22"/>
        </w:rPr>
        <w:t xml:space="preserve"> </w:t>
      </w:r>
      <w:r>
        <w:rPr>
          <w:szCs w:val="22"/>
          <w:lang w:val="en-AU"/>
        </w:rPr>
        <w:t>nabrojene</w:t>
      </w:r>
      <w:r>
        <w:rPr>
          <w:szCs w:val="22"/>
        </w:rPr>
        <w:t xml:space="preserve"> </w:t>
      </w:r>
      <w:r>
        <w:rPr>
          <w:szCs w:val="22"/>
          <w:lang w:val="en-AU"/>
        </w:rPr>
        <w:t>zahvate</w:t>
      </w:r>
      <w:r>
        <w:rPr>
          <w:szCs w:val="22"/>
        </w:rPr>
        <w:t xml:space="preserve"> </w:t>
      </w:r>
      <w:r>
        <w:rPr>
          <w:szCs w:val="22"/>
          <w:lang w:val="en-AU"/>
        </w:rPr>
        <w:t>na</w:t>
      </w:r>
      <w:r>
        <w:rPr>
          <w:szCs w:val="22"/>
        </w:rPr>
        <w:t xml:space="preserve"> </w:t>
      </w:r>
      <w:r>
        <w:rPr>
          <w:szCs w:val="22"/>
          <w:lang w:val="en-AU"/>
        </w:rPr>
        <w:t>gra</w:t>
      </w:r>
      <w:r>
        <w:rPr>
          <w:szCs w:val="22"/>
        </w:rPr>
        <w:t>đ</w:t>
      </w:r>
      <w:r>
        <w:rPr>
          <w:szCs w:val="22"/>
          <w:lang w:val="en-AU"/>
        </w:rPr>
        <w:t>evinama</w:t>
      </w:r>
      <w:r>
        <w:rPr>
          <w:szCs w:val="22"/>
        </w:rPr>
        <w:t xml:space="preserve">, </w:t>
      </w:r>
      <w:r>
        <w:rPr>
          <w:szCs w:val="22"/>
          <w:lang w:val="en-AU"/>
        </w:rPr>
        <w:t>gra</w:t>
      </w:r>
      <w:r>
        <w:rPr>
          <w:szCs w:val="22"/>
        </w:rPr>
        <w:t>đ</w:t>
      </w:r>
      <w:r>
        <w:rPr>
          <w:szCs w:val="22"/>
          <w:lang w:val="en-AU"/>
        </w:rPr>
        <w:t>evnim</w:t>
      </w:r>
      <w:r>
        <w:rPr>
          <w:szCs w:val="22"/>
        </w:rPr>
        <w:t xml:space="preserve"> </w:t>
      </w:r>
      <w:r>
        <w:rPr>
          <w:szCs w:val="22"/>
          <w:lang w:val="en-AU"/>
        </w:rPr>
        <w:t>sklopovima</w:t>
      </w:r>
      <w:r>
        <w:rPr>
          <w:szCs w:val="22"/>
        </w:rPr>
        <w:t>, predjelima (</w:t>
      </w:r>
      <w:r>
        <w:rPr>
          <w:szCs w:val="22"/>
          <w:lang w:val="en-AU"/>
        </w:rPr>
        <w:t>zonama</w:t>
      </w:r>
      <w:r>
        <w:rPr>
          <w:szCs w:val="22"/>
        </w:rPr>
        <w:t xml:space="preserve">) i lokalitetima, </w:t>
      </w:r>
      <w:r>
        <w:rPr>
          <w:szCs w:val="22"/>
          <w:lang w:val="en-AU"/>
        </w:rPr>
        <w:t>za</w:t>
      </w:r>
      <w:r>
        <w:rPr>
          <w:szCs w:val="22"/>
        </w:rPr>
        <w:t xml:space="preserve"> </w:t>
      </w:r>
      <w:r>
        <w:rPr>
          <w:szCs w:val="22"/>
          <w:lang w:val="en-AU"/>
        </w:rPr>
        <w:t>koje</w:t>
      </w:r>
      <w:r>
        <w:rPr>
          <w:szCs w:val="22"/>
        </w:rPr>
        <w:t xml:space="preserve"> </w:t>
      </w:r>
      <w:r>
        <w:rPr>
          <w:szCs w:val="22"/>
          <w:lang w:val="en-AU"/>
        </w:rPr>
        <w:t>je</w:t>
      </w:r>
      <w:r>
        <w:rPr>
          <w:szCs w:val="22"/>
        </w:rPr>
        <w:t xml:space="preserve"> </w:t>
      </w:r>
      <w:r>
        <w:rPr>
          <w:szCs w:val="22"/>
          <w:lang w:val="en-AU"/>
        </w:rPr>
        <w:t>ovim</w:t>
      </w:r>
      <w:r>
        <w:rPr>
          <w:szCs w:val="22"/>
        </w:rPr>
        <w:t xml:space="preserve"> </w:t>
      </w:r>
      <w:r>
        <w:rPr>
          <w:szCs w:val="22"/>
          <w:lang w:val="en-AU"/>
        </w:rPr>
        <w:t>Prostornim</w:t>
      </w:r>
      <w:r>
        <w:rPr>
          <w:szCs w:val="22"/>
        </w:rPr>
        <w:t xml:space="preserve"> </w:t>
      </w:r>
      <w:r>
        <w:rPr>
          <w:szCs w:val="22"/>
          <w:lang w:val="en-AU"/>
        </w:rPr>
        <w:t>planom</w:t>
      </w:r>
      <w:r>
        <w:rPr>
          <w:szCs w:val="22"/>
        </w:rPr>
        <w:t xml:space="preserve"> </w:t>
      </w:r>
      <w:r>
        <w:rPr>
          <w:szCs w:val="22"/>
          <w:lang w:val="en-AU"/>
        </w:rPr>
        <w:t>utvr</w:t>
      </w:r>
      <w:r>
        <w:rPr>
          <w:szCs w:val="22"/>
        </w:rPr>
        <w:t>đ</w:t>
      </w:r>
      <w:r>
        <w:rPr>
          <w:szCs w:val="22"/>
          <w:lang w:val="en-AU"/>
        </w:rPr>
        <w:t>ena</w:t>
      </w:r>
      <w:r>
        <w:rPr>
          <w:szCs w:val="22"/>
        </w:rPr>
        <w:t xml:space="preserve"> </w:t>
      </w:r>
      <w:r>
        <w:rPr>
          <w:szCs w:val="22"/>
          <w:lang w:val="en-AU"/>
        </w:rPr>
        <w:t>obveza</w:t>
      </w:r>
      <w:r>
        <w:rPr>
          <w:szCs w:val="22"/>
        </w:rPr>
        <w:t xml:space="preserve"> </w:t>
      </w:r>
      <w:r>
        <w:rPr>
          <w:szCs w:val="22"/>
          <w:lang w:val="en-AU"/>
        </w:rPr>
        <w:t>za</w:t>
      </w:r>
      <w:r>
        <w:rPr>
          <w:szCs w:val="22"/>
        </w:rPr>
        <w:t>š</w:t>
      </w:r>
      <w:r>
        <w:rPr>
          <w:szCs w:val="22"/>
          <w:lang w:val="en-AU"/>
        </w:rPr>
        <w:t>tite</w:t>
      </w:r>
      <w:r>
        <w:rPr>
          <w:szCs w:val="22"/>
        </w:rPr>
        <w:t xml:space="preserve">, </w:t>
      </w:r>
      <w:r>
        <w:rPr>
          <w:szCs w:val="22"/>
          <w:lang w:val="en-AU"/>
        </w:rPr>
        <w:t>kod</w:t>
      </w:r>
      <w:r>
        <w:rPr>
          <w:szCs w:val="22"/>
        </w:rPr>
        <w:t xml:space="preserve"> </w:t>
      </w:r>
      <w:r>
        <w:rPr>
          <w:szCs w:val="22"/>
          <w:lang w:val="en-AU"/>
        </w:rPr>
        <w:t>nadle</w:t>
      </w:r>
      <w:r>
        <w:rPr>
          <w:szCs w:val="22"/>
        </w:rPr>
        <w:t>ž</w:t>
      </w:r>
      <w:r>
        <w:rPr>
          <w:szCs w:val="22"/>
          <w:lang w:val="en-AU"/>
        </w:rPr>
        <w:t>ne</w:t>
      </w:r>
      <w:r>
        <w:rPr>
          <w:szCs w:val="22"/>
        </w:rPr>
        <w:t xml:space="preserve"> </w:t>
      </w:r>
      <w:r>
        <w:rPr>
          <w:szCs w:val="22"/>
          <w:lang w:val="en-AU"/>
        </w:rPr>
        <w:t>ustanove</w:t>
      </w:r>
      <w:r>
        <w:rPr>
          <w:szCs w:val="22"/>
        </w:rPr>
        <w:t xml:space="preserve"> </w:t>
      </w:r>
      <w:r>
        <w:rPr>
          <w:szCs w:val="22"/>
          <w:lang w:val="en-AU"/>
        </w:rPr>
        <w:t>za</w:t>
      </w:r>
      <w:r>
        <w:rPr>
          <w:szCs w:val="22"/>
        </w:rPr>
        <w:t xml:space="preserve"> </w:t>
      </w:r>
      <w:r>
        <w:rPr>
          <w:szCs w:val="22"/>
          <w:lang w:val="en-AU"/>
        </w:rPr>
        <w:t>za</w:t>
      </w:r>
      <w:r>
        <w:rPr>
          <w:szCs w:val="22"/>
        </w:rPr>
        <w:t>š</w:t>
      </w:r>
      <w:r>
        <w:rPr>
          <w:szCs w:val="22"/>
          <w:lang w:val="en-AU"/>
        </w:rPr>
        <w:t>titu</w:t>
      </w:r>
      <w:r>
        <w:rPr>
          <w:szCs w:val="22"/>
        </w:rPr>
        <w:t xml:space="preserve"> </w:t>
      </w:r>
      <w:r>
        <w:rPr>
          <w:szCs w:val="22"/>
          <w:lang w:val="en-AU"/>
        </w:rPr>
        <w:t>spomenika</w:t>
      </w:r>
      <w:r>
        <w:rPr>
          <w:szCs w:val="22"/>
        </w:rPr>
        <w:t xml:space="preserve"> (</w:t>
      </w:r>
      <w:r>
        <w:rPr>
          <w:szCs w:val="22"/>
          <w:lang w:val="en-AU"/>
        </w:rPr>
        <w:t>Ministarstvo</w:t>
      </w:r>
      <w:r>
        <w:rPr>
          <w:szCs w:val="22"/>
        </w:rPr>
        <w:t xml:space="preserve"> </w:t>
      </w:r>
      <w:r>
        <w:rPr>
          <w:szCs w:val="22"/>
          <w:lang w:val="en-AU"/>
        </w:rPr>
        <w:t>kulture</w:t>
      </w:r>
      <w:r>
        <w:rPr>
          <w:szCs w:val="22"/>
        </w:rPr>
        <w:t xml:space="preserve">, </w:t>
      </w:r>
      <w:r>
        <w:rPr>
          <w:szCs w:val="22"/>
          <w:lang w:val="en-AU"/>
        </w:rPr>
        <w:t>Uprava</w:t>
      </w:r>
      <w:r>
        <w:rPr>
          <w:szCs w:val="22"/>
        </w:rPr>
        <w:t xml:space="preserve"> </w:t>
      </w:r>
      <w:r>
        <w:rPr>
          <w:szCs w:val="22"/>
          <w:lang w:val="en-AU"/>
        </w:rPr>
        <w:t>za</w:t>
      </w:r>
      <w:r>
        <w:rPr>
          <w:szCs w:val="22"/>
        </w:rPr>
        <w:t xml:space="preserve"> </w:t>
      </w:r>
      <w:r>
        <w:rPr>
          <w:szCs w:val="22"/>
          <w:lang w:val="en-AU"/>
        </w:rPr>
        <w:t>za</w:t>
      </w:r>
      <w:r>
        <w:rPr>
          <w:szCs w:val="22"/>
        </w:rPr>
        <w:t>š</w:t>
      </w:r>
      <w:r>
        <w:rPr>
          <w:szCs w:val="22"/>
          <w:lang w:val="en-AU"/>
        </w:rPr>
        <w:t>titu</w:t>
      </w:r>
      <w:r>
        <w:rPr>
          <w:szCs w:val="22"/>
        </w:rPr>
        <w:t xml:space="preserve"> </w:t>
      </w:r>
      <w:r>
        <w:rPr>
          <w:szCs w:val="22"/>
          <w:lang w:val="en-AU"/>
        </w:rPr>
        <w:t>kulturne</w:t>
      </w:r>
      <w:r>
        <w:rPr>
          <w:szCs w:val="22"/>
        </w:rPr>
        <w:t xml:space="preserve"> </w:t>
      </w:r>
      <w:r>
        <w:rPr>
          <w:szCs w:val="22"/>
          <w:lang w:val="en-AU"/>
        </w:rPr>
        <w:t>ba</w:t>
      </w:r>
      <w:r>
        <w:rPr>
          <w:szCs w:val="22"/>
        </w:rPr>
        <w:t>š</w:t>
      </w:r>
      <w:r>
        <w:rPr>
          <w:szCs w:val="22"/>
          <w:lang w:val="en-AU"/>
        </w:rPr>
        <w:t>tine</w:t>
      </w:r>
      <w:r>
        <w:rPr>
          <w:szCs w:val="22"/>
        </w:rPr>
        <w:t xml:space="preserve"> - </w:t>
      </w:r>
      <w:r>
        <w:rPr>
          <w:szCs w:val="22"/>
          <w:lang w:val="en-AU"/>
        </w:rPr>
        <w:t>Konzervatorski</w:t>
      </w:r>
      <w:r>
        <w:rPr>
          <w:szCs w:val="22"/>
        </w:rPr>
        <w:t xml:space="preserve"> </w:t>
      </w:r>
      <w:r>
        <w:rPr>
          <w:szCs w:val="22"/>
          <w:lang w:val="en-AU"/>
        </w:rPr>
        <w:t>odjel</w:t>
      </w:r>
      <w:r>
        <w:rPr>
          <w:szCs w:val="22"/>
        </w:rPr>
        <w:t xml:space="preserve">) </w:t>
      </w:r>
      <w:r>
        <w:rPr>
          <w:szCs w:val="22"/>
          <w:lang w:val="en-AU"/>
        </w:rPr>
        <w:t>potrebno</w:t>
      </w:r>
      <w:r>
        <w:rPr>
          <w:szCs w:val="22"/>
        </w:rPr>
        <w:t xml:space="preserve"> </w:t>
      </w:r>
      <w:r>
        <w:rPr>
          <w:szCs w:val="22"/>
          <w:lang w:val="en-AU"/>
        </w:rPr>
        <w:t>je</w:t>
      </w:r>
      <w:r>
        <w:rPr>
          <w:szCs w:val="22"/>
        </w:rPr>
        <w:t xml:space="preserve"> </w:t>
      </w:r>
      <w:r>
        <w:rPr>
          <w:szCs w:val="22"/>
          <w:lang w:val="en-AU"/>
        </w:rPr>
        <w:t>ishoditi</w:t>
      </w:r>
      <w:r>
        <w:rPr>
          <w:szCs w:val="22"/>
        </w:rPr>
        <w:t xml:space="preserve"> </w:t>
      </w:r>
      <w:r>
        <w:rPr>
          <w:szCs w:val="22"/>
          <w:lang w:val="en-AU"/>
        </w:rPr>
        <w:t>zakonom</w:t>
      </w:r>
      <w:r>
        <w:rPr>
          <w:szCs w:val="22"/>
        </w:rPr>
        <w:t xml:space="preserve"> </w:t>
      </w:r>
      <w:r>
        <w:rPr>
          <w:szCs w:val="22"/>
          <w:lang w:val="en-AU"/>
        </w:rPr>
        <w:t>propisane</w:t>
      </w:r>
      <w:r>
        <w:rPr>
          <w:szCs w:val="22"/>
        </w:rPr>
        <w:t xml:space="preserve"> </w:t>
      </w:r>
      <w:r>
        <w:rPr>
          <w:szCs w:val="22"/>
          <w:lang w:val="en-AU"/>
        </w:rPr>
        <w:t>suglasnosti</w:t>
      </w:r>
      <w:r>
        <w:rPr>
          <w:szCs w:val="22"/>
        </w:rPr>
        <w:t>:</w:t>
      </w:r>
    </w:p>
    <w:p w:rsidR="00012172" w:rsidRDefault="00012172">
      <w:pPr>
        <w:tabs>
          <w:tab w:val="left" w:pos="720"/>
          <w:tab w:val="num" w:pos="840"/>
        </w:tabs>
        <w:overflowPunct w:val="0"/>
        <w:autoSpaceDE w:val="0"/>
        <w:autoSpaceDN w:val="0"/>
        <w:adjustRightInd w:val="0"/>
        <w:ind w:left="1080" w:hanging="360"/>
        <w:jc w:val="both"/>
        <w:textAlignment w:val="baseline"/>
        <w:rPr>
          <w:szCs w:val="22"/>
        </w:rPr>
      </w:pPr>
      <w:r>
        <w:rPr>
          <w:szCs w:val="22"/>
          <w:lang w:val="en-AU"/>
        </w:rPr>
        <w:t>posebne</w:t>
      </w:r>
      <w:r>
        <w:rPr>
          <w:szCs w:val="22"/>
        </w:rPr>
        <w:t xml:space="preserve"> </w:t>
      </w:r>
      <w:r>
        <w:rPr>
          <w:szCs w:val="22"/>
          <w:lang w:val="en-AU"/>
        </w:rPr>
        <w:t>uvjete</w:t>
      </w:r>
      <w:r>
        <w:rPr>
          <w:szCs w:val="22"/>
        </w:rPr>
        <w:t xml:space="preserve"> (</w:t>
      </w:r>
      <w:r>
        <w:rPr>
          <w:szCs w:val="22"/>
          <w:lang w:val="en-AU"/>
        </w:rPr>
        <w:t>u</w:t>
      </w:r>
      <w:r>
        <w:rPr>
          <w:szCs w:val="22"/>
        </w:rPr>
        <w:t xml:space="preserve"> </w:t>
      </w:r>
      <w:r>
        <w:rPr>
          <w:szCs w:val="22"/>
          <w:lang w:val="en-AU"/>
        </w:rPr>
        <w:t>postupku</w:t>
      </w:r>
      <w:r>
        <w:rPr>
          <w:szCs w:val="22"/>
        </w:rPr>
        <w:t xml:space="preserve"> </w:t>
      </w:r>
      <w:r>
        <w:rPr>
          <w:szCs w:val="22"/>
          <w:lang w:val="en-AU"/>
        </w:rPr>
        <w:t>izdavanja</w:t>
      </w:r>
      <w:r>
        <w:rPr>
          <w:szCs w:val="22"/>
        </w:rPr>
        <w:t xml:space="preserve"> </w:t>
      </w:r>
      <w:r>
        <w:rPr>
          <w:szCs w:val="22"/>
          <w:lang w:val="en-AU"/>
        </w:rPr>
        <w:t>lokacijske</w:t>
      </w:r>
      <w:r>
        <w:rPr>
          <w:szCs w:val="22"/>
        </w:rPr>
        <w:t xml:space="preserve"> </w:t>
      </w:r>
      <w:r>
        <w:rPr>
          <w:szCs w:val="22"/>
          <w:lang w:val="en-AU"/>
        </w:rPr>
        <w:t>dozvole</w:t>
      </w:r>
      <w:r>
        <w:rPr>
          <w:szCs w:val="22"/>
        </w:rPr>
        <w:t>),</w:t>
      </w:r>
    </w:p>
    <w:p w:rsidR="00012172" w:rsidRDefault="00012172">
      <w:pPr>
        <w:tabs>
          <w:tab w:val="left" w:pos="720"/>
          <w:tab w:val="num" w:pos="840"/>
        </w:tabs>
        <w:overflowPunct w:val="0"/>
        <w:autoSpaceDE w:val="0"/>
        <w:autoSpaceDN w:val="0"/>
        <w:adjustRightInd w:val="0"/>
        <w:ind w:left="1080" w:hanging="360"/>
        <w:jc w:val="both"/>
        <w:textAlignment w:val="baseline"/>
        <w:rPr>
          <w:szCs w:val="22"/>
          <w:lang w:val="en-AU"/>
        </w:rPr>
      </w:pPr>
      <w:r>
        <w:rPr>
          <w:szCs w:val="22"/>
          <w:lang w:val="en-AU"/>
        </w:rPr>
        <w:t>prethodno odobrenje (u postupku izdavanja građevne dozvole) i</w:t>
      </w:r>
    </w:p>
    <w:p w:rsidR="00012172" w:rsidRDefault="00012172">
      <w:pPr>
        <w:tabs>
          <w:tab w:val="left" w:pos="720"/>
          <w:tab w:val="num" w:pos="840"/>
        </w:tabs>
        <w:overflowPunct w:val="0"/>
        <w:autoSpaceDE w:val="0"/>
        <w:autoSpaceDN w:val="0"/>
        <w:adjustRightInd w:val="0"/>
        <w:ind w:left="1080" w:hanging="360"/>
        <w:jc w:val="both"/>
        <w:textAlignment w:val="baseline"/>
        <w:rPr>
          <w:szCs w:val="22"/>
          <w:lang w:val="en-AU"/>
        </w:rPr>
      </w:pPr>
      <w:r>
        <w:rPr>
          <w:szCs w:val="22"/>
          <w:lang w:val="en-AU"/>
        </w:rPr>
        <w:t>nadzor u svim fazama radova, provodi nadležna Uprava za zaštitu kulturne baštine</w:t>
      </w:r>
    </w:p>
    <w:p w:rsidR="00012172" w:rsidRDefault="00012172">
      <w:pPr>
        <w:ind w:left="720"/>
        <w:jc w:val="both"/>
        <w:rPr>
          <w:szCs w:val="22"/>
          <w:lang w:val="en-AU"/>
        </w:rPr>
      </w:pPr>
    </w:p>
    <w:p w:rsidR="00012172" w:rsidRDefault="00012172">
      <w:pPr>
        <w:tabs>
          <w:tab w:val="left" w:pos="720"/>
          <w:tab w:val="num" w:pos="840"/>
        </w:tabs>
        <w:overflowPunct w:val="0"/>
        <w:autoSpaceDE w:val="0"/>
        <w:autoSpaceDN w:val="0"/>
        <w:adjustRightInd w:val="0"/>
        <w:ind w:left="720" w:hanging="360"/>
        <w:jc w:val="both"/>
        <w:textAlignment w:val="baseline"/>
        <w:rPr>
          <w:szCs w:val="22"/>
          <w:lang w:val="en-AU"/>
        </w:rPr>
      </w:pPr>
      <w:r>
        <w:rPr>
          <w:szCs w:val="22"/>
          <w:lang w:val="en-AU"/>
        </w:rPr>
        <w:t>Zaštićenim građevinama, kod kojih su utvrđena spomenička svojstva i na koje se obvezatno primjenjuju sve navedene (spomeničke) odredbe, smatraju se sve građevine koje su u ovom Prostornom planu popisane kao</w:t>
      </w:r>
      <w:r>
        <w:rPr>
          <w:i/>
          <w:iCs/>
          <w:szCs w:val="22"/>
          <w:lang w:val="en-AU"/>
        </w:rPr>
        <w:t>:  registrirani</w:t>
      </w:r>
      <w:r>
        <w:rPr>
          <w:szCs w:val="22"/>
          <w:lang w:val="en-AU"/>
        </w:rPr>
        <w:t xml:space="preserve"> (R) spomenici  i predloženi za registraciju (PR).</w:t>
      </w:r>
    </w:p>
    <w:p w:rsidR="00012172" w:rsidRDefault="00012172">
      <w:pPr>
        <w:tabs>
          <w:tab w:val="left" w:pos="720"/>
        </w:tabs>
        <w:overflowPunct w:val="0"/>
        <w:autoSpaceDE w:val="0"/>
        <w:autoSpaceDN w:val="0"/>
        <w:adjustRightInd w:val="0"/>
        <w:jc w:val="both"/>
        <w:textAlignment w:val="baseline"/>
        <w:rPr>
          <w:rFonts w:ascii="Arial" w:hAnsi="Arial"/>
          <w:sz w:val="22"/>
          <w:szCs w:val="22"/>
          <w:lang w:val="en-AU"/>
        </w:rPr>
      </w:pPr>
    </w:p>
    <w:p w:rsidR="00012172" w:rsidRDefault="00012172">
      <w:pPr>
        <w:tabs>
          <w:tab w:val="num" w:pos="720"/>
        </w:tabs>
        <w:ind w:left="720" w:hanging="360"/>
        <w:jc w:val="both"/>
      </w:pPr>
      <w:r>
        <w:t xml:space="preserve">Za građevine označene kao </w:t>
      </w:r>
      <w:r>
        <w:rPr>
          <w:i/>
        </w:rPr>
        <w:t>evidentirana baština</w:t>
      </w:r>
      <w:r>
        <w:t xml:space="preserve"> (E), uglavnom lokalne važnosti, opisani postupak nije obvezan, osim ukoliko organi lokalne uprave u provedbi ovoga Prostornog plana nađu interes i potrebu za savjetodavnim sudjelovanjem Službe zaštite. Mišljenje se može zatražiti i za građevine izvan predjela zaštite, osobito u dijelu koji graniči sa zaštićenim predjelom, ako se građevine nalaze na osobito vidljivim mjestima važnim za sliku naselja ili krajolika.</w:t>
      </w:r>
    </w:p>
    <w:p w:rsidR="00012172" w:rsidRDefault="00012172">
      <w:pPr>
        <w:rPr>
          <w:rFonts w:ascii="Arial" w:hAnsi="Arial"/>
          <w:sz w:val="22"/>
          <w:szCs w:val="22"/>
        </w:rPr>
      </w:pPr>
    </w:p>
    <w:p w:rsidR="00012172" w:rsidRDefault="00012172">
      <w:pPr>
        <w:rPr>
          <w:rFonts w:ascii="Arial" w:hAnsi="Arial"/>
          <w:sz w:val="22"/>
          <w:szCs w:val="22"/>
        </w:rPr>
      </w:pPr>
    </w:p>
    <w:p w:rsidR="00012172" w:rsidRDefault="00012172">
      <w:pPr>
        <w:jc w:val="center"/>
        <w:rPr>
          <w:szCs w:val="22"/>
        </w:rPr>
      </w:pPr>
      <w:r>
        <w:rPr>
          <w:szCs w:val="22"/>
        </w:rPr>
        <w:t>Č</w:t>
      </w:r>
      <w:r>
        <w:rPr>
          <w:szCs w:val="22"/>
          <w:lang w:val="en-AU"/>
        </w:rPr>
        <w:t>lanak</w:t>
      </w:r>
      <w:r w:rsidR="00F237BF">
        <w:rPr>
          <w:szCs w:val="22"/>
        </w:rPr>
        <w:t xml:space="preserve"> 102</w:t>
      </w:r>
      <w:r>
        <w:rPr>
          <w:szCs w:val="22"/>
        </w:rPr>
        <w:t>.</w:t>
      </w:r>
    </w:p>
    <w:p w:rsidR="00012172" w:rsidRDefault="00012172">
      <w:pPr>
        <w:jc w:val="both"/>
        <w:rPr>
          <w:szCs w:val="22"/>
        </w:rPr>
      </w:pPr>
      <w:r>
        <w:rPr>
          <w:szCs w:val="22"/>
        </w:rPr>
        <w:t xml:space="preserve">(1) </w:t>
      </w:r>
      <w:r>
        <w:rPr>
          <w:szCs w:val="22"/>
          <w:lang w:val="en-AU"/>
        </w:rPr>
        <w:t>Temeljem</w:t>
      </w:r>
      <w:r>
        <w:rPr>
          <w:szCs w:val="22"/>
        </w:rPr>
        <w:t xml:space="preserve"> </w:t>
      </w:r>
      <w:r>
        <w:rPr>
          <w:szCs w:val="22"/>
          <w:lang w:val="en-AU"/>
        </w:rPr>
        <w:t>inventarizacije</w:t>
      </w:r>
      <w:r>
        <w:rPr>
          <w:szCs w:val="22"/>
        </w:rPr>
        <w:t xml:space="preserve"> </w:t>
      </w:r>
      <w:r>
        <w:rPr>
          <w:szCs w:val="22"/>
          <w:lang w:val="en-AU"/>
        </w:rPr>
        <w:t>provedene</w:t>
      </w:r>
      <w:r>
        <w:rPr>
          <w:szCs w:val="22"/>
        </w:rPr>
        <w:t xml:space="preserve"> </w:t>
      </w:r>
      <w:r>
        <w:rPr>
          <w:szCs w:val="22"/>
          <w:lang w:val="en-AU"/>
        </w:rPr>
        <w:t>prilikom</w:t>
      </w:r>
      <w:r>
        <w:rPr>
          <w:szCs w:val="22"/>
        </w:rPr>
        <w:t xml:space="preserve"> </w:t>
      </w:r>
      <w:r>
        <w:rPr>
          <w:szCs w:val="22"/>
          <w:lang w:val="en-AU"/>
        </w:rPr>
        <w:t>izrade</w:t>
      </w:r>
      <w:r>
        <w:rPr>
          <w:szCs w:val="22"/>
        </w:rPr>
        <w:t xml:space="preserve"> </w:t>
      </w:r>
      <w:r>
        <w:rPr>
          <w:szCs w:val="22"/>
          <w:lang w:val="en-AU"/>
        </w:rPr>
        <w:t>ovoga</w:t>
      </w:r>
      <w:r>
        <w:rPr>
          <w:szCs w:val="22"/>
        </w:rPr>
        <w:t xml:space="preserve"> P</w:t>
      </w:r>
      <w:r>
        <w:rPr>
          <w:szCs w:val="22"/>
          <w:lang w:val="en-AU"/>
        </w:rPr>
        <w:t>rostornoga</w:t>
      </w:r>
      <w:r>
        <w:rPr>
          <w:szCs w:val="22"/>
        </w:rPr>
        <w:t xml:space="preserve"> </w:t>
      </w:r>
      <w:r>
        <w:rPr>
          <w:szCs w:val="22"/>
          <w:lang w:val="en-AU"/>
        </w:rPr>
        <w:t>plana</w:t>
      </w:r>
      <w:r>
        <w:rPr>
          <w:szCs w:val="22"/>
        </w:rPr>
        <w:t xml:space="preserve">, </w:t>
      </w:r>
      <w:r>
        <w:rPr>
          <w:szCs w:val="22"/>
          <w:lang w:val="en-AU"/>
        </w:rPr>
        <w:t>uz</w:t>
      </w:r>
      <w:r>
        <w:rPr>
          <w:szCs w:val="22"/>
        </w:rPr>
        <w:t xml:space="preserve"> </w:t>
      </w:r>
      <w:r>
        <w:rPr>
          <w:szCs w:val="22"/>
          <w:lang w:val="en-AU"/>
        </w:rPr>
        <w:t>ranije</w:t>
      </w:r>
      <w:r>
        <w:rPr>
          <w:szCs w:val="22"/>
        </w:rPr>
        <w:t xml:space="preserve"> </w:t>
      </w:r>
      <w:r>
        <w:rPr>
          <w:i/>
          <w:iCs/>
          <w:szCs w:val="22"/>
          <w:lang w:val="en-AU"/>
        </w:rPr>
        <w:t>registrirane</w:t>
      </w:r>
      <w:r>
        <w:rPr>
          <w:szCs w:val="22"/>
        </w:rPr>
        <w:t xml:space="preserve"> (</w:t>
      </w:r>
      <w:r>
        <w:rPr>
          <w:szCs w:val="22"/>
          <w:lang w:val="en-AU"/>
        </w:rPr>
        <w:t>R</w:t>
      </w:r>
      <w:r>
        <w:rPr>
          <w:szCs w:val="22"/>
        </w:rPr>
        <w:t xml:space="preserve">) </w:t>
      </w:r>
      <w:r>
        <w:rPr>
          <w:szCs w:val="22"/>
          <w:lang w:val="en-AU"/>
        </w:rPr>
        <w:t>spomenike</w:t>
      </w:r>
      <w:r>
        <w:rPr>
          <w:szCs w:val="22"/>
        </w:rPr>
        <w:t xml:space="preserve">, </w:t>
      </w:r>
      <w:r>
        <w:rPr>
          <w:szCs w:val="22"/>
          <w:lang w:val="en-AU"/>
        </w:rPr>
        <w:t>Uprava</w:t>
      </w:r>
      <w:r>
        <w:rPr>
          <w:szCs w:val="22"/>
        </w:rPr>
        <w:t xml:space="preserve"> </w:t>
      </w:r>
      <w:r>
        <w:rPr>
          <w:szCs w:val="22"/>
          <w:lang w:val="en-AU"/>
        </w:rPr>
        <w:t>za</w:t>
      </w:r>
      <w:r>
        <w:rPr>
          <w:szCs w:val="22"/>
        </w:rPr>
        <w:t xml:space="preserve"> </w:t>
      </w:r>
      <w:r>
        <w:rPr>
          <w:szCs w:val="22"/>
          <w:lang w:val="en-AU"/>
        </w:rPr>
        <w:t>za</w:t>
      </w:r>
      <w:r>
        <w:rPr>
          <w:szCs w:val="22"/>
        </w:rPr>
        <w:t>š</w:t>
      </w:r>
      <w:r>
        <w:rPr>
          <w:szCs w:val="22"/>
          <w:lang w:val="en-AU"/>
        </w:rPr>
        <w:t>titu</w:t>
      </w:r>
      <w:r>
        <w:rPr>
          <w:szCs w:val="22"/>
        </w:rPr>
        <w:t xml:space="preserve"> </w:t>
      </w:r>
      <w:r>
        <w:rPr>
          <w:szCs w:val="22"/>
          <w:lang w:val="en-AU"/>
        </w:rPr>
        <w:t>kulturne</w:t>
      </w:r>
      <w:r>
        <w:rPr>
          <w:szCs w:val="22"/>
        </w:rPr>
        <w:t xml:space="preserve"> </w:t>
      </w:r>
      <w:r>
        <w:rPr>
          <w:szCs w:val="22"/>
          <w:lang w:val="en-AU"/>
        </w:rPr>
        <w:t>ba</w:t>
      </w:r>
      <w:r>
        <w:rPr>
          <w:szCs w:val="22"/>
        </w:rPr>
        <w:t>š</w:t>
      </w:r>
      <w:r>
        <w:rPr>
          <w:szCs w:val="22"/>
          <w:lang w:val="en-AU"/>
        </w:rPr>
        <w:t>tine</w:t>
      </w:r>
      <w:r>
        <w:rPr>
          <w:szCs w:val="22"/>
        </w:rPr>
        <w:t xml:space="preserve"> - </w:t>
      </w:r>
      <w:r>
        <w:rPr>
          <w:szCs w:val="22"/>
          <w:lang w:val="en-AU"/>
        </w:rPr>
        <w:t>Konzervatorski</w:t>
      </w:r>
      <w:r>
        <w:rPr>
          <w:szCs w:val="22"/>
        </w:rPr>
        <w:t xml:space="preserve"> </w:t>
      </w:r>
      <w:r>
        <w:rPr>
          <w:szCs w:val="22"/>
          <w:lang w:val="en-AU"/>
        </w:rPr>
        <w:t>odjel</w:t>
      </w:r>
      <w:r>
        <w:rPr>
          <w:szCs w:val="22"/>
        </w:rPr>
        <w:t xml:space="preserve"> </w:t>
      </w:r>
      <w:r>
        <w:rPr>
          <w:szCs w:val="22"/>
          <w:lang w:val="en-AU"/>
        </w:rPr>
        <w:t>u</w:t>
      </w:r>
      <w:r>
        <w:rPr>
          <w:szCs w:val="22"/>
        </w:rPr>
        <w:t xml:space="preserve">  </w:t>
      </w:r>
      <w:r>
        <w:rPr>
          <w:szCs w:val="22"/>
          <w:lang w:val="en-AU"/>
        </w:rPr>
        <w:t>Zagrebu</w:t>
      </w:r>
      <w:r>
        <w:rPr>
          <w:szCs w:val="22"/>
        </w:rPr>
        <w:t xml:space="preserve"> </w:t>
      </w:r>
      <w:r>
        <w:rPr>
          <w:szCs w:val="22"/>
          <w:lang w:val="en-AU"/>
        </w:rPr>
        <w:t>po</w:t>
      </w:r>
      <w:r>
        <w:rPr>
          <w:szCs w:val="22"/>
        </w:rPr>
        <w:t xml:space="preserve"> </w:t>
      </w:r>
      <w:r>
        <w:rPr>
          <w:szCs w:val="22"/>
          <w:lang w:val="en-AU"/>
        </w:rPr>
        <w:t>slu</w:t>
      </w:r>
      <w:r>
        <w:rPr>
          <w:szCs w:val="22"/>
        </w:rPr>
        <w:t>ž</w:t>
      </w:r>
      <w:r>
        <w:rPr>
          <w:szCs w:val="22"/>
          <w:lang w:val="en-AU"/>
        </w:rPr>
        <w:t>benoj</w:t>
      </w:r>
      <w:r>
        <w:rPr>
          <w:szCs w:val="22"/>
        </w:rPr>
        <w:t xml:space="preserve"> ć</w:t>
      </w:r>
      <w:r>
        <w:rPr>
          <w:szCs w:val="22"/>
          <w:lang w:val="en-AU"/>
        </w:rPr>
        <w:t>e</w:t>
      </w:r>
      <w:r>
        <w:rPr>
          <w:szCs w:val="22"/>
        </w:rPr>
        <w:t xml:space="preserve"> </w:t>
      </w:r>
      <w:r>
        <w:rPr>
          <w:szCs w:val="22"/>
          <w:lang w:val="en-AU"/>
        </w:rPr>
        <w:t>du</w:t>
      </w:r>
      <w:r>
        <w:rPr>
          <w:szCs w:val="22"/>
        </w:rPr>
        <w:t>ž</w:t>
      </w:r>
      <w:r>
        <w:rPr>
          <w:szCs w:val="22"/>
          <w:lang w:val="en-AU"/>
        </w:rPr>
        <w:t>nosti</w:t>
      </w:r>
      <w:r>
        <w:rPr>
          <w:szCs w:val="22"/>
        </w:rPr>
        <w:t xml:space="preserve"> </w:t>
      </w:r>
      <w:r>
        <w:rPr>
          <w:szCs w:val="22"/>
          <w:lang w:val="en-AU"/>
        </w:rPr>
        <w:t>pokrenuti</w:t>
      </w:r>
      <w:r>
        <w:rPr>
          <w:szCs w:val="22"/>
        </w:rPr>
        <w:t xml:space="preserve"> </w:t>
      </w:r>
      <w:r>
        <w:rPr>
          <w:szCs w:val="22"/>
          <w:lang w:val="en-AU"/>
        </w:rPr>
        <w:t>postupak</w:t>
      </w:r>
      <w:r>
        <w:rPr>
          <w:szCs w:val="22"/>
        </w:rPr>
        <w:t xml:space="preserve"> </w:t>
      </w:r>
      <w:r>
        <w:rPr>
          <w:szCs w:val="22"/>
          <w:lang w:val="en-AU"/>
        </w:rPr>
        <w:t>dokumentiranja</w:t>
      </w:r>
      <w:r>
        <w:rPr>
          <w:szCs w:val="22"/>
        </w:rPr>
        <w:t xml:space="preserve"> </w:t>
      </w:r>
      <w:r>
        <w:rPr>
          <w:szCs w:val="22"/>
          <w:lang w:val="en-AU"/>
        </w:rPr>
        <w:t>te</w:t>
      </w:r>
      <w:r>
        <w:rPr>
          <w:szCs w:val="22"/>
        </w:rPr>
        <w:t xml:space="preserve"> </w:t>
      </w:r>
      <w:r>
        <w:rPr>
          <w:szCs w:val="22"/>
          <w:lang w:val="en-AU"/>
        </w:rPr>
        <w:t>dono</w:t>
      </w:r>
      <w:r>
        <w:rPr>
          <w:szCs w:val="22"/>
        </w:rPr>
        <w:t>š</w:t>
      </w:r>
      <w:r>
        <w:rPr>
          <w:szCs w:val="22"/>
          <w:lang w:val="en-AU"/>
        </w:rPr>
        <w:t>enja</w:t>
      </w:r>
      <w:r>
        <w:rPr>
          <w:szCs w:val="22"/>
        </w:rPr>
        <w:t xml:space="preserve"> </w:t>
      </w:r>
      <w:r>
        <w:rPr>
          <w:szCs w:val="22"/>
          <w:lang w:val="en-AU"/>
        </w:rPr>
        <w:t>rje</w:t>
      </w:r>
      <w:r>
        <w:rPr>
          <w:szCs w:val="22"/>
        </w:rPr>
        <w:t>š</w:t>
      </w:r>
      <w:r>
        <w:rPr>
          <w:szCs w:val="22"/>
          <w:lang w:val="en-AU"/>
        </w:rPr>
        <w:t>enja</w:t>
      </w:r>
      <w:r>
        <w:rPr>
          <w:szCs w:val="22"/>
        </w:rPr>
        <w:t xml:space="preserve"> </w:t>
      </w:r>
      <w:r>
        <w:rPr>
          <w:szCs w:val="22"/>
          <w:lang w:val="en-AU"/>
        </w:rPr>
        <w:t>o</w:t>
      </w:r>
      <w:r>
        <w:rPr>
          <w:szCs w:val="22"/>
        </w:rPr>
        <w:t xml:space="preserve"> </w:t>
      </w:r>
      <w:r>
        <w:rPr>
          <w:szCs w:val="22"/>
          <w:lang w:val="en-AU"/>
        </w:rPr>
        <w:t>za</w:t>
      </w:r>
      <w:r>
        <w:rPr>
          <w:szCs w:val="22"/>
        </w:rPr>
        <w:t>š</w:t>
      </w:r>
      <w:r>
        <w:rPr>
          <w:szCs w:val="22"/>
          <w:lang w:val="en-AU"/>
        </w:rPr>
        <w:t>titi</w:t>
      </w:r>
      <w:r>
        <w:rPr>
          <w:szCs w:val="22"/>
        </w:rPr>
        <w:t xml:space="preserve"> </w:t>
      </w:r>
      <w:r>
        <w:rPr>
          <w:szCs w:val="22"/>
          <w:lang w:val="en-AU"/>
        </w:rPr>
        <w:t>za</w:t>
      </w:r>
      <w:r>
        <w:rPr>
          <w:szCs w:val="22"/>
        </w:rPr>
        <w:t xml:space="preserve"> </w:t>
      </w:r>
      <w:r>
        <w:rPr>
          <w:szCs w:val="22"/>
          <w:lang w:val="en-AU"/>
        </w:rPr>
        <w:t>sve</w:t>
      </w:r>
      <w:r>
        <w:rPr>
          <w:szCs w:val="22"/>
        </w:rPr>
        <w:t xml:space="preserve"> </w:t>
      </w:r>
      <w:r>
        <w:rPr>
          <w:szCs w:val="22"/>
          <w:lang w:val="en-AU"/>
        </w:rPr>
        <w:t>vrednije</w:t>
      </w:r>
      <w:r>
        <w:rPr>
          <w:szCs w:val="22"/>
        </w:rPr>
        <w:t xml:space="preserve"> </w:t>
      </w:r>
      <w:r>
        <w:rPr>
          <w:szCs w:val="22"/>
          <w:lang w:val="en-AU"/>
        </w:rPr>
        <w:t>gra</w:t>
      </w:r>
      <w:r>
        <w:rPr>
          <w:szCs w:val="22"/>
        </w:rPr>
        <w:t>đ</w:t>
      </w:r>
      <w:r>
        <w:rPr>
          <w:szCs w:val="22"/>
          <w:lang w:val="en-AU"/>
        </w:rPr>
        <w:t>evine</w:t>
      </w:r>
      <w:r>
        <w:rPr>
          <w:szCs w:val="22"/>
        </w:rPr>
        <w:t xml:space="preserve">, </w:t>
      </w:r>
      <w:r>
        <w:rPr>
          <w:szCs w:val="22"/>
          <w:lang w:val="en-AU"/>
        </w:rPr>
        <w:t>predjele</w:t>
      </w:r>
      <w:r>
        <w:rPr>
          <w:szCs w:val="22"/>
        </w:rPr>
        <w:t xml:space="preserve"> (zone) </w:t>
      </w:r>
      <w:r>
        <w:rPr>
          <w:szCs w:val="22"/>
          <w:lang w:val="en-AU"/>
        </w:rPr>
        <w:t>i</w:t>
      </w:r>
      <w:r>
        <w:rPr>
          <w:szCs w:val="22"/>
        </w:rPr>
        <w:t xml:space="preserve"> </w:t>
      </w:r>
      <w:r>
        <w:rPr>
          <w:szCs w:val="22"/>
          <w:lang w:val="en-AU"/>
        </w:rPr>
        <w:t>lokalitete</w:t>
      </w:r>
      <w:r>
        <w:rPr>
          <w:szCs w:val="22"/>
        </w:rPr>
        <w:t xml:space="preserve"> </w:t>
      </w:r>
      <w:r>
        <w:rPr>
          <w:szCs w:val="22"/>
          <w:lang w:val="en-AU"/>
        </w:rPr>
        <w:t>koji</w:t>
      </w:r>
      <w:r>
        <w:rPr>
          <w:szCs w:val="22"/>
        </w:rPr>
        <w:t xml:space="preserve"> </w:t>
      </w:r>
      <w:r>
        <w:rPr>
          <w:szCs w:val="22"/>
          <w:lang w:val="en-AU"/>
        </w:rPr>
        <w:t>su</w:t>
      </w:r>
      <w:r>
        <w:rPr>
          <w:szCs w:val="22"/>
        </w:rPr>
        <w:t xml:space="preserve"> </w:t>
      </w:r>
      <w:r>
        <w:rPr>
          <w:szCs w:val="22"/>
          <w:lang w:val="en-AU"/>
        </w:rPr>
        <w:t>na</w:t>
      </w:r>
      <w:r>
        <w:rPr>
          <w:szCs w:val="22"/>
        </w:rPr>
        <w:t xml:space="preserve"> </w:t>
      </w:r>
      <w:r>
        <w:rPr>
          <w:szCs w:val="22"/>
          <w:lang w:val="en-AU"/>
        </w:rPr>
        <w:t>kart</w:t>
      </w:r>
      <w:r>
        <w:rPr>
          <w:szCs w:val="22"/>
        </w:rPr>
        <w:t xml:space="preserve">ama i tablicama označeni znakom </w:t>
      </w:r>
      <w:r>
        <w:rPr>
          <w:szCs w:val="22"/>
          <w:lang w:val="en-AU"/>
        </w:rPr>
        <w:t>PR</w:t>
      </w:r>
      <w:r>
        <w:rPr>
          <w:szCs w:val="22"/>
        </w:rPr>
        <w:t xml:space="preserve">. </w:t>
      </w:r>
      <w:r>
        <w:rPr>
          <w:szCs w:val="22"/>
          <w:lang w:val="en-AU"/>
        </w:rPr>
        <w:t>Do</w:t>
      </w:r>
      <w:r>
        <w:rPr>
          <w:szCs w:val="22"/>
        </w:rPr>
        <w:t xml:space="preserve"> </w:t>
      </w:r>
      <w:r>
        <w:rPr>
          <w:szCs w:val="22"/>
          <w:lang w:val="en-AU"/>
        </w:rPr>
        <w:t>dono</w:t>
      </w:r>
      <w:r>
        <w:rPr>
          <w:szCs w:val="22"/>
        </w:rPr>
        <w:t>š</w:t>
      </w:r>
      <w:r>
        <w:rPr>
          <w:szCs w:val="22"/>
          <w:lang w:val="en-AU"/>
        </w:rPr>
        <w:t>enja</w:t>
      </w:r>
      <w:r>
        <w:rPr>
          <w:szCs w:val="22"/>
        </w:rPr>
        <w:t xml:space="preserve"> </w:t>
      </w:r>
      <w:r>
        <w:rPr>
          <w:szCs w:val="22"/>
          <w:lang w:val="en-AU"/>
        </w:rPr>
        <w:t>odgovaraju</w:t>
      </w:r>
      <w:r>
        <w:rPr>
          <w:szCs w:val="22"/>
        </w:rPr>
        <w:t>ć</w:t>
      </w:r>
      <w:r>
        <w:rPr>
          <w:szCs w:val="22"/>
          <w:lang w:val="en-AU"/>
        </w:rPr>
        <w:t>ega</w:t>
      </w:r>
      <w:r>
        <w:rPr>
          <w:szCs w:val="22"/>
        </w:rPr>
        <w:t xml:space="preserve"> </w:t>
      </w:r>
      <w:r>
        <w:rPr>
          <w:szCs w:val="22"/>
          <w:lang w:val="en-AU"/>
        </w:rPr>
        <w:t>rje</w:t>
      </w:r>
      <w:r>
        <w:rPr>
          <w:szCs w:val="22"/>
        </w:rPr>
        <w:t>š</w:t>
      </w:r>
      <w:r>
        <w:rPr>
          <w:szCs w:val="22"/>
          <w:lang w:val="en-AU"/>
        </w:rPr>
        <w:t>enja</w:t>
      </w:r>
      <w:r>
        <w:rPr>
          <w:szCs w:val="22"/>
        </w:rPr>
        <w:t xml:space="preserve"> </w:t>
      </w:r>
      <w:r>
        <w:rPr>
          <w:szCs w:val="22"/>
          <w:lang w:val="en-AU"/>
        </w:rPr>
        <w:t>predla</w:t>
      </w:r>
      <w:r>
        <w:rPr>
          <w:szCs w:val="22"/>
        </w:rPr>
        <w:t>ž</w:t>
      </w:r>
      <w:r>
        <w:rPr>
          <w:szCs w:val="22"/>
          <w:lang w:val="en-AU"/>
        </w:rPr>
        <w:t>e</w:t>
      </w:r>
      <w:r>
        <w:rPr>
          <w:szCs w:val="22"/>
        </w:rPr>
        <w:t xml:space="preserve"> </w:t>
      </w:r>
      <w:r>
        <w:rPr>
          <w:szCs w:val="22"/>
          <w:lang w:val="en-AU"/>
        </w:rPr>
        <w:t>se</w:t>
      </w:r>
      <w:r>
        <w:rPr>
          <w:szCs w:val="22"/>
        </w:rPr>
        <w:t xml:space="preserve"> </w:t>
      </w:r>
      <w:r>
        <w:rPr>
          <w:szCs w:val="22"/>
          <w:lang w:val="en-AU"/>
        </w:rPr>
        <w:t>primijenjivati</w:t>
      </w:r>
      <w:r>
        <w:rPr>
          <w:szCs w:val="22"/>
        </w:rPr>
        <w:t xml:space="preserve"> </w:t>
      </w:r>
      <w:r>
        <w:rPr>
          <w:szCs w:val="22"/>
          <w:lang w:val="en-AU"/>
        </w:rPr>
        <w:t>iste</w:t>
      </w:r>
      <w:r>
        <w:rPr>
          <w:szCs w:val="22"/>
        </w:rPr>
        <w:t xml:space="preserve"> </w:t>
      </w:r>
      <w:r>
        <w:rPr>
          <w:szCs w:val="22"/>
          <w:lang w:val="en-AU"/>
        </w:rPr>
        <w:t>mjere</w:t>
      </w:r>
      <w:r>
        <w:rPr>
          <w:szCs w:val="22"/>
        </w:rPr>
        <w:t xml:space="preserve"> </w:t>
      </w:r>
      <w:r>
        <w:rPr>
          <w:szCs w:val="22"/>
          <w:lang w:val="en-AU"/>
        </w:rPr>
        <w:t>i</w:t>
      </w:r>
      <w:r>
        <w:rPr>
          <w:szCs w:val="22"/>
        </w:rPr>
        <w:t xml:space="preserve"> </w:t>
      </w:r>
      <w:r>
        <w:rPr>
          <w:szCs w:val="22"/>
          <w:lang w:val="en-AU"/>
        </w:rPr>
        <w:t>propisane</w:t>
      </w:r>
      <w:r>
        <w:rPr>
          <w:szCs w:val="22"/>
        </w:rPr>
        <w:t xml:space="preserve"> </w:t>
      </w:r>
      <w:r>
        <w:rPr>
          <w:szCs w:val="22"/>
          <w:lang w:val="en-AU"/>
        </w:rPr>
        <w:t>postupke</w:t>
      </w:r>
      <w:r>
        <w:rPr>
          <w:szCs w:val="22"/>
        </w:rPr>
        <w:t xml:space="preserve"> </w:t>
      </w:r>
      <w:r>
        <w:rPr>
          <w:szCs w:val="22"/>
          <w:lang w:val="en-AU"/>
        </w:rPr>
        <w:t>kao</w:t>
      </w:r>
      <w:r>
        <w:rPr>
          <w:szCs w:val="22"/>
        </w:rPr>
        <w:t xml:space="preserve"> </w:t>
      </w:r>
      <w:r>
        <w:rPr>
          <w:szCs w:val="22"/>
          <w:lang w:val="en-AU"/>
        </w:rPr>
        <w:t>i</w:t>
      </w:r>
      <w:r>
        <w:rPr>
          <w:szCs w:val="22"/>
        </w:rPr>
        <w:t xml:space="preserve"> </w:t>
      </w:r>
      <w:r>
        <w:rPr>
          <w:szCs w:val="22"/>
          <w:lang w:val="en-AU"/>
        </w:rPr>
        <w:t>za</w:t>
      </w:r>
      <w:r>
        <w:rPr>
          <w:szCs w:val="22"/>
        </w:rPr>
        <w:t xml:space="preserve"> trajno </w:t>
      </w:r>
      <w:r>
        <w:rPr>
          <w:szCs w:val="22"/>
          <w:lang w:val="en-AU"/>
        </w:rPr>
        <w:t>za</w:t>
      </w:r>
      <w:r>
        <w:rPr>
          <w:szCs w:val="22"/>
        </w:rPr>
        <w:t>š</w:t>
      </w:r>
      <w:r>
        <w:rPr>
          <w:szCs w:val="22"/>
          <w:lang w:val="en-AU"/>
        </w:rPr>
        <w:t>ti</w:t>
      </w:r>
      <w:r>
        <w:rPr>
          <w:szCs w:val="22"/>
        </w:rPr>
        <w:t>ć</w:t>
      </w:r>
      <w:r>
        <w:rPr>
          <w:szCs w:val="22"/>
          <w:lang w:val="en-AU"/>
        </w:rPr>
        <w:t>ene</w:t>
      </w:r>
      <w:r>
        <w:rPr>
          <w:szCs w:val="22"/>
        </w:rPr>
        <w:t xml:space="preserve"> </w:t>
      </w:r>
      <w:r>
        <w:rPr>
          <w:szCs w:val="22"/>
          <w:lang w:val="en-AU"/>
        </w:rPr>
        <w:t>zgrade</w:t>
      </w:r>
      <w:r>
        <w:rPr>
          <w:szCs w:val="22"/>
        </w:rPr>
        <w:t>.</w:t>
      </w:r>
    </w:p>
    <w:p w:rsidR="00012172" w:rsidRDefault="00012172">
      <w:pPr>
        <w:tabs>
          <w:tab w:val="left" w:pos="360"/>
        </w:tabs>
        <w:ind w:right="-667"/>
        <w:jc w:val="both"/>
        <w:rPr>
          <w:szCs w:val="22"/>
        </w:rPr>
      </w:pPr>
    </w:p>
    <w:p w:rsidR="00012172" w:rsidRDefault="00012172">
      <w:pPr>
        <w:tabs>
          <w:tab w:val="left" w:pos="360"/>
        </w:tabs>
        <w:ind w:right="42"/>
        <w:jc w:val="both"/>
        <w:rPr>
          <w:szCs w:val="22"/>
        </w:rPr>
      </w:pPr>
      <w:r>
        <w:rPr>
          <w:szCs w:val="22"/>
        </w:rPr>
        <w:t xml:space="preserve">(2) </w:t>
      </w:r>
      <w:r>
        <w:rPr>
          <w:szCs w:val="22"/>
          <w:lang w:val="en-AU"/>
        </w:rPr>
        <w:t>Sastavni</w:t>
      </w:r>
      <w:r>
        <w:rPr>
          <w:szCs w:val="22"/>
        </w:rPr>
        <w:t xml:space="preserve"> </w:t>
      </w:r>
      <w:r>
        <w:rPr>
          <w:szCs w:val="22"/>
          <w:lang w:val="en-AU"/>
        </w:rPr>
        <w:t>dio</w:t>
      </w:r>
      <w:r>
        <w:rPr>
          <w:szCs w:val="22"/>
        </w:rPr>
        <w:t xml:space="preserve"> </w:t>
      </w:r>
      <w:r>
        <w:rPr>
          <w:szCs w:val="22"/>
          <w:lang w:val="en-AU"/>
        </w:rPr>
        <w:t>odredbi</w:t>
      </w:r>
      <w:r>
        <w:rPr>
          <w:szCs w:val="22"/>
        </w:rPr>
        <w:t xml:space="preserve"> </w:t>
      </w:r>
      <w:r>
        <w:rPr>
          <w:szCs w:val="22"/>
          <w:lang w:val="en-AU"/>
        </w:rPr>
        <w:t>za</w:t>
      </w:r>
      <w:r>
        <w:rPr>
          <w:szCs w:val="22"/>
        </w:rPr>
        <w:t xml:space="preserve"> </w:t>
      </w:r>
      <w:r>
        <w:rPr>
          <w:szCs w:val="22"/>
          <w:lang w:val="en-AU"/>
        </w:rPr>
        <w:t>provo</w:t>
      </w:r>
      <w:r>
        <w:rPr>
          <w:szCs w:val="22"/>
        </w:rPr>
        <w:t>đ</w:t>
      </w:r>
      <w:r>
        <w:rPr>
          <w:szCs w:val="22"/>
          <w:lang w:val="en-AU"/>
        </w:rPr>
        <w:t>enje</w:t>
      </w:r>
      <w:r>
        <w:rPr>
          <w:szCs w:val="22"/>
        </w:rPr>
        <w:t xml:space="preserve"> </w:t>
      </w:r>
      <w:r>
        <w:rPr>
          <w:szCs w:val="22"/>
          <w:lang w:val="en-AU"/>
        </w:rPr>
        <w:t>je</w:t>
      </w:r>
      <w:r>
        <w:rPr>
          <w:szCs w:val="22"/>
        </w:rPr>
        <w:t xml:space="preserve"> </w:t>
      </w:r>
      <w:r>
        <w:rPr>
          <w:szCs w:val="22"/>
          <w:lang w:val="en-AU"/>
        </w:rPr>
        <w:t>Popis</w:t>
      </w:r>
      <w:r>
        <w:rPr>
          <w:szCs w:val="22"/>
        </w:rPr>
        <w:t xml:space="preserve"> </w:t>
      </w:r>
      <w:r>
        <w:rPr>
          <w:szCs w:val="22"/>
          <w:lang w:val="en-AU"/>
        </w:rPr>
        <w:t>kulturnih</w:t>
      </w:r>
      <w:r>
        <w:rPr>
          <w:szCs w:val="22"/>
        </w:rPr>
        <w:t xml:space="preserve"> </w:t>
      </w:r>
      <w:r>
        <w:rPr>
          <w:szCs w:val="22"/>
          <w:lang w:val="en-AU"/>
        </w:rPr>
        <w:t>dobara</w:t>
      </w:r>
      <w:r>
        <w:rPr>
          <w:szCs w:val="22"/>
        </w:rPr>
        <w:t xml:space="preserve"> (</w:t>
      </w:r>
      <w:r>
        <w:rPr>
          <w:szCs w:val="22"/>
          <w:lang w:val="en-AU"/>
        </w:rPr>
        <w:t>poglavlje</w:t>
      </w:r>
      <w:r>
        <w:rPr>
          <w:szCs w:val="22"/>
        </w:rPr>
        <w:t xml:space="preserve"> </w:t>
      </w:r>
      <w:r>
        <w:t>3.4. Uvjeti korištenja, uređenja i zaštite prostora)</w:t>
      </w:r>
      <w:r>
        <w:rPr>
          <w:szCs w:val="22"/>
        </w:rPr>
        <w:t xml:space="preserve">, </w:t>
      </w:r>
      <w:r>
        <w:rPr>
          <w:szCs w:val="22"/>
          <w:lang w:val="en-AU"/>
        </w:rPr>
        <w:t>a</w:t>
      </w:r>
      <w:r>
        <w:rPr>
          <w:szCs w:val="22"/>
        </w:rPr>
        <w:t xml:space="preserve"> </w:t>
      </w:r>
      <w:r>
        <w:rPr>
          <w:szCs w:val="22"/>
          <w:lang w:val="en-AU"/>
        </w:rPr>
        <w:t>odnosi</w:t>
      </w:r>
      <w:r>
        <w:rPr>
          <w:szCs w:val="22"/>
        </w:rPr>
        <w:t xml:space="preserve"> </w:t>
      </w:r>
      <w:r>
        <w:rPr>
          <w:szCs w:val="22"/>
          <w:lang w:val="en-AU"/>
        </w:rPr>
        <w:t>se</w:t>
      </w:r>
      <w:r>
        <w:rPr>
          <w:szCs w:val="22"/>
        </w:rPr>
        <w:t xml:space="preserve"> </w:t>
      </w:r>
      <w:r>
        <w:rPr>
          <w:szCs w:val="22"/>
          <w:lang w:val="en-AU"/>
        </w:rPr>
        <w:t>na</w:t>
      </w:r>
      <w:r>
        <w:rPr>
          <w:szCs w:val="22"/>
        </w:rPr>
        <w:t xml:space="preserve"> </w:t>
      </w:r>
      <w:r>
        <w:rPr>
          <w:szCs w:val="22"/>
          <w:lang w:val="en-AU"/>
        </w:rPr>
        <w:t>sve</w:t>
      </w:r>
      <w:r>
        <w:rPr>
          <w:szCs w:val="22"/>
        </w:rPr>
        <w:t xml:space="preserve"> </w:t>
      </w:r>
      <w:r>
        <w:rPr>
          <w:szCs w:val="22"/>
          <w:lang w:val="en-AU"/>
        </w:rPr>
        <w:t>gra</w:t>
      </w:r>
      <w:r>
        <w:rPr>
          <w:szCs w:val="22"/>
        </w:rPr>
        <w:t>đ</w:t>
      </w:r>
      <w:r>
        <w:rPr>
          <w:szCs w:val="22"/>
          <w:lang w:val="en-AU"/>
        </w:rPr>
        <w:t>evine</w:t>
      </w:r>
      <w:r>
        <w:rPr>
          <w:szCs w:val="22"/>
        </w:rPr>
        <w:t xml:space="preserve">, </w:t>
      </w:r>
      <w:r>
        <w:rPr>
          <w:szCs w:val="22"/>
          <w:lang w:val="en-AU"/>
        </w:rPr>
        <w:t>bez</w:t>
      </w:r>
      <w:r>
        <w:rPr>
          <w:szCs w:val="22"/>
        </w:rPr>
        <w:t xml:space="preserve"> </w:t>
      </w:r>
      <w:r>
        <w:rPr>
          <w:szCs w:val="22"/>
          <w:lang w:val="en-AU"/>
        </w:rPr>
        <w:t>obzira</w:t>
      </w:r>
      <w:r>
        <w:rPr>
          <w:szCs w:val="22"/>
        </w:rPr>
        <w:t xml:space="preserve"> </w:t>
      </w:r>
      <w:r>
        <w:rPr>
          <w:szCs w:val="22"/>
          <w:lang w:val="en-AU"/>
        </w:rPr>
        <w:t>na</w:t>
      </w:r>
      <w:r>
        <w:rPr>
          <w:szCs w:val="22"/>
        </w:rPr>
        <w:t xml:space="preserve"> </w:t>
      </w:r>
      <w:r>
        <w:rPr>
          <w:szCs w:val="22"/>
          <w:lang w:val="en-AU"/>
        </w:rPr>
        <w:t>njihov</w:t>
      </w:r>
      <w:r>
        <w:rPr>
          <w:szCs w:val="22"/>
        </w:rPr>
        <w:t xml:space="preserve"> </w:t>
      </w:r>
      <w:r>
        <w:rPr>
          <w:szCs w:val="22"/>
          <w:lang w:val="en-AU"/>
        </w:rPr>
        <w:t>status</w:t>
      </w:r>
      <w:r>
        <w:rPr>
          <w:szCs w:val="22"/>
        </w:rPr>
        <w:t xml:space="preserve"> </w:t>
      </w:r>
      <w:r>
        <w:rPr>
          <w:szCs w:val="22"/>
          <w:lang w:val="en-AU"/>
        </w:rPr>
        <w:t>za</w:t>
      </w:r>
      <w:r>
        <w:rPr>
          <w:szCs w:val="22"/>
        </w:rPr>
        <w:t>š</w:t>
      </w:r>
      <w:r>
        <w:rPr>
          <w:szCs w:val="22"/>
          <w:lang w:val="en-AU"/>
        </w:rPr>
        <w:t>tite</w:t>
      </w:r>
      <w:r>
        <w:rPr>
          <w:szCs w:val="22"/>
        </w:rPr>
        <w:t xml:space="preserve"> (</w:t>
      </w:r>
      <w:r>
        <w:rPr>
          <w:szCs w:val="22"/>
          <w:lang w:val="en-AU"/>
        </w:rPr>
        <w:t>R</w:t>
      </w:r>
      <w:r>
        <w:rPr>
          <w:szCs w:val="22"/>
        </w:rPr>
        <w:t xml:space="preserve">, </w:t>
      </w:r>
      <w:r>
        <w:rPr>
          <w:szCs w:val="22"/>
          <w:lang w:val="en-AU"/>
        </w:rPr>
        <w:t>PR</w:t>
      </w:r>
      <w:r>
        <w:rPr>
          <w:szCs w:val="22"/>
        </w:rPr>
        <w:t>)</w:t>
      </w:r>
      <w:r>
        <w:t>.</w:t>
      </w:r>
    </w:p>
    <w:p w:rsidR="00012172" w:rsidRDefault="00012172">
      <w:pPr>
        <w:jc w:val="both"/>
        <w:rPr>
          <w:rFonts w:ascii="Arial" w:hAnsi="Arial"/>
        </w:rPr>
      </w:pPr>
    </w:p>
    <w:p w:rsidR="00012172" w:rsidRDefault="00012172">
      <w:pPr>
        <w:jc w:val="both"/>
        <w:rPr>
          <w:rFonts w:ascii="Arial" w:hAnsi="Arial"/>
        </w:rPr>
      </w:pPr>
    </w:p>
    <w:p w:rsidR="00012172" w:rsidRPr="00F237BF" w:rsidRDefault="00012172">
      <w:pPr>
        <w:jc w:val="center"/>
        <w:rPr>
          <w:szCs w:val="22"/>
        </w:rPr>
      </w:pPr>
      <w:r w:rsidRPr="00F237BF">
        <w:rPr>
          <w:szCs w:val="22"/>
        </w:rPr>
        <w:t>Članak 10</w:t>
      </w:r>
      <w:r w:rsidR="00F237BF">
        <w:rPr>
          <w:szCs w:val="22"/>
        </w:rPr>
        <w:t>3</w:t>
      </w:r>
    </w:p>
    <w:p w:rsidR="00012172" w:rsidRDefault="00012172">
      <w:pPr>
        <w:jc w:val="both"/>
      </w:pPr>
      <w:r>
        <w:rPr>
          <w:szCs w:val="22"/>
        </w:rPr>
        <w:t xml:space="preserve"> (1) </w:t>
      </w:r>
      <w:r>
        <w:t xml:space="preserve">Zaštita kulturno-povijesnih, ambijentalnih i drugih prostornih cjelina  određena je zonom zaštite, dok je za pojedinačna kulturna dobra nivo zaštite vezan za provedenu kategorizaciju istih. Mjerama zaštite utvrđuju se režimi i mogući oblici interveniranja unutar zona zaštićenih prostornih cjelina ili na pojedinačnim kulturnim dobrima. Za sve intervencije na pojedinačno nabrojanim prostornim cjelinama i pojedinačnim kulturnim dobrima u popisu kulturne baštine, potrebno je prema navedenim zakonima kod nadležne ustanove za zaštitu kulturne baštine ishoditi propisane suglasnosti, odnosno posebne uvjete ili prethodnu dozvolu unutar obvezatnih upravnih postupaka. </w:t>
      </w:r>
    </w:p>
    <w:p w:rsidR="00012172" w:rsidRDefault="00012172">
      <w:pPr>
        <w:jc w:val="both"/>
        <w:rPr>
          <w:szCs w:val="22"/>
        </w:rPr>
      </w:pPr>
    </w:p>
    <w:p w:rsidR="00012172" w:rsidRDefault="00012172">
      <w:pPr>
        <w:jc w:val="center"/>
        <w:rPr>
          <w:szCs w:val="22"/>
        </w:rPr>
      </w:pPr>
    </w:p>
    <w:p w:rsidR="00012172" w:rsidRDefault="00012172">
      <w:pPr>
        <w:jc w:val="center"/>
        <w:rPr>
          <w:szCs w:val="22"/>
        </w:rPr>
      </w:pPr>
      <w:r>
        <w:rPr>
          <w:szCs w:val="22"/>
        </w:rPr>
        <w:t>Č</w:t>
      </w:r>
      <w:r w:rsidRPr="00F237BF">
        <w:rPr>
          <w:szCs w:val="22"/>
        </w:rPr>
        <w:t>lanak</w:t>
      </w:r>
      <w:r w:rsidR="00F237BF">
        <w:rPr>
          <w:szCs w:val="22"/>
        </w:rPr>
        <w:t xml:space="preserve"> 104</w:t>
      </w:r>
      <w:r>
        <w:rPr>
          <w:szCs w:val="22"/>
        </w:rPr>
        <w:t>.</w:t>
      </w:r>
    </w:p>
    <w:p w:rsidR="00012172" w:rsidRDefault="00012172">
      <w:pPr>
        <w:jc w:val="both"/>
      </w:pPr>
      <w:r>
        <w:rPr>
          <w:szCs w:val="22"/>
        </w:rPr>
        <w:t xml:space="preserve">(1) </w:t>
      </w:r>
      <w:r>
        <w:t xml:space="preserve">Na kartografskom prilogu 1:25000 označene su sve kulturno-povijesne cjeline i pojedinačne građevine koje u skladu sa Zakonom o zaštiti spomenika imaju svojstvo kulturnog dobra i podliježu ovim mjerama. Na grafičkim prilozima u mjerilu 1:5000 označene su zone zaštite prostornih cjelina i pojedinačnih kulturnih dobara čija zona zaštite izlazi izvan pripadajućih im parcela. </w:t>
      </w:r>
    </w:p>
    <w:p w:rsidR="00012172" w:rsidRDefault="00012172">
      <w:pPr>
        <w:jc w:val="both"/>
        <w:rPr>
          <w:rFonts w:ascii="Arial" w:hAnsi="Arial"/>
          <w:sz w:val="22"/>
        </w:rPr>
      </w:pPr>
    </w:p>
    <w:p w:rsidR="00012172" w:rsidRDefault="00012172">
      <w:pPr>
        <w:jc w:val="center"/>
        <w:rPr>
          <w:rFonts w:ascii="Arial" w:hAnsi="Arial"/>
          <w:sz w:val="22"/>
          <w:szCs w:val="22"/>
        </w:rPr>
      </w:pPr>
    </w:p>
    <w:p w:rsidR="00012172" w:rsidRDefault="00012172">
      <w:pPr>
        <w:jc w:val="center"/>
        <w:rPr>
          <w:szCs w:val="22"/>
        </w:rPr>
      </w:pPr>
      <w:r>
        <w:rPr>
          <w:szCs w:val="22"/>
        </w:rPr>
        <w:t>Č</w:t>
      </w:r>
      <w:r>
        <w:rPr>
          <w:szCs w:val="22"/>
          <w:lang w:val="de-DE"/>
        </w:rPr>
        <w:t>lanak</w:t>
      </w:r>
      <w:r w:rsidR="00F237BF">
        <w:rPr>
          <w:szCs w:val="22"/>
        </w:rPr>
        <w:t xml:space="preserve"> 105</w:t>
      </w:r>
      <w:r>
        <w:rPr>
          <w:szCs w:val="22"/>
        </w:rPr>
        <w:t>.</w:t>
      </w:r>
    </w:p>
    <w:p w:rsidR="00012172" w:rsidRDefault="00012172">
      <w:pPr>
        <w:jc w:val="both"/>
      </w:pPr>
      <w:r>
        <w:t>Pojedinačna kulturna dobra</w:t>
      </w:r>
    </w:p>
    <w:p w:rsidR="00012172" w:rsidRDefault="00012172">
      <w:pPr>
        <w:jc w:val="both"/>
        <w:rPr>
          <w:b/>
        </w:rPr>
      </w:pPr>
      <w:r>
        <w:rPr>
          <w:szCs w:val="22"/>
        </w:rPr>
        <w:t xml:space="preserve">(1) </w:t>
      </w:r>
      <w:r>
        <w:t>Označene su na kartografskom prilogu u mjerilu 1:25</w:t>
      </w:r>
      <w:r w:rsidR="00963862">
        <w:t>.</w:t>
      </w:r>
      <w:r>
        <w:t>000 kao i na pojedinačnim prikazima u mjerilu 1:5000, sa pripadajućim im okruženjem</w:t>
      </w:r>
      <w:r>
        <w:rPr>
          <w:b/>
        </w:rPr>
        <w:t xml:space="preserve">. </w:t>
      </w:r>
    </w:p>
    <w:p w:rsidR="00012172" w:rsidRDefault="00012172">
      <w:pPr>
        <w:jc w:val="both"/>
      </w:pPr>
      <w:r>
        <w:t>Za sve radove na održavanju samih građevina ili bilo kakve druge građevinske radove na samim građevinama ili u njihovom bližem</w:t>
      </w:r>
      <w:r w:rsidR="00963862">
        <w:t xml:space="preserve"> (zona zaštite)</w:t>
      </w:r>
      <w:r>
        <w:t xml:space="preserve"> ili daljem okruženju </w:t>
      </w:r>
      <w:r w:rsidR="00963862">
        <w:t xml:space="preserve">(zona ekspozicije) </w:t>
      </w:r>
      <w:r>
        <w:t>ovisno o njihovoj poziciji potrebno je ishoditi prethodnu dozvolu Ministarstva kulture, Uprave za zaštitu kulturne baštine. Uređenje okoliša provoditi prema posebnim uvjetima navedene ustanove. Građevna dozvola se ne može izdati bez zadovoljavanja posebnih uvjeta.</w:t>
      </w:r>
    </w:p>
    <w:p w:rsidR="00012172" w:rsidRDefault="00012172">
      <w:pPr>
        <w:tabs>
          <w:tab w:val="left" w:pos="399"/>
        </w:tabs>
        <w:ind w:left="399" w:right="42" w:hanging="399"/>
        <w:rPr>
          <w:rFonts w:ascii="Arial" w:hAnsi="Arial"/>
          <w:sz w:val="22"/>
          <w:szCs w:val="22"/>
        </w:rPr>
      </w:pPr>
    </w:p>
    <w:p w:rsidR="00012172" w:rsidRDefault="00012172">
      <w:pPr>
        <w:tabs>
          <w:tab w:val="left" w:pos="399"/>
        </w:tabs>
        <w:ind w:left="399" w:right="42" w:hanging="399"/>
        <w:rPr>
          <w:rFonts w:ascii="Arial" w:hAnsi="Arial"/>
          <w:sz w:val="22"/>
          <w:szCs w:val="22"/>
        </w:rPr>
      </w:pPr>
    </w:p>
    <w:p w:rsidR="00012172" w:rsidRDefault="00012172">
      <w:pPr>
        <w:jc w:val="center"/>
        <w:rPr>
          <w:szCs w:val="22"/>
        </w:rPr>
      </w:pPr>
      <w:r>
        <w:rPr>
          <w:szCs w:val="22"/>
        </w:rPr>
        <w:t>Č</w:t>
      </w:r>
      <w:r>
        <w:rPr>
          <w:szCs w:val="22"/>
          <w:lang w:val="de-DE"/>
        </w:rPr>
        <w:t>lanak</w:t>
      </w:r>
      <w:r w:rsidR="00F237BF">
        <w:rPr>
          <w:szCs w:val="22"/>
        </w:rPr>
        <w:t xml:space="preserve"> 106</w:t>
      </w:r>
      <w:r>
        <w:rPr>
          <w:szCs w:val="22"/>
        </w:rPr>
        <w:t>.</w:t>
      </w:r>
    </w:p>
    <w:p w:rsidR="00012172" w:rsidRDefault="00012172">
      <w:pPr>
        <w:tabs>
          <w:tab w:val="left" w:pos="399"/>
        </w:tabs>
        <w:ind w:left="399" w:right="42" w:hanging="399"/>
        <w:jc w:val="both"/>
        <w:rPr>
          <w:szCs w:val="22"/>
        </w:rPr>
      </w:pPr>
      <w:r>
        <w:rPr>
          <w:szCs w:val="22"/>
          <w:lang w:val="de-DE"/>
        </w:rPr>
        <w:t>Arheolo</w:t>
      </w:r>
      <w:r>
        <w:rPr>
          <w:szCs w:val="22"/>
        </w:rPr>
        <w:t>š</w:t>
      </w:r>
      <w:r>
        <w:rPr>
          <w:szCs w:val="22"/>
          <w:lang w:val="de-DE"/>
        </w:rPr>
        <w:t>ki</w:t>
      </w:r>
      <w:r>
        <w:rPr>
          <w:szCs w:val="22"/>
        </w:rPr>
        <w:t xml:space="preserve"> </w:t>
      </w:r>
      <w:r>
        <w:rPr>
          <w:szCs w:val="22"/>
          <w:lang w:val="de-DE"/>
        </w:rPr>
        <w:t>lokaliteti</w:t>
      </w:r>
    </w:p>
    <w:p w:rsidR="00012172" w:rsidRDefault="00012172">
      <w:pPr>
        <w:jc w:val="both"/>
      </w:pPr>
      <w:r>
        <w:rPr>
          <w:szCs w:val="22"/>
        </w:rPr>
        <w:t xml:space="preserve">(1) </w:t>
      </w:r>
      <w:r>
        <w:t>Na karti Razmještaj kulturne baštine 1:25000 locirani su istraženi i potencijalni arheološki lokaliteti, uglavnom približno, stoga je potrebno obaviti detaljno dokumentiranje ovih lokaliteta na temelju daljih istražnih radova i rekognosciranja, a na već rekognisciranim područjima prije bilo kakvih zahvata treba provesti arheološke istražne radove radi utvrđivanja uvjeta za dalje postupanje. Osobito je važno provesti prioritetna istraživanja na područjima koja su namijenjena infrastrukturnim sustavima. U postupku ishođenja lokacijske dozvole treba predvidjeti obavljanje arheoloških istraživanja i sprovesti ih do kraja. Radi identifikacije potrebno je obaviti detaljno kartiranje i dokumentiranje na osnovu provedenih istražnih radova i rekognosciranja.</w:t>
      </w:r>
    </w:p>
    <w:p w:rsidR="00012172" w:rsidRDefault="00012172">
      <w:pPr>
        <w:jc w:val="both"/>
        <w:rPr>
          <w:rFonts w:ascii="Arial" w:hAnsi="Arial"/>
          <w:sz w:val="22"/>
        </w:rPr>
      </w:pPr>
    </w:p>
    <w:p w:rsidR="00012172" w:rsidRDefault="00012172">
      <w:pPr>
        <w:jc w:val="both"/>
      </w:pPr>
      <w:r>
        <w:t xml:space="preserve">(2) S obzirom na velik broj neistraženih lokaliteta smatraju se ugroženom kategorijom kulturnih dobara. Ukoliko se prilikom izvođenja bilo kakvih radova u zemlji naiđe na predmete ili nalaze koji bi mogli imati arheološko značenje potrebno je radove odmah obustaviti i o tome izvijestiti najbliži muzej ili Upravu za zaštitu kulturne baštine. </w:t>
      </w:r>
    </w:p>
    <w:p w:rsidR="00012172" w:rsidRDefault="00012172">
      <w:pPr>
        <w:jc w:val="both"/>
        <w:rPr>
          <w:rFonts w:ascii="Arial" w:hAnsi="Arial"/>
          <w:sz w:val="22"/>
        </w:rPr>
      </w:pPr>
    </w:p>
    <w:p w:rsidR="00012172" w:rsidRDefault="00012172">
      <w:pPr>
        <w:jc w:val="both"/>
        <w:rPr>
          <w:rFonts w:ascii="Arial" w:hAnsi="Arial"/>
          <w:sz w:val="22"/>
        </w:rPr>
      </w:pPr>
    </w:p>
    <w:p w:rsidR="00012172" w:rsidRDefault="00012172">
      <w:pPr>
        <w:pStyle w:val="Naslov1"/>
        <w:rPr>
          <w:rFonts w:ascii="Times New Roman" w:hAnsi="Times New Roman" w:cs="Times New Roman"/>
        </w:rPr>
      </w:pPr>
      <w:bookmarkStart w:id="84" w:name="_Toc49756031"/>
      <w:bookmarkStart w:id="85" w:name="_Toc95140621"/>
      <w:r>
        <w:rPr>
          <w:rFonts w:ascii="Times New Roman" w:hAnsi="Times New Roman" w:cs="Times New Roman"/>
        </w:rPr>
        <w:t>7. Postupanje s otpadom</w:t>
      </w:r>
      <w:bookmarkEnd w:id="84"/>
      <w:bookmarkEnd w:id="85"/>
      <w:r>
        <w:rPr>
          <w:rFonts w:ascii="Times New Roman" w:hAnsi="Times New Roman" w:cs="Times New Roman"/>
        </w:rPr>
        <w:t xml:space="preserve"> </w:t>
      </w:r>
    </w:p>
    <w:p w:rsidR="00012172" w:rsidRDefault="00012172"/>
    <w:p w:rsidR="00012172" w:rsidRDefault="00012172">
      <w:pPr>
        <w:jc w:val="center"/>
        <w:rPr>
          <w:szCs w:val="22"/>
        </w:rPr>
      </w:pPr>
      <w:r>
        <w:rPr>
          <w:szCs w:val="22"/>
        </w:rPr>
        <w:t>Č</w:t>
      </w:r>
      <w:r>
        <w:rPr>
          <w:szCs w:val="22"/>
          <w:lang w:val="en-AU"/>
        </w:rPr>
        <w:t>lanak</w:t>
      </w:r>
      <w:r w:rsidR="004B0466">
        <w:rPr>
          <w:szCs w:val="22"/>
        </w:rPr>
        <w:t xml:space="preserve"> 10</w:t>
      </w:r>
      <w:r w:rsidR="00F237BF">
        <w:rPr>
          <w:szCs w:val="22"/>
        </w:rPr>
        <w:t>7</w:t>
      </w:r>
      <w:r>
        <w:rPr>
          <w:szCs w:val="22"/>
        </w:rPr>
        <w:t>.</w:t>
      </w:r>
    </w:p>
    <w:p w:rsidR="00012172" w:rsidRDefault="00012172">
      <w:pPr>
        <w:jc w:val="both"/>
        <w:rPr>
          <w:szCs w:val="22"/>
        </w:rPr>
      </w:pPr>
      <w:r>
        <w:rPr>
          <w:szCs w:val="22"/>
        </w:rPr>
        <w:t>(1) Na području općine  Gornja Rijeka nema odlagališta otpada.</w:t>
      </w:r>
    </w:p>
    <w:p w:rsidR="00012172" w:rsidRDefault="00012172">
      <w:pPr>
        <w:jc w:val="both"/>
        <w:rPr>
          <w:szCs w:val="22"/>
        </w:rPr>
      </w:pPr>
    </w:p>
    <w:p w:rsidR="00012172" w:rsidRDefault="00012172">
      <w:pPr>
        <w:pStyle w:val="Tijeloteksta3"/>
        <w:jc w:val="both"/>
        <w:rPr>
          <w:sz w:val="24"/>
        </w:rPr>
      </w:pPr>
      <w:r>
        <w:rPr>
          <w:sz w:val="24"/>
          <w:szCs w:val="22"/>
        </w:rPr>
        <w:t xml:space="preserve">(2) </w:t>
      </w:r>
      <w:r>
        <w:rPr>
          <w:sz w:val="24"/>
        </w:rPr>
        <w:t>U svibnju 2003. godine osnovana je ''</w:t>
      </w:r>
      <w:r>
        <w:rPr>
          <w:bCs/>
          <w:sz w:val="24"/>
        </w:rPr>
        <w:t>Javna ustanova za odlaganje komunalnog i neopasnog tehnološkog otpada sjeverozapadne Hrvatske''</w:t>
      </w:r>
      <w:r>
        <w:rPr>
          <w:b/>
          <w:sz w:val="24"/>
        </w:rPr>
        <w:t xml:space="preserve"> </w:t>
      </w:r>
      <w:r>
        <w:rPr>
          <w:sz w:val="24"/>
        </w:rPr>
        <w:t xml:space="preserve">(skraćeno: Odlagalište otpada sjeverozapadne Hrvatske) sa sjedištem u Koprivnici. Djelatnost ustanove je razvoj i realizacija projekta trajnog odlaganja komunalnog i neopasnog tehnološkog otpada na odlagalište, te saniranje i zatvaranje odlagališta temeljem posebnih propisa. Osnivači su: Koprivničko-križevačka županija, Krapinsko-zagorska županija, Međimurska i Varaždinska županija te gradovi Varaždin, Ivanec, Lepoglava, Ludbreg, Novi Marof, Varaždinske Toplice, Koprivnica, Đurđevac, Križevci, Klanjec, Zlatar, Pregrada, Čakovec i Mursko Središće. Funkcioniranje te ustanove pretpostavlja formiranje jednog ili dva Centra gospodarenja otpadom za sve četiri županije. </w:t>
      </w:r>
    </w:p>
    <w:p w:rsidR="00012172" w:rsidRDefault="00012172">
      <w:pPr>
        <w:jc w:val="both"/>
        <w:rPr>
          <w:rFonts w:ascii="Arial" w:hAnsi="Arial" w:cs="Arial"/>
          <w:sz w:val="22"/>
          <w:szCs w:val="22"/>
        </w:rPr>
      </w:pPr>
    </w:p>
    <w:p w:rsidR="00012172" w:rsidRDefault="00012172">
      <w:pPr>
        <w:jc w:val="both"/>
        <w:rPr>
          <w:szCs w:val="22"/>
        </w:rPr>
      </w:pPr>
      <w:r>
        <w:rPr>
          <w:szCs w:val="22"/>
        </w:rPr>
        <w:t xml:space="preserve"> (3) Na području općine je komunalnim mjerama potrebno osigurati selektivno skupljanje otpada. Za smještaj kontejnera za komunalni otpad, te sekundarne sirovine (staklo, papir i slično), potrebno je osigurati odgovarajući prostor kojime se neće ometati kolni i pješački promet, te koji će po mogućnosti biti ograđen tamponom zelenila, ogradom ili sl.</w:t>
      </w:r>
    </w:p>
    <w:p w:rsidR="00012172" w:rsidRDefault="00012172">
      <w:pPr>
        <w:jc w:val="both"/>
        <w:rPr>
          <w:szCs w:val="22"/>
        </w:rPr>
      </w:pPr>
    </w:p>
    <w:p w:rsidR="00012172" w:rsidRDefault="00012172">
      <w:pPr>
        <w:jc w:val="both"/>
        <w:rPr>
          <w:szCs w:val="22"/>
        </w:rPr>
      </w:pPr>
      <w:r>
        <w:rPr>
          <w:szCs w:val="22"/>
        </w:rPr>
        <w:t xml:space="preserve">(4) Ovim Planom je u naselju Donja Rijeka, zaseok Jelaki, predviđena lokacija građevine namijenjene skladištenju, obradi/ili odlaganju otpada. Spomenuta građevina može biti i reciklažno dvorište, sabiralište starih gume, sabiralište animalnog otpada, kompostana ili neke druge građevine namijenjene obradi otpada (komunalnog, neopasnog tehnološkog). </w:t>
      </w:r>
    </w:p>
    <w:p w:rsidR="00012172" w:rsidRDefault="00012172">
      <w:pPr>
        <w:jc w:val="both"/>
        <w:rPr>
          <w:szCs w:val="22"/>
        </w:rPr>
      </w:pPr>
    </w:p>
    <w:p w:rsidR="00012172" w:rsidRDefault="00012172">
      <w:pPr>
        <w:jc w:val="both"/>
        <w:rPr>
          <w:szCs w:val="22"/>
        </w:rPr>
      </w:pPr>
      <w:r>
        <w:rPr>
          <w:szCs w:val="22"/>
        </w:rPr>
        <w:t>(5) Za komunalni otpad biljnog porijekla moguće je odrediti zajedničko kompostište unutar poljoprivredno-gospodarskih zona ili na građevnim česticama izdvojenih poljoprivrednih gospodarstava, prema uvjetima posebnih propisa.</w:t>
      </w:r>
    </w:p>
    <w:p w:rsidR="00012172" w:rsidRDefault="00012172">
      <w:pPr>
        <w:jc w:val="both"/>
        <w:rPr>
          <w:szCs w:val="22"/>
        </w:rPr>
      </w:pPr>
      <w:r>
        <w:rPr>
          <w:szCs w:val="22"/>
        </w:rPr>
        <w:t>Komunalni otpad biljnog porijekla moguće je individualno kompostirati na dvorištima u stambenim zonama naselja, na način da kompostište bude smješteno u zoni gradnje pomoćnih građevina s izvorom zagađenja.</w:t>
      </w:r>
    </w:p>
    <w:p w:rsidR="00012172" w:rsidRDefault="00012172">
      <w:pPr>
        <w:jc w:val="both"/>
        <w:rPr>
          <w:szCs w:val="22"/>
        </w:rPr>
      </w:pPr>
    </w:p>
    <w:p w:rsidR="00012172" w:rsidRDefault="00012172">
      <w:pPr>
        <w:jc w:val="both"/>
        <w:rPr>
          <w:szCs w:val="22"/>
        </w:rPr>
      </w:pPr>
      <w:r>
        <w:rPr>
          <w:szCs w:val="22"/>
        </w:rPr>
        <w:t>(6) Planom gospodarenja otpadom Koprivničko-križevačke županije će se odrediti i propisati  mjere daljnjeg gospodarenja otpadom koje podrazumijevaju propisane mjere smanjenja nastanka otpada, planove i mjere sanacije otpadom onečišćenog okoliša, mjere nadzora, planove gradnje građevina namijenjenih skladištenju, obradi ili odlaganju otpada u cilju uspostave cijelovite mreže zbrinjavanja otpada. Propisane mjere biti će važeće za sve JLS Koprivničko-križevačke županije.</w:t>
      </w:r>
    </w:p>
    <w:p w:rsidR="00012172" w:rsidRDefault="00012172">
      <w:pPr>
        <w:jc w:val="both"/>
        <w:rPr>
          <w:rFonts w:ascii="Arial" w:hAnsi="Arial" w:cs="Arial"/>
          <w:sz w:val="22"/>
          <w:szCs w:val="22"/>
        </w:rPr>
      </w:pPr>
    </w:p>
    <w:p w:rsidR="00012172" w:rsidRDefault="00012172">
      <w:pPr>
        <w:jc w:val="both"/>
      </w:pPr>
      <w:bookmarkStart w:id="86" w:name="_Toc49756032"/>
    </w:p>
    <w:p w:rsidR="00012172" w:rsidRDefault="00012172">
      <w:pPr>
        <w:pStyle w:val="Naslov1"/>
        <w:rPr>
          <w:rFonts w:ascii="Times New Roman" w:hAnsi="Times New Roman" w:cs="Times New Roman"/>
        </w:rPr>
      </w:pPr>
      <w:bookmarkStart w:id="87" w:name="_Toc95140622"/>
      <w:r>
        <w:rPr>
          <w:rFonts w:ascii="Times New Roman" w:hAnsi="Times New Roman" w:cs="Times New Roman"/>
        </w:rPr>
        <w:t>8. Mjere sprječavanja nepovoljna utjecaja na okoliš</w:t>
      </w:r>
      <w:bookmarkEnd w:id="86"/>
      <w:bookmarkEnd w:id="87"/>
      <w:r>
        <w:rPr>
          <w:rFonts w:ascii="Times New Roman" w:hAnsi="Times New Roman" w:cs="Times New Roman"/>
        </w:rPr>
        <w:t xml:space="preserve"> </w:t>
      </w:r>
    </w:p>
    <w:p w:rsidR="00012172" w:rsidRDefault="00012172"/>
    <w:p w:rsidR="00012172" w:rsidRDefault="00F237BF">
      <w:pPr>
        <w:jc w:val="center"/>
        <w:rPr>
          <w:szCs w:val="22"/>
        </w:rPr>
      </w:pPr>
      <w:r>
        <w:rPr>
          <w:szCs w:val="22"/>
        </w:rPr>
        <w:t>Članak 1</w:t>
      </w:r>
      <w:r w:rsidR="004B0466">
        <w:rPr>
          <w:szCs w:val="22"/>
        </w:rPr>
        <w:t>0</w:t>
      </w:r>
      <w:r>
        <w:rPr>
          <w:szCs w:val="22"/>
        </w:rPr>
        <w:t>8</w:t>
      </w:r>
      <w:r w:rsidR="00012172">
        <w:rPr>
          <w:szCs w:val="22"/>
        </w:rPr>
        <w:t>.</w:t>
      </w:r>
    </w:p>
    <w:p w:rsidR="00012172" w:rsidRDefault="00012172">
      <w:pPr>
        <w:jc w:val="both"/>
        <w:rPr>
          <w:szCs w:val="22"/>
        </w:rPr>
      </w:pPr>
      <w:r>
        <w:rPr>
          <w:szCs w:val="22"/>
        </w:rPr>
        <w:t xml:space="preserve">(1) </w:t>
      </w:r>
      <w:r>
        <w:rPr>
          <w:szCs w:val="22"/>
          <w:lang w:val="en-AU"/>
        </w:rPr>
        <w:t>Mjere</w:t>
      </w:r>
      <w:r>
        <w:rPr>
          <w:szCs w:val="22"/>
        </w:rPr>
        <w:t xml:space="preserve"> </w:t>
      </w:r>
      <w:r>
        <w:rPr>
          <w:szCs w:val="22"/>
          <w:lang w:val="en-AU"/>
        </w:rPr>
        <w:t>spre</w:t>
      </w:r>
      <w:r>
        <w:rPr>
          <w:szCs w:val="22"/>
        </w:rPr>
        <w:t>č</w:t>
      </w:r>
      <w:r>
        <w:rPr>
          <w:szCs w:val="22"/>
          <w:lang w:val="en-AU"/>
        </w:rPr>
        <w:t>avanja</w:t>
      </w:r>
      <w:r>
        <w:rPr>
          <w:szCs w:val="22"/>
        </w:rPr>
        <w:t xml:space="preserve"> </w:t>
      </w:r>
      <w:r>
        <w:rPr>
          <w:szCs w:val="22"/>
          <w:lang w:val="en-AU"/>
        </w:rPr>
        <w:t>nepovoljna</w:t>
      </w:r>
      <w:r>
        <w:rPr>
          <w:szCs w:val="22"/>
        </w:rPr>
        <w:t xml:space="preserve"> </w:t>
      </w:r>
      <w:r>
        <w:rPr>
          <w:szCs w:val="22"/>
          <w:lang w:val="en-AU"/>
        </w:rPr>
        <w:t>utjecaja</w:t>
      </w:r>
      <w:r>
        <w:rPr>
          <w:szCs w:val="22"/>
        </w:rPr>
        <w:t xml:space="preserve"> </w:t>
      </w:r>
      <w:r>
        <w:rPr>
          <w:szCs w:val="22"/>
          <w:lang w:val="en-AU"/>
        </w:rPr>
        <w:t>na</w:t>
      </w:r>
      <w:r>
        <w:rPr>
          <w:szCs w:val="22"/>
        </w:rPr>
        <w:t xml:space="preserve"> </w:t>
      </w:r>
      <w:r>
        <w:rPr>
          <w:szCs w:val="22"/>
          <w:lang w:val="en-AU"/>
        </w:rPr>
        <w:t>okoli</w:t>
      </w:r>
      <w:r>
        <w:rPr>
          <w:szCs w:val="22"/>
        </w:rPr>
        <w:t xml:space="preserve">š </w:t>
      </w:r>
      <w:r>
        <w:rPr>
          <w:szCs w:val="22"/>
          <w:lang w:val="en-AU"/>
        </w:rPr>
        <w:t>obuhva</w:t>
      </w:r>
      <w:r>
        <w:rPr>
          <w:szCs w:val="22"/>
        </w:rPr>
        <w:t>ć</w:t>
      </w:r>
      <w:r>
        <w:rPr>
          <w:szCs w:val="22"/>
          <w:lang w:val="en-AU"/>
        </w:rPr>
        <w:t>aju</w:t>
      </w:r>
      <w:r>
        <w:rPr>
          <w:szCs w:val="22"/>
        </w:rPr>
        <w:t xml:space="preserve"> </w:t>
      </w:r>
      <w:r>
        <w:rPr>
          <w:szCs w:val="22"/>
          <w:lang w:val="en-AU"/>
        </w:rPr>
        <w:t>skup</w:t>
      </w:r>
      <w:r>
        <w:rPr>
          <w:szCs w:val="22"/>
        </w:rPr>
        <w:t xml:space="preserve"> </w:t>
      </w:r>
      <w:r>
        <w:rPr>
          <w:szCs w:val="22"/>
          <w:lang w:val="en-AU"/>
        </w:rPr>
        <w:t>aktivnosti</w:t>
      </w:r>
      <w:r>
        <w:rPr>
          <w:szCs w:val="22"/>
        </w:rPr>
        <w:t xml:space="preserve"> </w:t>
      </w:r>
      <w:r>
        <w:rPr>
          <w:szCs w:val="22"/>
          <w:lang w:val="en-AU"/>
        </w:rPr>
        <w:t>usmjerenih</w:t>
      </w:r>
      <w:r>
        <w:rPr>
          <w:szCs w:val="22"/>
        </w:rPr>
        <w:t xml:space="preserve"> </w:t>
      </w:r>
      <w:r>
        <w:rPr>
          <w:szCs w:val="22"/>
          <w:lang w:val="en-AU"/>
        </w:rPr>
        <w:t>na</w:t>
      </w:r>
      <w:r>
        <w:rPr>
          <w:szCs w:val="22"/>
        </w:rPr>
        <w:t xml:space="preserve"> </w:t>
      </w:r>
      <w:r>
        <w:rPr>
          <w:szCs w:val="22"/>
          <w:lang w:val="en-AU"/>
        </w:rPr>
        <w:t>o</w:t>
      </w:r>
      <w:r>
        <w:rPr>
          <w:szCs w:val="22"/>
        </w:rPr>
        <w:t>č</w:t>
      </w:r>
      <w:r>
        <w:rPr>
          <w:szCs w:val="22"/>
          <w:lang w:val="en-AU"/>
        </w:rPr>
        <w:t>uvanje</w:t>
      </w:r>
      <w:r>
        <w:rPr>
          <w:szCs w:val="22"/>
        </w:rPr>
        <w:t xml:space="preserve"> </w:t>
      </w:r>
      <w:r>
        <w:rPr>
          <w:szCs w:val="22"/>
          <w:lang w:val="en-AU"/>
        </w:rPr>
        <w:t>okoli</w:t>
      </w:r>
      <w:r>
        <w:rPr>
          <w:szCs w:val="22"/>
        </w:rPr>
        <w:t>š</w:t>
      </w:r>
      <w:r>
        <w:rPr>
          <w:szCs w:val="22"/>
          <w:lang w:val="en-AU"/>
        </w:rPr>
        <w:t>a</w:t>
      </w:r>
      <w:r>
        <w:rPr>
          <w:szCs w:val="22"/>
        </w:rPr>
        <w:t xml:space="preserve"> </w:t>
      </w:r>
      <w:r>
        <w:rPr>
          <w:szCs w:val="22"/>
          <w:lang w:val="en-AU"/>
        </w:rPr>
        <w:t>u</w:t>
      </w:r>
      <w:r>
        <w:rPr>
          <w:szCs w:val="22"/>
        </w:rPr>
        <w:t xml:space="preserve"> </w:t>
      </w:r>
      <w:r>
        <w:rPr>
          <w:szCs w:val="22"/>
          <w:lang w:val="en-AU"/>
        </w:rPr>
        <w:t>naslije</w:t>
      </w:r>
      <w:r>
        <w:rPr>
          <w:szCs w:val="22"/>
        </w:rPr>
        <w:t>đ</w:t>
      </w:r>
      <w:r>
        <w:rPr>
          <w:szCs w:val="22"/>
          <w:lang w:val="en-AU"/>
        </w:rPr>
        <w:t>enom</w:t>
      </w:r>
      <w:r>
        <w:rPr>
          <w:szCs w:val="22"/>
        </w:rPr>
        <w:t xml:space="preserve">, </w:t>
      </w:r>
      <w:r>
        <w:rPr>
          <w:szCs w:val="22"/>
          <w:lang w:val="en-AU"/>
        </w:rPr>
        <w:t>odnosno</w:t>
      </w:r>
      <w:r>
        <w:rPr>
          <w:szCs w:val="22"/>
        </w:rPr>
        <w:t xml:space="preserve"> </w:t>
      </w:r>
      <w:r>
        <w:rPr>
          <w:szCs w:val="22"/>
          <w:lang w:val="en-AU"/>
        </w:rPr>
        <w:t>prvotnom</w:t>
      </w:r>
      <w:r>
        <w:rPr>
          <w:szCs w:val="22"/>
        </w:rPr>
        <w:t xml:space="preserve">, </w:t>
      </w:r>
      <w:r>
        <w:rPr>
          <w:szCs w:val="22"/>
          <w:lang w:val="en-AU"/>
        </w:rPr>
        <w:t>ili</w:t>
      </w:r>
      <w:r>
        <w:rPr>
          <w:szCs w:val="22"/>
        </w:rPr>
        <w:t xml:space="preserve"> </w:t>
      </w:r>
      <w:r>
        <w:rPr>
          <w:szCs w:val="22"/>
          <w:lang w:val="en-AU"/>
        </w:rPr>
        <w:t>pak</w:t>
      </w:r>
      <w:r>
        <w:rPr>
          <w:szCs w:val="22"/>
        </w:rPr>
        <w:t xml:space="preserve"> </w:t>
      </w:r>
      <w:r>
        <w:rPr>
          <w:szCs w:val="22"/>
          <w:lang w:val="en-AU"/>
        </w:rPr>
        <w:t>neznatno</w:t>
      </w:r>
      <w:r>
        <w:rPr>
          <w:szCs w:val="22"/>
        </w:rPr>
        <w:t xml:space="preserve"> </w:t>
      </w:r>
      <w:r>
        <w:rPr>
          <w:szCs w:val="22"/>
          <w:lang w:val="en-AU"/>
        </w:rPr>
        <w:t>promijenjenom</w:t>
      </w:r>
      <w:r>
        <w:rPr>
          <w:szCs w:val="22"/>
        </w:rPr>
        <w:t xml:space="preserve"> </w:t>
      </w:r>
      <w:r>
        <w:rPr>
          <w:szCs w:val="22"/>
          <w:lang w:val="en-AU"/>
        </w:rPr>
        <w:t>stanju</w:t>
      </w:r>
      <w:r>
        <w:rPr>
          <w:szCs w:val="22"/>
        </w:rPr>
        <w:t xml:space="preserve">, </w:t>
      </w:r>
      <w:r>
        <w:rPr>
          <w:szCs w:val="22"/>
          <w:lang w:val="en-AU"/>
        </w:rPr>
        <w:t>te</w:t>
      </w:r>
      <w:r>
        <w:rPr>
          <w:szCs w:val="22"/>
        </w:rPr>
        <w:t xml:space="preserve"> </w:t>
      </w:r>
      <w:r>
        <w:rPr>
          <w:szCs w:val="22"/>
          <w:lang w:val="en-AU"/>
        </w:rPr>
        <w:t>unapre</w:t>
      </w:r>
      <w:r>
        <w:rPr>
          <w:szCs w:val="22"/>
        </w:rPr>
        <w:t>đ</w:t>
      </w:r>
      <w:r>
        <w:rPr>
          <w:szCs w:val="22"/>
          <w:lang w:val="en-AU"/>
        </w:rPr>
        <w:t>enje</w:t>
      </w:r>
      <w:r>
        <w:rPr>
          <w:szCs w:val="22"/>
        </w:rPr>
        <w:t xml:space="preserve"> </w:t>
      </w:r>
      <w:r>
        <w:rPr>
          <w:szCs w:val="22"/>
          <w:lang w:val="en-AU"/>
        </w:rPr>
        <w:t>stanja</w:t>
      </w:r>
      <w:r>
        <w:rPr>
          <w:szCs w:val="22"/>
        </w:rPr>
        <w:t xml:space="preserve"> </w:t>
      </w:r>
      <w:r>
        <w:rPr>
          <w:szCs w:val="22"/>
          <w:lang w:val="en-AU"/>
        </w:rPr>
        <w:t>u</w:t>
      </w:r>
      <w:r>
        <w:rPr>
          <w:szCs w:val="22"/>
        </w:rPr>
        <w:t xml:space="preserve"> </w:t>
      </w:r>
      <w:r>
        <w:rPr>
          <w:szCs w:val="22"/>
          <w:lang w:val="en-AU"/>
        </w:rPr>
        <w:t>okoli</w:t>
      </w:r>
      <w:r>
        <w:rPr>
          <w:szCs w:val="22"/>
        </w:rPr>
        <w:t>š</w:t>
      </w:r>
      <w:r>
        <w:rPr>
          <w:szCs w:val="22"/>
          <w:lang w:val="en-AU"/>
        </w:rPr>
        <w:t>u</w:t>
      </w:r>
      <w:r>
        <w:rPr>
          <w:szCs w:val="22"/>
        </w:rPr>
        <w:t xml:space="preserve">. </w:t>
      </w:r>
      <w:r>
        <w:rPr>
          <w:szCs w:val="22"/>
          <w:lang w:val="en-AU"/>
        </w:rPr>
        <w:t>Planom</w:t>
      </w:r>
      <w:r>
        <w:rPr>
          <w:szCs w:val="22"/>
        </w:rPr>
        <w:t xml:space="preserve"> </w:t>
      </w:r>
      <w:r>
        <w:rPr>
          <w:szCs w:val="22"/>
          <w:lang w:val="en-AU"/>
        </w:rPr>
        <w:t>se</w:t>
      </w:r>
      <w:r>
        <w:rPr>
          <w:szCs w:val="22"/>
        </w:rPr>
        <w:t xml:space="preserve"> </w:t>
      </w:r>
      <w:r>
        <w:rPr>
          <w:szCs w:val="22"/>
          <w:lang w:val="en-AU"/>
        </w:rPr>
        <w:t>odre</w:t>
      </w:r>
      <w:r>
        <w:rPr>
          <w:szCs w:val="22"/>
        </w:rPr>
        <w:t>đ</w:t>
      </w:r>
      <w:r>
        <w:rPr>
          <w:szCs w:val="22"/>
          <w:lang w:val="en-AU"/>
        </w:rPr>
        <w:t>uju</w:t>
      </w:r>
      <w:r>
        <w:rPr>
          <w:szCs w:val="22"/>
        </w:rPr>
        <w:t xml:space="preserve"> </w:t>
      </w:r>
      <w:r>
        <w:rPr>
          <w:szCs w:val="22"/>
          <w:lang w:val="en-AU"/>
        </w:rPr>
        <w:t>kriteriji</w:t>
      </w:r>
      <w:r>
        <w:rPr>
          <w:szCs w:val="22"/>
        </w:rPr>
        <w:t xml:space="preserve"> </w:t>
      </w:r>
      <w:r>
        <w:rPr>
          <w:szCs w:val="22"/>
          <w:lang w:val="en-AU"/>
        </w:rPr>
        <w:t>za</w:t>
      </w:r>
      <w:r>
        <w:rPr>
          <w:szCs w:val="22"/>
        </w:rPr>
        <w:t>š</w:t>
      </w:r>
      <w:r>
        <w:rPr>
          <w:szCs w:val="22"/>
          <w:lang w:val="en-AU"/>
        </w:rPr>
        <w:t>tite</w:t>
      </w:r>
      <w:r>
        <w:rPr>
          <w:szCs w:val="22"/>
        </w:rPr>
        <w:t xml:space="preserve"> </w:t>
      </w:r>
      <w:r>
        <w:rPr>
          <w:szCs w:val="22"/>
          <w:lang w:val="en-AU"/>
        </w:rPr>
        <w:t>okoli</w:t>
      </w:r>
      <w:r>
        <w:rPr>
          <w:szCs w:val="22"/>
        </w:rPr>
        <w:t>š</w:t>
      </w:r>
      <w:r>
        <w:rPr>
          <w:szCs w:val="22"/>
          <w:lang w:val="en-AU"/>
        </w:rPr>
        <w:t>a</w:t>
      </w:r>
      <w:r>
        <w:rPr>
          <w:szCs w:val="22"/>
        </w:rPr>
        <w:t xml:space="preserve"> </w:t>
      </w:r>
      <w:r>
        <w:rPr>
          <w:szCs w:val="22"/>
          <w:lang w:val="en-AU"/>
        </w:rPr>
        <w:t>koji</w:t>
      </w:r>
      <w:r>
        <w:rPr>
          <w:szCs w:val="22"/>
        </w:rPr>
        <w:t xml:space="preserve"> </w:t>
      </w:r>
      <w:r>
        <w:rPr>
          <w:szCs w:val="22"/>
          <w:lang w:val="en-AU"/>
        </w:rPr>
        <w:t>obuhva</w:t>
      </w:r>
      <w:r>
        <w:rPr>
          <w:szCs w:val="22"/>
        </w:rPr>
        <w:t>ć</w:t>
      </w:r>
      <w:r>
        <w:rPr>
          <w:szCs w:val="22"/>
          <w:lang w:val="en-AU"/>
        </w:rPr>
        <w:t>aju</w:t>
      </w:r>
      <w:r>
        <w:rPr>
          <w:szCs w:val="22"/>
        </w:rPr>
        <w:t xml:space="preserve"> </w:t>
      </w:r>
      <w:r>
        <w:rPr>
          <w:szCs w:val="22"/>
          <w:lang w:val="en-AU"/>
        </w:rPr>
        <w:t>za</w:t>
      </w:r>
      <w:r>
        <w:rPr>
          <w:szCs w:val="22"/>
        </w:rPr>
        <w:t>š</w:t>
      </w:r>
      <w:r>
        <w:rPr>
          <w:szCs w:val="22"/>
          <w:lang w:val="en-AU"/>
        </w:rPr>
        <w:t>titu</w:t>
      </w:r>
      <w:r>
        <w:rPr>
          <w:szCs w:val="22"/>
        </w:rPr>
        <w:t xml:space="preserve"> </w:t>
      </w:r>
      <w:r>
        <w:rPr>
          <w:szCs w:val="22"/>
          <w:lang w:val="en-AU"/>
        </w:rPr>
        <w:t>tla</w:t>
      </w:r>
      <w:r>
        <w:rPr>
          <w:szCs w:val="22"/>
        </w:rPr>
        <w:t xml:space="preserve">, </w:t>
      </w:r>
      <w:r>
        <w:rPr>
          <w:szCs w:val="22"/>
          <w:lang w:val="en-AU"/>
        </w:rPr>
        <w:t>zraka</w:t>
      </w:r>
      <w:r>
        <w:rPr>
          <w:szCs w:val="22"/>
        </w:rPr>
        <w:t xml:space="preserve">, </w:t>
      </w:r>
      <w:r>
        <w:rPr>
          <w:szCs w:val="22"/>
          <w:lang w:val="en-AU"/>
        </w:rPr>
        <w:t>vode</w:t>
      </w:r>
      <w:r>
        <w:rPr>
          <w:szCs w:val="22"/>
        </w:rPr>
        <w:t xml:space="preserve">, </w:t>
      </w:r>
      <w:r>
        <w:rPr>
          <w:szCs w:val="22"/>
          <w:lang w:val="en-AU"/>
        </w:rPr>
        <w:t>za</w:t>
      </w:r>
      <w:r>
        <w:rPr>
          <w:szCs w:val="22"/>
        </w:rPr>
        <w:t>š</w:t>
      </w:r>
      <w:r>
        <w:rPr>
          <w:szCs w:val="22"/>
          <w:lang w:val="en-AU"/>
        </w:rPr>
        <w:t>titu</w:t>
      </w:r>
      <w:r>
        <w:rPr>
          <w:szCs w:val="22"/>
        </w:rPr>
        <w:t xml:space="preserve"> </w:t>
      </w:r>
      <w:r>
        <w:rPr>
          <w:szCs w:val="22"/>
          <w:lang w:val="en-AU"/>
        </w:rPr>
        <w:t>od</w:t>
      </w:r>
      <w:r>
        <w:rPr>
          <w:szCs w:val="22"/>
        </w:rPr>
        <w:t xml:space="preserve"> </w:t>
      </w:r>
      <w:r>
        <w:rPr>
          <w:szCs w:val="22"/>
          <w:lang w:val="en-AU"/>
        </w:rPr>
        <w:t>buke</w:t>
      </w:r>
      <w:r>
        <w:rPr>
          <w:szCs w:val="22"/>
        </w:rPr>
        <w:t xml:space="preserve"> </w:t>
      </w:r>
      <w:r>
        <w:rPr>
          <w:szCs w:val="22"/>
          <w:lang w:val="en-AU"/>
        </w:rPr>
        <w:t>i</w:t>
      </w:r>
      <w:r>
        <w:rPr>
          <w:szCs w:val="22"/>
        </w:rPr>
        <w:t xml:space="preserve"> </w:t>
      </w:r>
      <w:r>
        <w:rPr>
          <w:szCs w:val="22"/>
          <w:lang w:val="en-AU"/>
        </w:rPr>
        <w:t>posebnu</w:t>
      </w:r>
      <w:r>
        <w:rPr>
          <w:szCs w:val="22"/>
        </w:rPr>
        <w:t xml:space="preserve"> </w:t>
      </w:r>
      <w:r>
        <w:rPr>
          <w:szCs w:val="22"/>
          <w:lang w:val="en-AU"/>
        </w:rPr>
        <w:t>za</w:t>
      </w:r>
      <w:r>
        <w:rPr>
          <w:szCs w:val="22"/>
        </w:rPr>
        <w:t>š</w:t>
      </w:r>
      <w:r>
        <w:rPr>
          <w:szCs w:val="22"/>
          <w:lang w:val="en-AU"/>
        </w:rPr>
        <w:t>titu</w:t>
      </w:r>
      <w:r>
        <w:rPr>
          <w:szCs w:val="22"/>
        </w:rPr>
        <w:t xml:space="preserve">, </w:t>
      </w:r>
      <w:r>
        <w:rPr>
          <w:szCs w:val="22"/>
          <w:lang w:val="en-AU"/>
        </w:rPr>
        <w:t>kao</w:t>
      </w:r>
      <w:r>
        <w:rPr>
          <w:szCs w:val="22"/>
        </w:rPr>
        <w:t xml:space="preserve"> </w:t>
      </w:r>
      <w:r>
        <w:rPr>
          <w:szCs w:val="22"/>
          <w:lang w:val="en-AU"/>
        </w:rPr>
        <w:t>i</w:t>
      </w:r>
      <w:r>
        <w:rPr>
          <w:szCs w:val="22"/>
        </w:rPr>
        <w:t xml:space="preserve"> </w:t>
      </w:r>
      <w:r>
        <w:rPr>
          <w:szCs w:val="22"/>
          <w:lang w:val="en-AU"/>
        </w:rPr>
        <w:t>mjere</w:t>
      </w:r>
      <w:r>
        <w:rPr>
          <w:szCs w:val="22"/>
        </w:rPr>
        <w:t xml:space="preserve"> </w:t>
      </w:r>
      <w:r>
        <w:rPr>
          <w:szCs w:val="22"/>
          <w:lang w:val="en-AU"/>
        </w:rPr>
        <w:t>za</w:t>
      </w:r>
      <w:r>
        <w:rPr>
          <w:szCs w:val="22"/>
        </w:rPr>
        <w:t xml:space="preserve"> </w:t>
      </w:r>
      <w:r>
        <w:rPr>
          <w:szCs w:val="22"/>
          <w:lang w:val="en-AU"/>
        </w:rPr>
        <w:t>unapre</w:t>
      </w:r>
      <w:r>
        <w:rPr>
          <w:szCs w:val="22"/>
        </w:rPr>
        <w:t>đ</w:t>
      </w:r>
      <w:r>
        <w:rPr>
          <w:szCs w:val="22"/>
          <w:lang w:val="en-AU"/>
        </w:rPr>
        <w:t>enje</w:t>
      </w:r>
      <w:r>
        <w:rPr>
          <w:szCs w:val="22"/>
        </w:rPr>
        <w:t xml:space="preserve"> </w:t>
      </w:r>
      <w:r>
        <w:rPr>
          <w:szCs w:val="22"/>
          <w:lang w:val="en-AU"/>
        </w:rPr>
        <w:t>stanja</w:t>
      </w:r>
      <w:r>
        <w:rPr>
          <w:szCs w:val="22"/>
        </w:rPr>
        <w:t xml:space="preserve"> </w:t>
      </w:r>
      <w:r>
        <w:rPr>
          <w:szCs w:val="22"/>
          <w:lang w:val="en-AU"/>
        </w:rPr>
        <w:t>na</w:t>
      </w:r>
      <w:r>
        <w:rPr>
          <w:szCs w:val="22"/>
        </w:rPr>
        <w:t xml:space="preserve"> </w:t>
      </w:r>
      <w:r>
        <w:rPr>
          <w:szCs w:val="22"/>
          <w:lang w:val="en-AU"/>
        </w:rPr>
        <w:t>podru</w:t>
      </w:r>
      <w:r>
        <w:rPr>
          <w:szCs w:val="22"/>
        </w:rPr>
        <w:t>č</w:t>
      </w:r>
      <w:r>
        <w:rPr>
          <w:szCs w:val="22"/>
          <w:lang w:val="en-AU"/>
        </w:rPr>
        <w:t>jima</w:t>
      </w:r>
      <w:r>
        <w:rPr>
          <w:szCs w:val="22"/>
        </w:rPr>
        <w:t xml:space="preserve"> </w:t>
      </w:r>
      <w:r>
        <w:rPr>
          <w:szCs w:val="22"/>
          <w:lang w:val="en-AU"/>
        </w:rPr>
        <w:t>naro</w:t>
      </w:r>
      <w:r>
        <w:rPr>
          <w:szCs w:val="22"/>
        </w:rPr>
        <w:t>č</w:t>
      </w:r>
      <w:r>
        <w:rPr>
          <w:szCs w:val="22"/>
          <w:lang w:val="en-AU"/>
        </w:rPr>
        <w:t>ito</w:t>
      </w:r>
      <w:r>
        <w:rPr>
          <w:szCs w:val="22"/>
        </w:rPr>
        <w:t xml:space="preserve"> </w:t>
      </w:r>
      <w:r>
        <w:rPr>
          <w:szCs w:val="22"/>
          <w:lang w:val="en-AU"/>
        </w:rPr>
        <w:t>ugro</w:t>
      </w:r>
      <w:r>
        <w:rPr>
          <w:szCs w:val="22"/>
        </w:rPr>
        <w:t>ž</w:t>
      </w:r>
      <w:r>
        <w:rPr>
          <w:szCs w:val="22"/>
          <w:lang w:val="en-AU"/>
        </w:rPr>
        <w:t>enog</w:t>
      </w:r>
      <w:r>
        <w:rPr>
          <w:szCs w:val="22"/>
        </w:rPr>
        <w:t xml:space="preserve"> </w:t>
      </w:r>
      <w:r>
        <w:rPr>
          <w:szCs w:val="22"/>
          <w:lang w:val="en-AU"/>
        </w:rPr>
        <w:t>podru</w:t>
      </w:r>
      <w:r>
        <w:rPr>
          <w:szCs w:val="22"/>
        </w:rPr>
        <w:t>č</w:t>
      </w:r>
      <w:r>
        <w:rPr>
          <w:szCs w:val="22"/>
          <w:lang w:val="en-AU"/>
        </w:rPr>
        <w:t>ja</w:t>
      </w:r>
      <w:r>
        <w:rPr>
          <w:szCs w:val="22"/>
        </w:rPr>
        <w:t xml:space="preserve">. </w:t>
      </w:r>
    </w:p>
    <w:p w:rsidR="007E5C81" w:rsidRDefault="007E5C81"/>
    <w:p w:rsidR="007E5C81" w:rsidRDefault="007E5C81"/>
    <w:p w:rsidR="00012172" w:rsidRDefault="00F237BF">
      <w:pPr>
        <w:jc w:val="center"/>
        <w:rPr>
          <w:szCs w:val="22"/>
        </w:rPr>
      </w:pPr>
      <w:r>
        <w:rPr>
          <w:szCs w:val="22"/>
        </w:rPr>
        <w:t>Članak 109</w:t>
      </w:r>
      <w:r w:rsidR="00012172">
        <w:rPr>
          <w:szCs w:val="22"/>
        </w:rPr>
        <w:t>.</w:t>
      </w:r>
    </w:p>
    <w:p w:rsidR="00012172" w:rsidRDefault="00012172">
      <w:pPr>
        <w:jc w:val="both"/>
        <w:rPr>
          <w:szCs w:val="22"/>
        </w:rPr>
      </w:pPr>
      <w:r>
        <w:rPr>
          <w:szCs w:val="22"/>
        </w:rPr>
        <w:t xml:space="preserve">(1) </w:t>
      </w:r>
      <w:r>
        <w:rPr>
          <w:szCs w:val="22"/>
          <w:lang w:val="de-DE"/>
        </w:rPr>
        <w:t>Mjere</w:t>
      </w:r>
      <w:r>
        <w:rPr>
          <w:szCs w:val="22"/>
        </w:rPr>
        <w:t xml:space="preserve"> </w:t>
      </w:r>
      <w:r>
        <w:rPr>
          <w:szCs w:val="22"/>
          <w:lang w:val="de-DE"/>
        </w:rPr>
        <w:t>sanacije</w:t>
      </w:r>
      <w:r>
        <w:rPr>
          <w:szCs w:val="22"/>
        </w:rPr>
        <w:t xml:space="preserve">, </w:t>
      </w:r>
      <w:r>
        <w:rPr>
          <w:szCs w:val="22"/>
          <w:lang w:val="de-DE"/>
        </w:rPr>
        <w:t>o</w:t>
      </w:r>
      <w:r>
        <w:rPr>
          <w:szCs w:val="22"/>
        </w:rPr>
        <w:t>č</w:t>
      </w:r>
      <w:r>
        <w:rPr>
          <w:szCs w:val="22"/>
          <w:lang w:val="de-DE"/>
        </w:rPr>
        <w:t>uvanja</w:t>
      </w:r>
      <w:r>
        <w:rPr>
          <w:szCs w:val="22"/>
        </w:rPr>
        <w:t xml:space="preserve"> </w:t>
      </w:r>
      <w:r>
        <w:rPr>
          <w:szCs w:val="22"/>
          <w:lang w:val="de-DE"/>
        </w:rPr>
        <w:t>i</w:t>
      </w:r>
      <w:r>
        <w:rPr>
          <w:szCs w:val="22"/>
        </w:rPr>
        <w:t xml:space="preserve"> </w:t>
      </w:r>
      <w:r>
        <w:rPr>
          <w:szCs w:val="22"/>
          <w:lang w:val="de-DE"/>
        </w:rPr>
        <w:t>unapre</w:t>
      </w:r>
      <w:r>
        <w:rPr>
          <w:szCs w:val="22"/>
        </w:rPr>
        <w:t>đ</w:t>
      </w:r>
      <w:r>
        <w:rPr>
          <w:szCs w:val="22"/>
          <w:lang w:val="de-DE"/>
        </w:rPr>
        <w:t>enja</w:t>
      </w:r>
      <w:r>
        <w:rPr>
          <w:szCs w:val="22"/>
        </w:rPr>
        <w:t xml:space="preserve"> </w:t>
      </w:r>
      <w:r>
        <w:rPr>
          <w:szCs w:val="22"/>
          <w:lang w:val="de-DE"/>
        </w:rPr>
        <w:t>okoli</w:t>
      </w:r>
      <w:r>
        <w:rPr>
          <w:szCs w:val="22"/>
        </w:rPr>
        <w:t>š</w:t>
      </w:r>
      <w:r>
        <w:rPr>
          <w:szCs w:val="22"/>
          <w:lang w:val="de-DE"/>
        </w:rPr>
        <w:t>a</w:t>
      </w:r>
      <w:r>
        <w:rPr>
          <w:szCs w:val="22"/>
        </w:rPr>
        <w:t xml:space="preserve"> </w:t>
      </w:r>
      <w:r>
        <w:rPr>
          <w:szCs w:val="22"/>
          <w:lang w:val="de-DE"/>
        </w:rPr>
        <w:t>i</w:t>
      </w:r>
      <w:r>
        <w:rPr>
          <w:szCs w:val="22"/>
        </w:rPr>
        <w:t xml:space="preserve"> </w:t>
      </w:r>
      <w:r>
        <w:rPr>
          <w:szCs w:val="22"/>
          <w:lang w:val="de-DE"/>
        </w:rPr>
        <w:t>njegovih</w:t>
      </w:r>
      <w:r>
        <w:rPr>
          <w:szCs w:val="22"/>
        </w:rPr>
        <w:t xml:space="preserve"> </w:t>
      </w:r>
      <w:r>
        <w:rPr>
          <w:szCs w:val="22"/>
          <w:lang w:val="de-DE"/>
        </w:rPr>
        <w:t>ugro</w:t>
      </w:r>
      <w:r>
        <w:rPr>
          <w:szCs w:val="22"/>
        </w:rPr>
        <w:t>ž</w:t>
      </w:r>
      <w:r>
        <w:rPr>
          <w:szCs w:val="22"/>
          <w:lang w:val="de-DE"/>
        </w:rPr>
        <w:t>enih</w:t>
      </w:r>
      <w:r>
        <w:rPr>
          <w:szCs w:val="22"/>
        </w:rPr>
        <w:t xml:space="preserve"> </w:t>
      </w:r>
      <w:r>
        <w:rPr>
          <w:szCs w:val="22"/>
          <w:lang w:val="de-DE"/>
        </w:rPr>
        <w:t>dijelova</w:t>
      </w:r>
      <w:r>
        <w:rPr>
          <w:szCs w:val="22"/>
        </w:rPr>
        <w:t xml:space="preserve"> </w:t>
      </w:r>
      <w:r>
        <w:rPr>
          <w:szCs w:val="22"/>
          <w:lang w:val="de-DE"/>
        </w:rPr>
        <w:t>provoditi</w:t>
      </w:r>
      <w:r>
        <w:rPr>
          <w:szCs w:val="22"/>
        </w:rPr>
        <w:t xml:space="preserve"> ć</w:t>
      </w:r>
      <w:r>
        <w:rPr>
          <w:szCs w:val="22"/>
          <w:lang w:val="de-DE"/>
        </w:rPr>
        <w:t>e</w:t>
      </w:r>
      <w:r>
        <w:rPr>
          <w:szCs w:val="22"/>
        </w:rPr>
        <w:t xml:space="preserve"> </w:t>
      </w:r>
      <w:r>
        <w:rPr>
          <w:szCs w:val="22"/>
          <w:lang w:val="de-DE"/>
        </w:rPr>
        <w:t>se</w:t>
      </w:r>
      <w:r>
        <w:rPr>
          <w:szCs w:val="22"/>
        </w:rPr>
        <w:t xml:space="preserve"> </w:t>
      </w:r>
      <w:r>
        <w:rPr>
          <w:szCs w:val="22"/>
          <w:lang w:val="de-DE"/>
        </w:rPr>
        <w:t>u</w:t>
      </w:r>
      <w:r>
        <w:rPr>
          <w:szCs w:val="22"/>
        </w:rPr>
        <w:t xml:space="preserve"> </w:t>
      </w:r>
      <w:r>
        <w:rPr>
          <w:szCs w:val="22"/>
          <w:lang w:val="de-DE"/>
        </w:rPr>
        <w:t>skladu</w:t>
      </w:r>
      <w:r>
        <w:rPr>
          <w:szCs w:val="22"/>
        </w:rPr>
        <w:t xml:space="preserve"> </w:t>
      </w:r>
      <w:r>
        <w:rPr>
          <w:szCs w:val="22"/>
          <w:lang w:val="de-DE"/>
        </w:rPr>
        <w:t>s</w:t>
      </w:r>
      <w:r>
        <w:rPr>
          <w:szCs w:val="22"/>
        </w:rPr>
        <w:t xml:space="preserve"> </w:t>
      </w:r>
      <w:r>
        <w:rPr>
          <w:szCs w:val="22"/>
          <w:lang w:val="de-DE"/>
        </w:rPr>
        <w:t>va</w:t>
      </w:r>
      <w:r>
        <w:rPr>
          <w:szCs w:val="22"/>
        </w:rPr>
        <w:t>ž</w:t>
      </w:r>
      <w:r>
        <w:rPr>
          <w:szCs w:val="22"/>
          <w:lang w:val="de-DE"/>
        </w:rPr>
        <w:t>e</w:t>
      </w:r>
      <w:r>
        <w:rPr>
          <w:szCs w:val="22"/>
        </w:rPr>
        <w:t>ć</w:t>
      </w:r>
      <w:r>
        <w:rPr>
          <w:szCs w:val="22"/>
          <w:lang w:val="de-DE"/>
        </w:rPr>
        <w:t>im</w:t>
      </w:r>
      <w:r>
        <w:rPr>
          <w:szCs w:val="22"/>
        </w:rPr>
        <w:t xml:space="preserve"> </w:t>
      </w:r>
      <w:r>
        <w:rPr>
          <w:szCs w:val="22"/>
          <w:lang w:val="de-DE"/>
        </w:rPr>
        <w:t>zakonima</w:t>
      </w:r>
      <w:r>
        <w:rPr>
          <w:szCs w:val="22"/>
        </w:rPr>
        <w:t xml:space="preserve">, </w:t>
      </w:r>
      <w:r>
        <w:rPr>
          <w:szCs w:val="22"/>
          <w:lang w:val="de-DE"/>
        </w:rPr>
        <w:t>odlukama</w:t>
      </w:r>
      <w:r>
        <w:rPr>
          <w:szCs w:val="22"/>
        </w:rPr>
        <w:t xml:space="preserve"> </w:t>
      </w:r>
      <w:r>
        <w:rPr>
          <w:szCs w:val="22"/>
          <w:lang w:val="de-DE"/>
        </w:rPr>
        <w:t>i</w:t>
      </w:r>
      <w:r>
        <w:rPr>
          <w:szCs w:val="22"/>
        </w:rPr>
        <w:t xml:space="preserve"> </w:t>
      </w:r>
      <w:r>
        <w:rPr>
          <w:szCs w:val="22"/>
          <w:lang w:val="de-DE"/>
        </w:rPr>
        <w:t>propisima</w:t>
      </w:r>
      <w:r>
        <w:rPr>
          <w:szCs w:val="22"/>
        </w:rPr>
        <w:t xml:space="preserve"> </w:t>
      </w:r>
      <w:r>
        <w:rPr>
          <w:szCs w:val="22"/>
          <w:lang w:val="de-DE"/>
        </w:rPr>
        <w:t>koji</w:t>
      </w:r>
      <w:r>
        <w:rPr>
          <w:szCs w:val="22"/>
        </w:rPr>
        <w:t xml:space="preserve"> </w:t>
      </w:r>
      <w:r>
        <w:rPr>
          <w:szCs w:val="22"/>
          <w:lang w:val="de-DE"/>
        </w:rPr>
        <w:t>su</w:t>
      </w:r>
      <w:r>
        <w:rPr>
          <w:szCs w:val="22"/>
        </w:rPr>
        <w:t xml:space="preserve"> </w:t>
      </w:r>
      <w:r>
        <w:rPr>
          <w:szCs w:val="22"/>
          <w:lang w:val="de-DE"/>
        </w:rPr>
        <w:t>relevantni</w:t>
      </w:r>
      <w:r>
        <w:rPr>
          <w:szCs w:val="22"/>
        </w:rPr>
        <w:t xml:space="preserve"> </w:t>
      </w:r>
      <w:r>
        <w:rPr>
          <w:szCs w:val="22"/>
          <w:lang w:val="de-DE"/>
        </w:rPr>
        <w:t>za</w:t>
      </w:r>
      <w:r>
        <w:rPr>
          <w:szCs w:val="22"/>
        </w:rPr>
        <w:t xml:space="preserve"> </w:t>
      </w:r>
      <w:r>
        <w:rPr>
          <w:szCs w:val="22"/>
          <w:lang w:val="de-DE"/>
        </w:rPr>
        <w:t>ovu</w:t>
      </w:r>
      <w:r>
        <w:rPr>
          <w:szCs w:val="22"/>
        </w:rPr>
        <w:t xml:space="preserve"> </w:t>
      </w:r>
      <w:r>
        <w:rPr>
          <w:szCs w:val="22"/>
          <w:lang w:val="de-DE"/>
        </w:rPr>
        <w:t>problematiku</w:t>
      </w:r>
      <w:r>
        <w:rPr>
          <w:szCs w:val="22"/>
        </w:rPr>
        <w:t>.</w:t>
      </w:r>
    </w:p>
    <w:p w:rsidR="00012172" w:rsidRDefault="00012172">
      <w:pPr>
        <w:pStyle w:val="StandardWeb"/>
        <w:spacing w:before="0" w:beforeAutospacing="0" w:after="0" w:afterAutospacing="0"/>
      </w:pPr>
    </w:p>
    <w:p w:rsidR="00012172" w:rsidRDefault="00F237BF">
      <w:pPr>
        <w:jc w:val="center"/>
        <w:rPr>
          <w:szCs w:val="22"/>
        </w:rPr>
      </w:pPr>
      <w:r>
        <w:rPr>
          <w:szCs w:val="22"/>
        </w:rPr>
        <w:t>Članak 110</w:t>
      </w:r>
      <w:r w:rsidR="00012172">
        <w:rPr>
          <w:szCs w:val="22"/>
        </w:rPr>
        <w:t>.</w:t>
      </w:r>
    </w:p>
    <w:p w:rsidR="00012172" w:rsidRDefault="00012172">
      <w:pPr>
        <w:jc w:val="both"/>
        <w:rPr>
          <w:szCs w:val="22"/>
        </w:rPr>
      </w:pPr>
      <w:r>
        <w:rPr>
          <w:szCs w:val="22"/>
        </w:rPr>
        <w:t xml:space="preserve">(1) </w:t>
      </w:r>
      <w:r>
        <w:rPr>
          <w:szCs w:val="22"/>
          <w:lang w:val="de-DE"/>
        </w:rPr>
        <w:t>Otpadne</w:t>
      </w:r>
      <w:r>
        <w:rPr>
          <w:szCs w:val="22"/>
        </w:rPr>
        <w:t xml:space="preserve"> </w:t>
      </w:r>
      <w:r>
        <w:rPr>
          <w:szCs w:val="22"/>
          <w:lang w:val="de-DE"/>
        </w:rPr>
        <w:t>vode</w:t>
      </w:r>
      <w:r>
        <w:rPr>
          <w:szCs w:val="22"/>
        </w:rPr>
        <w:t xml:space="preserve"> </w:t>
      </w:r>
      <w:r>
        <w:rPr>
          <w:szCs w:val="22"/>
          <w:lang w:val="de-DE"/>
        </w:rPr>
        <w:t>iz</w:t>
      </w:r>
      <w:r>
        <w:rPr>
          <w:szCs w:val="22"/>
        </w:rPr>
        <w:t xml:space="preserve"> </w:t>
      </w:r>
      <w:r>
        <w:rPr>
          <w:szCs w:val="22"/>
          <w:lang w:val="de-DE"/>
        </w:rPr>
        <w:t>doma</w:t>
      </w:r>
      <w:r>
        <w:rPr>
          <w:szCs w:val="22"/>
        </w:rPr>
        <w:t>ć</w:t>
      </w:r>
      <w:r>
        <w:rPr>
          <w:szCs w:val="22"/>
          <w:lang w:val="de-DE"/>
        </w:rPr>
        <w:t>instva</w:t>
      </w:r>
      <w:r>
        <w:rPr>
          <w:szCs w:val="22"/>
        </w:rPr>
        <w:t xml:space="preserve">, </w:t>
      </w:r>
      <w:r>
        <w:rPr>
          <w:szCs w:val="22"/>
          <w:lang w:val="de-DE"/>
        </w:rPr>
        <w:t>u</w:t>
      </w:r>
      <w:r>
        <w:rPr>
          <w:szCs w:val="22"/>
        </w:rPr>
        <w:t xml:space="preserve"> </w:t>
      </w:r>
      <w:r>
        <w:rPr>
          <w:szCs w:val="22"/>
          <w:lang w:val="de-DE"/>
        </w:rPr>
        <w:t>naseljima</w:t>
      </w:r>
      <w:r>
        <w:rPr>
          <w:szCs w:val="22"/>
        </w:rPr>
        <w:t xml:space="preserve"> </w:t>
      </w:r>
      <w:r>
        <w:rPr>
          <w:szCs w:val="22"/>
          <w:lang w:val="de-DE"/>
        </w:rPr>
        <w:t>koja</w:t>
      </w:r>
      <w:r>
        <w:rPr>
          <w:szCs w:val="22"/>
        </w:rPr>
        <w:t xml:space="preserve"> </w:t>
      </w:r>
      <w:r>
        <w:rPr>
          <w:szCs w:val="22"/>
          <w:lang w:val="de-DE"/>
        </w:rPr>
        <w:t>nemaju</w:t>
      </w:r>
      <w:r>
        <w:rPr>
          <w:szCs w:val="22"/>
        </w:rPr>
        <w:t xml:space="preserve"> </w:t>
      </w:r>
      <w:r>
        <w:rPr>
          <w:szCs w:val="22"/>
          <w:lang w:val="de-DE"/>
        </w:rPr>
        <w:t>izgra</w:t>
      </w:r>
      <w:r>
        <w:rPr>
          <w:szCs w:val="22"/>
        </w:rPr>
        <w:t>đ</w:t>
      </w:r>
      <w:r>
        <w:rPr>
          <w:szCs w:val="22"/>
          <w:lang w:val="de-DE"/>
        </w:rPr>
        <w:t>enu</w:t>
      </w:r>
      <w:r>
        <w:rPr>
          <w:szCs w:val="22"/>
        </w:rPr>
        <w:t xml:space="preserve"> </w:t>
      </w:r>
      <w:r>
        <w:rPr>
          <w:szCs w:val="22"/>
          <w:lang w:val="de-DE"/>
        </w:rPr>
        <w:t>kanalizacijsku</w:t>
      </w:r>
      <w:r>
        <w:rPr>
          <w:szCs w:val="22"/>
        </w:rPr>
        <w:t xml:space="preserve"> </w:t>
      </w:r>
      <w:r>
        <w:rPr>
          <w:szCs w:val="22"/>
          <w:lang w:val="de-DE"/>
        </w:rPr>
        <w:t>mre</w:t>
      </w:r>
      <w:r>
        <w:rPr>
          <w:szCs w:val="22"/>
        </w:rPr>
        <w:t>ž</w:t>
      </w:r>
      <w:r>
        <w:rPr>
          <w:szCs w:val="22"/>
          <w:lang w:val="de-DE"/>
        </w:rPr>
        <w:t>u</w:t>
      </w:r>
      <w:r>
        <w:rPr>
          <w:szCs w:val="22"/>
        </w:rPr>
        <w:t xml:space="preserve">, </w:t>
      </w:r>
      <w:r>
        <w:rPr>
          <w:szCs w:val="22"/>
          <w:lang w:val="de-DE"/>
        </w:rPr>
        <w:t>moraju</w:t>
      </w:r>
      <w:r>
        <w:rPr>
          <w:szCs w:val="22"/>
        </w:rPr>
        <w:t xml:space="preserve"> </w:t>
      </w:r>
      <w:r>
        <w:rPr>
          <w:szCs w:val="22"/>
          <w:lang w:val="de-DE"/>
        </w:rPr>
        <w:t>se</w:t>
      </w:r>
      <w:r>
        <w:rPr>
          <w:szCs w:val="22"/>
        </w:rPr>
        <w:t xml:space="preserve"> </w:t>
      </w:r>
      <w:r>
        <w:rPr>
          <w:szCs w:val="22"/>
          <w:lang w:val="de-DE"/>
        </w:rPr>
        <w:t>prikupljati</w:t>
      </w:r>
      <w:r>
        <w:rPr>
          <w:szCs w:val="22"/>
        </w:rPr>
        <w:t xml:space="preserve"> </w:t>
      </w:r>
      <w:r>
        <w:rPr>
          <w:szCs w:val="22"/>
          <w:lang w:val="de-DE"/>
        </w:rPr>
        <w:t>u</w:t>
      </w:r>
      <w:r>
        <w:rPr>
          <w:szCs w:val="22"/>
        </w:rPr>
        <w:t xml:space="preserve"> </w:t>
      </w:r>
      <w:r>
        <w:rPr>
          <w:szCs w:val="22"/>
          <w:lang w:val="de-DE"/>
        </w:rPr>
        <w:t>vodonepropusnim</w:t>
      </w:r>
      <w:r>
        <w:rPr>
          <w:szCs w:val="22"/>
        </w:rPr>
        <w:t xml:space="preserve"> </w:t>
      </w:r>
      <w:r>
        <w:rPr>
          <w:szCs w:val="22"/>
          <w:lang w:val="de-DE"/>
        </w:rPr>
        <w:t>pravilno</w:t>
      </w:r>
      <w:r>
        <w:rPr>
          <w:szCs w:val="22"/>
        </w:rPr>
        <w:t xml:space="preserve"> </w:t>
      </w:r>
      <w:r>
        <w:rPr>
          <w:szCs w:val="22"/>
          <w:lang w:val="de-DE"/>
        </w:rPr>
        <w:t>dimenzioniranim</w:t>
      </w:r>
      <w:r>
        <w:rPr>
          <w:szCs w:val="22"/>
        </w:rPr>
        <w:t xml:space="preserve"> (</w:t>
      </w:r>
      <w:r>
        <w:rPr>
          <w:szCs w:val="22"/>
          <w:lang w:val="de-DE"/>
        </w:rPr>
        <w:t>trodjelnim</w:t>
      </w:r>
      <w:r>
        <w:rPr>
          <w:szCs w:val="22"/>
        </w:rPr>
        <w:t xml:space="preserve">) </w:t>
      </w:r>
      <w:r>
        <w:rPr>
          <w:szCs w:val="22"/>
          <w:lang w:val="de-DE"/>
        </w:rPr>
        <w:t>septi</w:t>
      </w:r>
      <w:r>
        <w:rPr>
          <w:szCs w:val="22"/>
        </w:rPr>
        <w:t>č</w:t>
      </w:r>
      <w:r>
        <w:rPr>
          <w:szCs w:val="22"/>
          <w:lang w:val="de-DE"/>
        </w:rPr>
        <w:t>kim</w:t>
      </w:r>
      <w:r>
        <w:rPr>
          <w:szCs w:val="22"/>
        </w:rPr>
        <w:t xml:space="preserve"> </w:t>
      </w:r>
      <w:r>
        <w:rPr>
          <w:szCs w:val="22"/>
          <w:lang w:val="de-DE"/>
        </w:rPr>
        <w:t>jamama</w:t>
      </w:r>
      <w:r>
        <w:rPr>
          <w:szCs w:val="22"/>
        </w:rPr>
        <w:t>.</w:t>
      </w:r>
    </w:p>
    <w:p w:rsidR="00012172" w:rsidRDefault="00012172">
      <w:pPr>
        <w:jc w:val="both"/>
        <w:rPr>
          <w:szCs w:val="22"/>
        </w:rPr>
      </w:pPr>
    </w:p>
    <w:p w:rsidR="00012172" w:rsidRDefault="00012172">
      <w:pPr>
        <w:jc w:val="both"/>
        <w:rPr>
          <w:szCs w:val="22"/>
        </w:rPr>
      </w:pPr>
      <w:r>
        <w:rPr>
          <w:szCs w:val="22"/>
        </w:rPr>
        <w:t xml:space="preserve">(2) </w:t>
      </w:r>
      <w:r>
        <w:rPr>
          <w:szCs w:val="22"/>
          <w:lang w:val="de-DE"/>
        </w:rPr>
        <w:t>Podovi</w:t>
      </w:r>
      <w:r>
        <w:rPr>
          <w:szCs w:val="22"/>
        </w:rPr>
        <w:t xml:space="preserve"> </w:t>
      </w:r>
      <w:r>
        <w:rPr>
          <w:szCs w:val="22"/>
          <w:lang w:val="de-DE"/>
        </w:rPr>
        <w:t>u</w:t>
      </w:r>
      <w:r>
        <w:rPr>
          <w:szCs w:val="22"/>
        </w:rPr>
        <w:t xml:space="preserve"> </w:t>
      </w:r>
      <w:r>
        <w:rPr>
          <w:szCs w:val="22"/>
          <w:lang w:val="de-DE"/>
        </w:rPr>
        <w:t>stajama</w:t>
      </w:r>
      <w:r>
        <w:rPr>
          <w:szCs w:val="22"/>
        </w:rPr>
        <w:t xml:space="preserve"> </w:t>
      </w:r>
      <w:r>
        <w:rPr>
          <w:szCs w:val="22"/>
          <w:lang w:val="de-DE"/>
        </w:rPr>
        <w:t>i</w:t>
      </w:r>
      <w:r>
        <w:rPr>
          <w:szCs w:val="22"/>
        </w:rPr>
        <w:t xml:space="preserve"> </w:t>
      </w:r>
      <w:r>
        <w:rPr>
          <w:szCs w:val="22"/>
          <w:lang w:val="de-DE"/>
        </w:rPr>
        <w:t>svinjcima</w:t>
      </w:r>
      <w:r>
        <w:rPr>
          <w:szCs w:val="22"/>
        </w:rPr>
        <w:t xml:space="preserve"> </w:t>
      </w:r>
      <w:r>
        <w:rPr>
          <w:szCs w:val="22"/>
          <w:lang w:val="de-DE"/>
        </w:rPr>
        <w:t>moraju</w:t>
      </w:r>
      <w:r>
        <w:rPr>
          <w:szCs w:val="22"/>
        </w:rPr>
        <w:t xml:space="preserve"> </w:t>
      </w:r>
      <w:r>
        <w:rPr>
          <w:szCs w:val="22"/>
          <w:lang w:val="de-DE"/>
        </w:rPr>
        <w:t>biti</w:t>
      </w:r>
      <w:r>
        <w:rPr>
          <w:szCs w:val="22"/>
        </w:rPr>
        <w:t xml:space="preserve"> </w:t>
      </w:r>
      <w:r>
        <w:rPr>
          <w:szCs w:val="22"/>
          <w:lang w:val="de-DE"/>
        </w:rPr>
        <w:t>nepropusni</w:t>
      </w:r>
      <w:r>
        <w:rPr>
          <w:szCs w:val="22"/>
        </w:rPr>
        <w:t xml:space="preserve"> </w:t>
      </w:r>
      <w:r>
        <w:rPr>
          <w:szCs w:val="22"/>
          <w:lang w:val="de-DE"/>
        </w:rPr>
        <w:t>za</w:t>
      </w:r>
      <w:r>
        <w:rPr>
          <w:szCs w:val="22"/>
        </w:rPr>
        <w:t xml:space="preserve"> </w:t>
      </w:r>
      <w:r>
        <w:rPr>
          <w:szCs w:val="22"/>
          <w:lang w:val="de-DE"/>
        </w:rPr>
        <w:t>teku</w:t>
      </w:r>
      <w:r>
        <w:rPr>
          <w:szCs w:val="22"/>
        </w:rPr>
        <w:t>ć</w:t>
      </w:r>
      <w:r>
        <w:rPr>
          <w:szCs w:val="22"/>
          <w:lang w:val="de-DE"/>
        </w:rPr>
        <w:t>inu</w:t>
      </w:r>
      <w:r>
        <w:rPr>
          <w:szCs w:val="22"/>
        </w:rPr>
        <w:t xml:space="preserve"> </w:t>
      </w:r>
      <w:r>
        <w:rPr>
          <w:szCs w:val="22"/>
          <w:lang w:val="de-DE"/>
        </w:rPr>
        <w:t>i</w:t>
      </w:r>
      <w:r>
        <w:rPr>
          <w:szCs w:val="22"/>
        </w:rPr>
        <w:t xml:space="preserve"> </w:t>
      </w:r>
      <w:r>
        <w:rPr>
          <w:szCs w:val="22"/>
          <w:lang w:val="de-DE"/>
        </w:rPr>
        <w:t>imati</w:t>
      </w:r>
      <w:r>
        <w:rPr>
          <w:szCs w:val="22"/>
        </w:rPr>
        <w:t xml:space="preserve"> </w:t>
      </w:r>
      <w:r>
        <w:rPr>
          <w:szCs w:val="22"/>
          <w:lang w:val="de-DE"/>
        </w:rPr>
        <w:t>rigole</w:t>
      </w:r>
      <w:r>
        <w:rPr>
          <w:szCs w:val="22"/>
        </w:rPr>
        <w:t xml:space="preserve"> </w:t>
      </w:r>
      <w:r>
        <w:rPr>
          <w:szCs w:val="22"/>
          <w:lang w:val="de-DE"/>
        </w:rPr>
        <w:t>za</w:t>
      </w:r>
      <w:r>
        <w:rPr>
          <w:szCs w:val="22"/>
        </w:rPr>
        <w:t xml:space="preserve"> </w:t>
      </w:r>
      <w:r>
        <w:rPr>
          <w:szCs w:val="22"/>
          <w:lang w:val="de-DE"/>
        </w:rPr>
        <w:t>odvodnju</w:t>
      </w:r>
      <w:r>
        <w:rPr>
          <w:szCs w:val="22"/>
        </w:rPr>
        <w:t xml:space="preserve"> </w:t>
      </w:r>
      <w:r>
        <w:rPr>
          <w:szCs w:val="22"/>
          <w:lang w:val="de-DE"/>
        </w:rPr>
        <w:t>osoke</w:t>
      </w:r>
      <w:r>
        <w:rPr>
          <w:szCs w:val="22"/>
        </w:rPr>
        <w:t xml:space="preserve"> </w:t>
      </w:r>
      <w:r>
        <w:rPr>
          <w:szCs w:val="22"/>
          <w:lang w:val="de-DE"/>
        </w:rPr>
        <w:t>u</w:t>
      </w:r>
      <w:r>
        <w:rPr>
          <w:szCs w:val="22"/>
        </w:rPr>
        <w:t xml:space="preserve"> </w:t>
      </w:r>
      <w:r>
        <w:rPr>
          <w:szCs w:val="22"/>
          <w:lang w:val="de-DE"/>
        </w:rPr>
        <w:t>gnoji</w:t>
      </w:r>
      <w:r>
        <w:rPr>
          <w:szCs w:val="22"/>
        </w:rPr>
        <w:t>š</w:t>
      </w:r>
      <w:r>
        <w:rPr>
          <w:szCs w:val="22"/>
          <w:lang w:val="de-DE"/>
        </w:rPr>
        <w:t>nu</w:t>
      </w:r>
      <w:r>
        <w:rPr>
          <w:szCs w:val="22"/>
        </w:rPr>
        <w:t xml:space="preserve"> </w:t>
      </w:r>
      <w:r>
        <w:rPr>
          <w:szCs w:val="22"/>
          <w:lang w:val="de-DE"/>
        </w:rPr>
        <w:t>jamu</w:t>
      </w:r>
      <w:r>
        <w:rPr>
          <w:szCs w:val="22"/>
        </w:rPr>
        <w:t xml:space="preserve">. Dno i stijenke gnojišta do visine od </w:t>
      </w:r>
      <w:smartTag w:uri="urn:schemas-microsoft-com:office:smarttags" w:element="metricconverter">
        <w:smartTagPr>
          <w:attr w:name="ProductID" w:val="50 cm"/>
        </w:smartTagPr>
        <w:r>
          <w:rPr>
            <w:szCs w:val="22"/>
          </w:rPr>
          <w:t>50 cm</w:t>
        </w:r>
      </w:smartTag>
      <w:r>
        <w:rPr>
          <w:szCs w:val="22"/>
        </w:rPr>
        <w:t xml:space="preserve"> iznad terena moraju biti izvedeni od nepropusnog materijala.</w:t>
      </w:r>
    </w:p>
    <w:p w:rsidR="00012172" w:rsidRDefault="00012172">
      <w:pPr>
        <w:jc w:val="both"/>
        <w:rPr>
          <w:szCs w:val="22"/>
        </w:rPr>
      </w:pPr>
    </w:p>
    <w:p w:rsidR="00012172" w:rsidRDefault="00012172">
      <w:pPr>
        <w:jc w:val="both"/>
        <w:rPr>
          <w:szCs w:val="22"/>
        </w:rPr>
      </w:pPr>
      <w:r>
        <w:rPr>
          <w:szCs w:val="22"/>
        </w:rPr>
        <w:t>(3) Sva tekućina iz staja, svinjaca i gnojišta mora se odvesti u jame ili silose za osoku i ne smije se razlijevati po okolnom terenu. Jame i silosi za osoku moraju imati siguran i nepropustan pokrov, te otvore za čišćenje i zračenje.</w:t>
      </w:r>
    </w:p>
    <w:p w:rsidR="00012172" w:rsidRDefault="00012172">
      <w:pPr>
        <w:jc w:val="both"/>
        <w:rPr>
          <w:szCs w:val="22"/>
        </w:rPr>
      </w:pPr>
    </w:p>
    <w:p w:rsidR="00012172" w:rsidRDefault="00012172">
      <w:pPr>
        <w:jc w:val="both"/>
        <w:rPr>
          <w:szCs w:val="22"/>
        </w:rPr>
      </w:pPr>
      <w:r>
        <w:rPr>
          <w:szCs w:val="22"/>
        </w:rPr>
        <w:t xml:space="preserve">(4) U pogledu udaljenosti od ostalih građevina i naprava, za jame i silose za osoku vrijede jednaki propisi kao i za gnojišta. </w:t>
      </w:r>
    </w:p>
    <w:p w:rsidR="00012172" w:rsidRDefault="00012172">
      <w:pPr>
        <w:ind w:firstLine="720"/>
        <w:jc w:val="both"/>
      </w:pPr>
    </w:p>
    <w:p w:rsidR="00012172" w:rsidRDefault="00F237BF">
      <w:pPr>
        <w:jc w:val="center"/>
        <w:rPr>
          <w:szCs w:val="22"/>
        </w:rPr>
      </w:pPr>
      <w:r>
        <w:rPr>
          <w:szCs w:val="22"/>
        </w:rPr>
        <w:t>Članak 111</w:t>
      </w:r>
      <w:r w:rsidR="00012172">
        <w:rPr>
          <w:szCs w:val="22"/>
        </w:rPr>
        <w:t>.</w:t>
      </w:r>
    </w:p>
    <w:p w:rsidR="00012172" w:rsidRDefault="00012172">
      <w:pPr>
        <w:jc w:val="both"/>
        <w:rPr>
          <w:szCs w:val="22"/>
        </w:rPr>
      </w:pPr>
      <w:r>
        <w:rPr>
          <w:szCs w:val="22"/>
        </w:rPr>
        <w:t>(1) Šume i šumsko zemljište ne mogu mijenjati svoju namjenu u odnosu na stanje zatečeno u šumskogospodarskoj osnovi područja.</w:t>
      </w:r>
    </w:p>
    <w:p w:rsidR="00012172" w:rsidRDefault="00012172">
      <w:pPr>
        <w:jc w:val="both"/>
      </w:pPr>
    </w:p>
    <w:p w:rsidR="00012172" w:rsidRDefault="00012172">
      <w:pPr>
        <w:jc w:val="both"/>
        <w:rPr>
          <w:szCs w:val="22"/>
        </w:rPr>
      </w:pPr>
      <w:r>
        <w:rPr>
          <w:szCs w:val="22"/>
        </w:rPr>
        <w:t>(2) Nekvalitetno poljoprivredno zemljište koje ekonomski nije opravdano koristiti u poljoprivredne svrhe može se prenamijeniti pošumljavanjem.</w:t>
      </w:r>
    </w:p>
    <w:p w:rsidR="00012172" w:rsidRDefault="00012172">
      <w:pPr>
        <w:pStyle w:val="Naslov1"/>
        <w:rPr>
          <w:rFonts w:ascii="Times New Roman" w:hAnsi="Times New Roman" w:cs="Times New Roman"/>
        </w:rPr>
      </w:pPr>
      <w:bookmarkStart w:id="88" w:name="_Toc49756033"/>
      <w:bookmarkStart w:id="89" w:name="_Toc95140623"/>
      <w:r>
        <w:rPr>
          <w:rFonts w:ascii="Times New Roman" w:hAnsi="Times New Roman" w:cs="Times New Roman"/>
        </w:rPr>
        <w:t>9. Mjere provedbe plana</w:t>
      </w:r>
      <w:bookmarkEnd w:id="88"/>
      <w:bookmarkEnd w:id="89"/>
      <w:r>
        <w:rPr>
          <w:rFonts w:ascii="Times New Roman" w:hAnsi="Times New Roman" w:cs="Times New Roman"/>
        </w:rPr>
        <w:t xml:space="preserve"> </w:t>
      </w:r>
    </w:p>
    <w:p w:rsidR="00012172" w:rsidRDefault="00012172">
      <w:pPr>
        <w:pStyle w:val="Naslov2"/>
        <w:rPr>
          <w:rFonts w:ascii="Times New Roman" w:hAnsi="Times New Roman" w:cs="Times New Roman"/>
        </w:rPr>
      </w:pPr>
      <w:bookmarkStart w:id="90" w:name="_Toc49756034"/>
      <w:bookmarkStart w:id="91" w:name="_Toc95140624"/>
      <w:r>
        <w:rPr>
          <w:rFonts w:ascii="Times New Roman" w:hAnsi="Times New Roman" w:cs="Times New Roman"/>
        </w:rPr>
        <w:t>9.1. Obveza izrade prostornih planova</w:t>
      </w:r>
      <w:bookmarkEnd w:id="90"/>
      <w:bookmarkEnd w:id="91"/>
      <w:r>
        <w:rPr>
          <w:rFonts w:ascii="Times New Roman" w:hAnsi="Times New Roman" w:cs="Times New Roman"/>
        </w:rPr>
        <w:t xml:space="preserve"> </w:t>
      </w:r>
    </w:p>
    <w:p w:rsidR="00012172" w:rsidRDefault="00012172">
      <w:pPr>
        <w:pStyle w:val="clanak"/>
        <w:rPr>
          <w:lang w:val="hr-HR"/>
        </w:rPr>
      </w:pPr>
    </w:p>
    <w:p w:rsidR="00012172" w:rsidRDefault="00012172">
      <w:pPr>
        <w:pStyle w:val="clanak"/>
        <w:jc w:val="center"/>
        <w:rPr>
          <w:rFonts w:ascii="Times New Roman" w:hAnsi="Times New Roman"/>
          <w:sz w:val="24"/>
          <w:szCs w:val="22"/>
          <w:lang w:val="hr-HR"/>
        </w:rPr>
      </w:pPr>
      <w:r>
        <w:rPr>
          <w:rFonts w:ascii="Times New Roman" w:hAnsi="Times New Roman"/>
          <w:sz w:val="24"/>
          <w:szCs w:val="22"/>
          <w:lang w:val="hr-HR"/>
        </w:rPr>
        <w:t xml:space="preserve">Članak </w:t>
      </w:r>
      <w:r w:rsidR="00F237BF">
        <w:rPr>
          <w:rFonts w:ascii="Times New Roman" w:hAnsi="Times New Roman"/>
          <w:sz w:val="24"/>
          <w:szCs w:val="22"/>
          <w:lang w:val="hr-HR"/>
        </w:rPr>
        <w:t>112</w:t>
      </w:r>
      <w:r>
        <w:rPr>
          <w:rFonts w:ascii="Times New Roman" w:hAnsi="Times New Roman"/>
          <w:sz w:val="24"/>
          <w:szCs w:val="22"/>
          <w:lang w:val="hr-HR"/>
        </w:rPr>
        <w:t>.</w:t>
      </w:r>
    </w:p>
    <w:p w:rsidR="00012172" w:rsidRDefault="00012172">
      <w:pPr>
        <w:pStyle w:val="clanak"/>
        <w:rPr>
          <w:rFonts w:ascii="Times New Roman" w:hAnsi="Times New Roman"/>
          <w:b/>
          <w:sz w:val="24"/>
          <w:szCs w:val="22"/>
          <w:lang w:val="hr-HR"/>
        </w:rPr>
      </w:pPr>
      <w:r>
        <w:rPr>
          <w:rFonts w:ascii="Times New Roman" w:hAnsi="Times New Roman"/>
          <w:b/>
          <w:sz w:val="24"/>
          <w:szCs w:val="22"/>
          <w:lang w:val="hr-HR"/>
        </w:rPr>
        <w:t>Prostorni plan područja posebnih obilježja Kalnika (PPPPO)</w:t>
      </w:r>
    </w:p>
    <w:p w:rsidR="00012172" w:rsidRDefault="00012172">
      <w:pPr>
        <w:pStyle w:val="clanak"/>
        <w:rPr>
          <w:rFonts w:ascii="Times New Roman" w:hAnsi="Times New Roman"/>
          <w:bCs/>
          <w:sz w:val="24"/>
          <w:szCs w:val="22"/>
          <w:lang w:val="hr-HR"/>
        </w:rPr>
      </w:pPr>
      <w:r>
        <w:rPr>
          <w:rFonts w:ascii="Times New Roman" w:hAnsi="Times New Roman"/>
          <w:bCs/>
          <w:sz w:val="24"/>
          <w:szCs w:val="22"/>
          <w:lang w:val="hr-HR"/>
        </w:rPr>
        <w:t>U skladu sa Prostornim planom Koprivničko-križevačke županije na prostoru Općine Gornja Rijeka izrađivat će se ovaj plan višeg reda.</w:t>
      </w:r>
    </w:p>
    <w:p w:rsidR="00012172" w:rsidRDefault="00012172">
      <w:pPr>
        <w:pStyle w:val="clanak"/>
        <w:rPr>
          <w:rFonts w:ascii="Times New Roman" w:hAnsi="Times New Roman"/>
          <w:bCs/>
          <w:sz w:val="24"/>
          <w:szCs w:val="22"/>
          <w:lang w:val="hr-HR"/>
        </w:rPr>
      </w:pPr>
    </w:p>
    <w:p w:rsidR="00012172" w:rsidRDefault="00012172">
      <w:pPr>
        <w:pStyle w:val="clanak"/>
        <w:rPr>
          <w:rFonts w:ascii="Times New Roman" w:hAnsi="Times New Roman"/>
          <w:b/>
          <w:sz w:val="24"/>
          <w:szCs w:val="22"/>
          <w:lang w:val="hr-HR"/>
        </w:rPr>
      </w:pPr>
      <w:r>
        <w:rPr>
          <w:rFonts w:ascii="Times New Roman" w:hAnsi="Times New Roman"/>
          <w:b/>
          <w:sz w:val="24"/>
          <w:szCs w:val="22"/>
          <w:lang w:val="hr-HR"/>
        </w:rPr>
        <w:t xml:space="preserve">Detaljni planovi uređenja (DPU) </w:t>
      </w:r>
    </w:p>
    <w:p w:rsidR="00012172" w:rsidRDefault="00012172">
      <w:pPr>
        <w:pStyle w:val="clanak"/>
        <w:rPr>
          <w:rFonts w:ascii="Times New Roman" w:hAnsi="Times New Roman"/>
          <w:sz w:val="24"/>
          <w:szCs w:val="22"/>
          <w:lang w:val="hr-HR"/>
        </w:rPr>
      </w:pPr>
      <w:r>
        <w:rPr>
          <w:rFonts w:ascii="Times New Roman" w:hAnsi="Times New Roman"/>
          <w:sz w:val="24"/>
          <w:szCs w:val="22"/>
          <w:lang w:val="hr-HR"/>
        </w:rPr>
        <w:t xml:space="preserve">Detaljni plan uređenja </w:t>
      </w:r>
      <w:r w:rsidR="00725F6F">
        <w:rPr>
          <w:rFonts w:ascii="Times New Roman" w:hAnsi="Times New Roman"/>
          <w:sz w:val="24"/>
          <w:szCs w:val="22"/>
          <w:lang w:val="hr-HR"/>
        </w:rPr>
        <w:t>zone T1</w:t>
      </w:r>
      <w:r w:rsidR="00963862">
        <w:rPr>
          <w:rFonts w:ascii="Times New Roman" w:hAnsi="Times New Roman"/>
          <w:sz w:val="24"/>
          <w:szCs w:val="22"/>
          <w:lang w:val="hr-HR"/>
        </w:rPr>
        <w:t>b</w:t>
      </w:r>
      <w:r w:rsidR="00725F6F">
        <w:rPr>
          <w:rFonts w:ascii="Times New Roman" w:hAnsi="Times New Roman"/>
          <w:sz w:val="24"/>
          <w:szCs w:val="22"/>
          <w:lang w:val="hr-HR"/>
        </w:rPr>
        <w:t xml:space="preserve"> uz dvor</w:t>
      </w:r>
      <w:r>
        <w:rPr>
          <w:rFonts w:ascii="Times New Roman" w:hAnsi="Times New Roman"/>
          <w:sz w:val="24"/>
          <w:szCs w:val="22"/>
          <w:lang w:val="hr-HR"/>
        </w:rPr>
        <w:t>a</w:t>
      </w:r>
      <w:r w:rsidR="00725F6F">
        <w:rPr>
          <w:rFonts w:ascii="Times New Roman" w:hAnsi="Times New Roman"/>
          <w:sz w:val="24"/>
          <w:szCs w:val="22"/>
          <w:lang w:val="hr-HR"/>
        </w:rPr>
        <w:t>c</w:t>
      </w:r>
      <w:r>
        <w:rPr>
          <w:rFonts w:ascii="Times New Roman" w:hAnsi="Times New Roman"/>
          <w:sz w:val="24"/>
          <w:szCs w:val="22"/>
          <w:lang w:val="hr-HR"/>
        </w:rPr>
        <w:t xml:space="preserve"> u Gornjoj Rijeci</w:t>
      </w:r>
      <w:r w:rsidR="003C5A3F">
        <w:rPr>
          <w:rFonts w:ascii="Times New Roman" w:hAnsi="Times New Roman"/>
          <w:sz w:val="24"/>
          <w:szCs w:val="22"/>
          <w:lang w:val="hr-HR"/>
        </w:rPr>
        <w:t xml:space="preserve"> (DPU</w:t>
      </w:r>
      <w:r w:rsidR="00725F6F">
        <w:rPr>
          <w:rFonts w:ascii="Times New Roman" w:hAnsi="Times New Roman"/>
          <w:sz w:val="24"/>
          <w:szCs w:val="22"/>
          <w:lang w:val="hr-HR"/>
        </w:rPr>
        <w:t>-T</w:t>
      </w:r>
      <w:r w:rsidR="00963862">
        <w:rPr>
          <w:rFonts w:ascii="Times New Roman" w:hAnsi="Times New Roman"/>
          <w:sz w:val="24"/>
          <w:szCs w:val="22"/>
          <w:lang w:val="hr-HR"/>
        </w:rPr>
        <w:t>1b</w:t>
      </w:r>
      <w:r w:rsidR="00725F6F">
        <w:rPr>
          <w:rFonts w:ascii="Times New Roman" w:hAnsi="Times New Roman"/>
          <w:sz w:val="24"/>
          <w:szCs w:val="22"/>
          <w:lang w:val="hr-HR"/>
        </w:rPr>
        <w:t>).</w:t>
      </w:r>
    </w:p>
    <w:p w:rsidR="000A72E7" w:rsidRDefault="000A72E7" w:rsidP="000A72E7">
      <w:pPr>
        <w:pStyle w:val="clanak"/>
        <w:rPr>
          <w:rFonts w:ascii="Times New Roman" w:hAnsi="Times New Roman"/>
          <w:sz w:val="24"/>
          <w:szCs w:val="22"/>
          <w:lang w:val="hr-HR"/>
        </w:rPr>
      </w:pPr>
      <w:r>
        <w:rPr>
          <w:rFonts w:ascii="Times New Roman" w:hAnsi="Times New Roman"/>
          <w:sz w:val="24"/>
          <w:szCs w:val="22"/>
          <w:lang w:val="hr-HR"/>
        </w:rPr>
        <w:t>Detaljni plan uređenja zone R uz dvorac u Gornjoj Rijeci (DPU2-R).</w:t>
      </w:r>
    </w:p>
    <w:p w:rsidR="00012172" w:rsidRDefault="00012172">
      <w:pPr>
        <w:pStyle w:val="clanak"/>
        <w:rPr>
          <w:lang w:val="hr-HR"/>
        </w:rPr>
      </w:pPr>
    </w:p>
    <w:p w:rsidR="007E5C81" w:rsidRDefault="007E5C81">
      <w:pPr>
        <w:pStyle w:val="clanak"/>
        <w:rPr>
          <w:lang w:val="hr-HR"/>
        </w:rPr>
      </w:pPr>
    </w:p>
    <w:p w:rsidR="00012172" w:rsidRDefault="00012172">
      <w:pPr>
        <w:jc w:val="center"/>
        <w:rPr>
          <w:szCs w:val="22"/>
        </w:rPr>
      </w:pPr>
      <w:r>
        <w:rPr>
          <w:szCs w:val="22"/>
        </w:rPr>
        <w:t>Č</w:t>
      </w:r>
      <w:r>
        <w:rPr>
          <w:szCs w:val="22"/>
          <w:lang w:val="en-AU"/>
        </w:rPr>
        <w:t>lanak</w:t>
      </w:r>
      <w:r w:rsidR="00F237BF">
        <w:rPr>
          <w:szCs w:val="22"/>
        </w:rPr>
        <w:t xml:space="preserve"> 113</w:t>
      </w:r>
      <w:r>
        <w:rPr>
          <w:szCs w:val="22"/>
        </w:rPr>
        <w:t>.</w:t>
      </w:r>
    </w:p>
    <w:p w:rsidR="00012172" w:rsidRDefault="00012172">
      <w:pPr>
        <w:jc w:val="both"/>
        <w:rPr>
          <w:szCs w:val="22"/>
        </w:rPr>
      </w:pPr>
      <w:r>
        <w:rPr>
          <w:szCs w:val="22"/>
        </w:rPr>
        <w:t xml:space="preserve">(1) </w:t>
      </w:r>
      <w:r>
        <w:rPr>
          <w:szCs w:val="22"/>
          <w:lang w:val="en-AU"/>
        </w:rPr>
        <w:t>Dinamika</w:t>
      </w:r>
      <w:r>
        <w:rPr>
          <w:szCs w:val="22"/>
        </w:rPr>
        <w:t xml:space="preserve"> </w:t>
      </w:r>
      <w:r>
        <w:rPr>
          <w:szCs w:val="22"/>
          <w:lang w:val="en-AU"/>
        </w:rPr>
        <w:t>izrade</w:t>
      </w:r>
      <w:r>
        <w:rPr>
          <w:szCs w:val="22"/>
        </w:rPr>
        <w:t xml:space="preserve"> </w:t>
      </w:r>
      <w:r>
        <w:rPr>
          <w:szCs w:val="22"/>
          <w:lang w:val="en-AU"/>
        </w:rPr>
        <w:t>navedenih</w:t>
      </w:r>
      <w:r>
        <w:rPr>
          <w:szCs w:val="22"/>
        </w:rPr>
        <w:t xml:space="preserve"> </w:t>
      </w:r>
      <w:r>
        <w:rPr>
          <w:szCs w:val="22"/>
          <w:lang w:val="en-AU"/>
        </w:rPr>
        <w:t>planova</w:t>
      </w:r>
      <w:r>
        <w:rPr>
          <w:szCs w:val="22"/>
        </w:rPr>
        <w:t xml:space="preserve"> </w:t>
      </w:r>
      <w:r>
        <w:rPr>
          <w:szCs w:val="22"/>
          <w:lang w:val="en-AU"/>
        </w:rPr>
        <w:t>definirat</w:t>
      </w:r>
      <w:r>
        <w:rPr>
          <w:szCs w:val="22"/>
        </w:rPr>
        <w:t xml:space="preserve"> ć</w:t>
      </w:r>
      <w:r>
        <w:rPr>
          <w:szCs w:val="22"/>
          <w:lang w:val="en-AU"/>
        </w:rPr>
        <w:t>e</w:t>
      </w:r>
      <w:r>
        <w:rPr>
          <w:szCs w:val="22"/>
        </w:rPr>
        <w:t xml:space="preserve"> </w:t>
      </w:r>
      <w:r>
        <w:rPr>
          <w:szCs w:val="22"/>
          <w:lang w:val="en-AU"/>
        </w:rPr>
        <w:t>se</w:t>
      </w:r>
      <w:r>
        <w:rPr>
          <w:szCs w:val="22"/>
        </w:rPr>
        <w:t xml:space="preserve"> č</w:t>
      </w:r>
      <w:r>
        <w:rPr>
          <w:szCs w:val="22"/>
          <w:lang w:val="en-AU"/>
        </w:rPr>
        <w:t>etverogodi</w:t>
      </w:r>
      <w:r>
        <w:rPr>
          <w:szCs w:val="22"/>
        </w:rPr>
        <w:t>š</w:t>
      </w:r>
      <w:r>
        <w:rPr>
          <w:szCs w:val="22"/>
          <w:lang w:val="en-AU"/>
        </w:rPr>
        <w:t>njim</w:t>
      </w:r>
      <w:r>
        <w:rPr>
          <w:szCs w:val="22"/>
        </w:rPr>
        <w:t xml:space="preserve"> </w:t>
      </w:r>
      <w:r>
        <w:rPr>
          <w:szCs w:val="22"/>
          <w:lang w:val="en-AU"/>
        </w:rPr>
        <w:t>programom</w:t>
      </w:r>
      <w:r>
        <w:rPr>
          <w:szCs w:val="22"/>
        </w:rPr>
        <w:t xml:space="preserve"> </w:t>
      </w:r>
      <w:r>
        <w:rPr>
          <w:szCs w:val="22"/>
          <w:lang w:val="en-AU"/>
        </w:rPr>
        <w:t>mjera</w:t>
      </w:r>
      <w:r>
        <w:rPr>
          <w:szCs w:val="22"/>
        </w:rPr>
        <w:t xml:space="preserve"> </w:t>
      </w:r>
      <w:r>
        <w:rPr>
          <w:szCs w:val="22"/>
          <w:lang w:val="en-AU"/>
        </w:rPr>
        <w:t>za</w:t>
      </w:r>
      <w:r>
        <w:rPr>
          <w:szCs w:val="22"/>
        </w:rPr>
        <w:t xml:space="preserve"> </w:t>
      </w:r>
      <w:r>
        <w:rPr>
          <w:szCs w:val="22"/>
          <w:lang w:val="en-AU"/>
        </w:rPr>
        <w:t>unaprje</w:t>
      </w:r>
      <w:r>
        <w:rPr>
          <w:szCs w:val="22"/>
        </w:rPr>
        <w:t>đ</w:t>
      </w:r>
      <w:r>
        <w:rPr>
          <w:szCs w:val="22"/>
          <w:lang w:val="en-AU"/>
        </w:rPr>
        <w:t>enje</w:t>
      </w:r>
      <w:r>
        <w:rPr>
          <w:szCs w:val="22"/>
        </w:rPr>
        <w:t xml:space="preserve"> </w:t>
      </w:r>
      <w:r>
        <w:rPr>
          <w:szCs w:val="22"/>
          <w:lang w:val="en-AU"/>
        </w:rPr>
        <w:t>stanja</w:t>
      </w:r>
      <w:r>
        <w:rPr>
          <w:szCs w:val="22"/>
        </w:rPr>
        <w:t xml:space="preserve"> </w:t>
      </w:r>
      <w:r>
        <w:rPr>
          <w:szCs w:val="22"/>
          <w:lang w:val="en-AU"/>
        </w:rPr>
        <w:t>u</w:t>
      </w:r>
      <w:r>
        <w:rPr>
          <w:szCs w:val="22"/>
        </w:rPr>
        <w:t xml:space="preserve"> </w:t>
      </w:r>
      <w:r>
        <w:rPr>
          <w:szCs w:val="22"/>
          <w:lang w:val="en-AU"/>
        </w:rPr>
        <w:t>prostoru</w:t>
      </w:r>
      <w:r>
        <w:rPr>
          <w:szCs w:val="22"/>
        </w:rPr>
        <w:t xml:space="preserve"> </w:t>
      </w:r>
      <w:r>
        <w:rPr>
          <w:szCs w:val="22"/>
          <w:lang w:val="en-AU"/>
        </w:rPr>
        <w:t>za</w:t>
      </w:r>
      <w:r>
        <w:rPr>
          <w:szCs w:val="22"/>
        </w:rPr>
        <w:t xml:space="preserve"> </w:t>
      </w:r>
      <w:r>
        <w:rPr>
          <w:szCs w:val="22"/>
          <w:lang w:val="en-AU"/>
        </w:rPr>
        <w:t>Op</w:t>
      </w:r>
      <w:r>
        <w:rPr>
          <w:szCs w:val="22"/>
        </w:rPr>
        <w:t>ć</w:t>
      </w:r>
      <w:r>
        <w:rPr>
          <w:szCs w:val="22"/>
          <w:lang w:val="en-AU"/>
        </w:rPr>
        <w:t>inu</w:t>
      </w:r>
      <w:r>
        <w:rPr>
          <w:szCs w:val="22"/>
        </w:rPr>
        <w:t xml:space="preserve"> </w:t>
      </w:r>
      <w:r>
        <w:rPr>
          <w:szCs w:val="22"/>
          <w:lang w:val="en-AU"/>
        </w:rPr>
        <w:t>Gornja</w:t>
      </w:r>
      <w:r>
        <w:rPr>
          <w:szCs w:val="22"/>
        </w:rPr>
        <w:t xml:space="preserve"> </w:t>
      </w:r>
      <w:r>
        <w:rPr>
          <w:szCs w:val="22"/>
          <w:lang w:val="en-AU"/>
        </w:rPr>
        <w:t>Rijeka</w:t>
      </w:r>
      <w:r>
        <w:rPr>
          <w:szCs w:val="22"/>
        </w:rPr>
        <w:t xml:space="preserve">. </w:t>
      </w:r>
    </w:p>
    <w:p w:rsidR="00012172" w:rsidRDefault="00012172">
      <w:pPr>
        <w:jc w:val="both"/>
        <w:rPr>
          <w:szCs w:val="22"/>
        </w:rPr>
      </w:pPr>
    </w:p>
    <w:p w:rsidR="00012172" w:rsidRDefault="00012172">
      <w:pPr>
        <w:jc w:val="both"/>
        <w:rPr>
          <w:szCs w:val="22"/>
        </w:rPr>
      </w:pPr>
      <w:r>
        <w:rPr>
          <w:szCs w:val="22"/>
        </w:rPr>
        <w:t xml:space="preserve">(2) </w:t>
      </w:r>
      <w:r>
        <w:rPr>
          <w:szCs w:val="22"/>
          <w:lang w:val="en-AU"/>
        </w:rPr>
        <w:t>Do</w:t>
      </w:r>
      <w:r>
        <w:rPr>
          <w:szCs w:val="22"/>
        </w:rPr>
        <w:t xml:space="preserve"> </w:t>
      </w:r>
      <w:r>
        <w:rPr>
          <w:szCs w:val="22"/>
          <w:lang w:val="en-AU"/>
        </w:rPr>
        <w:t>izrade</w:t>
      </w:r>
      <w:r>
        <w:rPr>
          <w:szCs w:val="22"/>
        </w:rPr>
        <w:t xml:space="preserve"> </w:t>
      </w:r>
      <w:r>
        <w:rPr>
          <w:szCs w:val="22"/>
          <w:lang w:val="en-AU"/>
        </w:rPr>
        <w:t>navedenih</w:t>
      </w:r>
      <w:r>
        <w:rPr>
          <w:szCs w:val="22"/>
        </w:rPr>
        <w:t xml:space="preserve"> </w:t>
      </w:r>
      <w:r>
        <w:rPr>
          <w:szCs w:val="22"/>
          <w:lang w:val="en-AU"/>
        </w:rPr>
        <w:t>planova</w:t>
      </w:r>
      <w:r>
        <w:rPr>
          <w:szCs w:val="22"/>
        </w:rPr>
        <w:t xml:space="preserve"> </w:t>
      </w:r>
      <w:r>
        <w:rPr>
          <w:szCs w:val="22"/>
          <w:lang w:val="en-AU"/>
        </w:rPr>
        <w:t>primjenjivat</w:t>
      </w:r>
      <w:r>
        <w:rPr>
          <w:szCs w:val="22"/>
        </w:rPr>
        <w:t xml:space="preserve"> ć</w:t>
      </w:r>
      <w:r>
        <w:rPr>
          <w:szCs w:val="22"/>
          <w:lang w:val="en-AU"/>
        </w:rPr>
        <w:t>e</w:t>
      </w:r>
      <w:r>
        <w:rPr>
          <w:szCs w:val="22"/>
        </w:rPr>
        <w:t xml:space="preserve"> </w:t>
      </w:r>
      <w:r>
        <w:rPr>
          <w:szCs w:val="22"/>
          <w:lang w:val="en-AU"/>
        </w:rPr>
        <w:t>se</w:t>
      </w:r>
      <w:r>
        <w:rPr>
          <w:szCs w:val="22"/>
        </w:rPr>
        <w:t xml:space="preserve"> </w:t>
      </w:r>
      <w:r>
        <w:rPr>
          <w:szCs w:val="22"/>
          <w:lang w:val="en-AU"/>
        </w:rPr>
        <w:t>va</w:t>
      </w:r>
      <w:r>
        <w:rPr>
          <w:szCs w:val="22"/>
        </w:rPr>
        <w:t>ž</w:t>
      </w:r>
      <w:r>
        <w:rPr>
          <w:szCs w:val="22"/>
          <w:lang w:val="en-AU"/>
        </w:rPr>
        <w:t>e</w:t>
      </w:r>
      <w:r>
        <w:rPr>
          <w:szCs w:val="22"/>
        </w:rPr>
        <w:t>ć</w:t>
      </w:r>
      <w:r>
        <w:rPr>
          <w:szCs w:val="22"/>
          <w:lang w:val="en-AU"/>
        </w:rPr>
        <w:t>i</w:t>
      </w:r>
      <w:r>
        <w:rPr>
          <w:szCs w:val="22"/>
        </w:rPr>
        <w:t xml:space="preserve"> </w:t>
      </w:r>
      <w:r>
        <w:rPr>
          <w:szCs w:val="22"/>
          <w:lang w:val="en-AU"/>
        </w:rPr>
        <w:t>dokumenti</w:t>
      </w:r>
      <w:r>
        <w:rPr>
          <w:szCs w:val="22"/>
        </w:rPr>
        <w:t xml:space="preserve"> </w:t>
      </w:r>
      <w:r>
        <w:rPr>
          <w:szCs w:val="22"/>
          <w:lang w:val="en-AU"/>
        </w:rPr>
        <w:t>prostornog</w:t>
      </w:r>
      <w:r>
        <w:rPr>
          <w:szCs w:val="22"/>
        </w:rPr>
        <w:t xml:space="preserve"> </w:t>
      </w:r>
      <w:r>
        <w:rPr>
          <w:szCs w:val="22"/>
          <w:lang w:val="en-AU"/>
        </w:rPr>
        <w:t>ure</w:t>
      </w:r>
      <w:r>
        <w:rPr>
          <w:szCs w:val="22"/>
        </w:rPr>
        <w:t>đ</w:t>
      </w:r>
      <w:r>
        <w:rPr>
          <w:szCs w:val="22"/>
          <w:lang w:val="en-AU"/>
        </w:rPr>
        <w:t>enja</w:t>
      </w:r>
      <w:r>
        <w:rPr>
          <w:szCs w:val="22"/>
        </w:rPr>
        <w:t xml:space="preserve"> </w:t>
      </w:r>
      <w:r>
        <w:rPr>
          <w:szCs w:val="22"/>
          <w:lang w:val="en-AU"/>
        </w:rPr>
        <w:t>koji</w:t>
      </w:r>
      <w:r>
        <w:rPr>
          <w:szCs w:val="22"/>
        </w:rPr>
        <w:t xml:space="preserve"> </w:t>
      </w:r>
      <w:r>
        <w:rPr>
          <w:szCs w:val="22"/>
          <w:lang w:val="en-AU"/>
        </w:rPr>
        <w:t>su</w:t>
      </w:r>
      <w:r>
        <w:rPr>
          <w:szCs w:val="22"/>
        </w:rPr>
        <w:t xml:space="preserve"> </w:t>
      </w:r>
      <w:r>
        <w:rPr>
          <w:szCs w:val="22"/>
          <w:lang w:val="en-AU"/>
        </w:rPr>
        <w:t>u</w:t>
      </w:r>
      <w:r>
        <w:rPr>
          <w:szCs w:val="22"/>
        </w:rPr>
        <w:t xml:space="preserve"> </w:t>
      </w:r>
      <w:r>
        <w:rPr>
          <w:szCs w:val="22"/>
          <w:lang w:val="en-AU"/>
        </w:rPr>
        <w:t>skladu</w:t>
      </w:r>
      <w:r>
        <w:rPr>
          <w:szCs w:val="22"/>
        </w:rPr>
        <w:t xml:space="preserve"> </w:t>
      </w:r>
      <w:r>
        <w:rPr>
          <w:szCs w:val="22"/>
          <w:lang w:val="en-AU"/>
        </w:rPr>
        <w:t>s</w:t>
      </w:r>
      <w:r>
        <w:rPr>
          <w:szCs w:val="22"/>
        </w:rPr>
        <w:t xml:space="preserve"> </w:t>
      </w:r>
      <w:r>
        <w:rPr>
          <w:szCs w:val="22"/>
          <w:lang w:val="en-AU"/>
        </w:rPr>
        <w:t>ovim</w:t>
      </w:r>
      <w:r>
        <w:rPr>
          <w:szCs w:val="22"/>
        </w:rPr>
        <w:t xml:space="preserve"> </w:t>
      </w:r>
      <w:r>
        <w:rPr>
          <w:szCs w:val="22"/>
          <w:lang w:val="en-AU"/>
        </w:rPr>
        <w:t>prostornim</w:t>
      </w:r>
      <w:r>
        <w:rPr>
          <w:szCs w:val="22"/>
        </w:rPr>
        <w:t xml:space="preserve"> </w:t>
      </w:r>
      <w:r>
        <w:rPr>
          <w:szCs w:val="22"/>
          <w:lang w:val="en-AU"/>
        </w:rPr>
        <w:t>planom</w:t>
      </w:r>
      <w:r>
        <w:rPr>
          <w:szCs w:val="22"/>
        </w:rPr>
        <w:t xml:space="preserve"> </w:t>
      </w:r>
      <w:r>
        <w:rPr>
          <w:szCs w:val="22"/>
          <w:lang w:val="en-AU"/>
        </w:rPr>
        <w:t>odnosno</w:t>
      </w:r>
      <w:r>
        <w:rPr>
          <w:szCs w:val="22"/>
        </w:rPr>
        <w:t xml:space="preserve"> </w:t>
      </w:r>
      <w:r>
        <w:rPr>
          <w:szCs w:val="22"/>
          <w:lang w:val="en-AU"/>
        </w:rPr>
        <w:t>primjenjivat</w:t>
      </w:r>
      <w:r>
        <w:rPr>
          <w:szCs w:val="22"/>
        </w:rPr>
        <w:t xml:space="preserve"> ć</w:t>
      </w:r>
      <w:r>
        <w:rPr>
          <w:szCs w:val="22"/>
          <w:lang w:val="en-AU"/>
        </w:rPr>
        <w:t>e</w:t>
      </w:r>
      <w:r>
        <w:rPr>
          <w:szCs w:val="22"/>
        </w:rPr>
        <w:t xml:space="preserve"> </w:t>
      </w:r>
      <w:r>
        <w:rPr>
          <w:szCs w:val="22"/>
          <w:lang w:val="en-AU"/>
        </w:rPr>
        <w:t>se</w:t>
      </w:r>
      <w:r>
        <w:rPr>
          <w:szCs w:val="22"/>
        </w:rPr>
        <w:t xml:space="preserve"> </w:t>
      </w:r>
      <w:r>
        <w:rPr>
          <w:szCs w:val="22"/>
          <w:lang w:val="en-AU"/>
        </w:rPr>
        <w:t>odredbe</w:t>
      </w:r>
      <w:r>
        <w:rPr>
          <w:szCs w:val="22"/>
        </w:rPr>
        <w:t xml:space="preserve"> </w:t>
      </w:r>
      <w:r>
        <w:rPr>
          <w:szCs w:val="22"/>
          <w:lang w:val="en-AU"/>
        </w:rPr>
        <w:t>ovog</w:t>
      </w:r>
      <w:r>
        <w:rPr>
          <w:szCs w:val="22"/>
        </w:rPr>
        <w:t xml:space="preserve"> </w:t>
      </w:r>
      <w:r>
        <w:rPr>
          <w:szCs w:val="22"/>
          <w:lang w:val="en-AU"/>
        </w:rPr>
        <w:t>Plana</w:t>
      </w:r>
      <w:r>
        <w:rPr>
          <w:szCs w:val="22"/>
        </w:rPr>
        <w:t>.</w:t>
      </w:r>
    </w:p>
    <w:p w:rsidR="00012172" w:rsidRDefault="00012172">
      <w:pPr>
        <w:rPr>
          <w:rFonts w:ascii="Arial" w:hAnsi="Arial"/>
        </w:rPr>
      </w:pPr>
    </w:p>
    <w:p w:rsidR="00012172" w:rsidRDefault="00012172">
      <w:pPr>
        <w:pStyle w:val="Naslov2"/>
        <w:rPr>
          <w:rFonts w:ascii="Times New Roman" w:hAnsi="Times New Roman" w:cs="Times New Roman"/>
        </w:rPr>
      </w:pPr>
      <w:bookmarkStart w:id="92" w:name="_Toc49756035"/>
      <w:bookmarkStart w:id="93" w:name="_Toc95140625"/>
      <w:r>
        <w:rPr>
          <w:rFonts w:ascii="Times New Roman" w:hAnsi="Times New Roman" w:cs="Times New Roman"/>
        </w:rPr>
        <w:t>9.2. Primjena posebnih razvojnih i drugih mjera</w:t>
      </w:r>
      <w:bookmarkEnd w:id="92"/>
      <w:bookmarkEnd w:id="93"/>
      <w:r>
        <w:rPr>
          <w:rFonts w:ascii="Times New Roman" w:hAnsi="Times New Roman" w:cs="Times New Roman"/>
        </w:rPr>
        <w:t xml:space="preserve"> </w:t>
      </w:r>
    </w:p>
    <w:p w:rsidR="00012172" w:rsidRDefault="00012172">
      <w:pPr>
        <w:jc w:val="center"/>
        <w:rPr>
          <w:rFonts w:ascii="Arial" w:hAnsi="Arial"/>
          <w:sz w:val="22"/>
          <w:szCs w:val="22"/>
        </w:rPr>
      </w:pPr>
    </w:p>
    <w:p w:rsidR="00012172" w:rsidRDefault="00012172">
      <w:pPr>
        <w:jc w:val="center"/>
        <w:rPr>
          <w:rFonts w:ascii="Arial" w:hAnsi="Arial"/>
          <w:sz w:val="22"/>
          <w:szCs w:val="22"/>
        </w:rPr>
      </w:pPr>
    </w:p>
    <w:p w:rsidR="00012172" w:rsidRDefault="00012172">
      <w:pPr>
        <w:jc w:val="center"/>
        <w:rPr>
          <w:szCs w:val="22"/>
        </w:rPr>
      </w:pPr>
      <w:r>
        <w:rPr>
          <w:szCs w:val="22"/>
        </w:rPr>
        <w:t>Č</w:t>
      </w:r>
      <w:r>
        <w:rPr>
          <w:szCs w:val="22"/>
          <w:lang w:val="en-AU"/>
        </w:rPr>
        <w:t>lanak</w:t>
      </w:r>
      <w:r w:rsidR="00F8431B">
        <w:rPr>
          <w:szCs w:val="22"/>
        </w:rPr>
        <w:t xml:space="preserve"> 114</w:t>
      </w:r>
      <w:r>
        <w:rPr>
          <w:szCs w:val="22"/>
        </w:rPr>
        <w:t>.</w:t>
      </w:r>
    </w:p>
    <w:p w:rsidR="00012172" w:rsidRDefault="00012172">
      <w:pPr>
        <w:jc w:val="both"/>
        <w:rPr>
          <w:szCs w:val="22"/>
        </w:rPr>
      </w:pPr>
      <w:r>
        <w:rPr>
          <w:szCs w:val="22"/>
        </w:rPr>
        <w:t xml:space="preserve">(1) </w:t>
      </w:r>
      <w:r>
        <w:rPr>
          <w:szCs w:val="22"/>
          <w:lang w:val="en-AU"/>
        </w:rPr>
        <w:t>Podru</w:t>
      </w:r>
      <w:r>
        <w:rPr>
          <w:szCs w:val="22"/>
        </w:rPr>
        <w:t>č</w:t>
      </w:r>
      <w:r>
        <w:rPr>
          <w:szCs w:val="22"/>
          <w:lang w:val="en-AU"/>
        </w:rPr>
        <w:t>ja</w:t>
      </w:r>
      <w:r>
        <w:rPr>
          <w:szCs w:val="22"/>
        </w:rPr>
        <w:t xml:space="preserve"> </w:t>
      </w:r>
      <w:r>
        <w:rPr>
          <w:szCs w:val="22"/>
          <w:lang w:val="en-AU"/>
        </w:rPr>
        <w:t>primjene</w:t>
      </w:r>
      <w:r>
        <w:rPr>
          <w:szCs w:val="22"/>
        </w:rPr>
        <w:t xml:space="preserve"> </w:t>
      </w:r>
      <w:r>
        <w:rPr>
          <w:szCs w:val="22"/>
          <w:lang w:val="en-AU"/>
        </w:rPr>
        <w:t>posebnih</w:t>
      </w:r>
      <w:r>
        <w:rPr>
          <w:szCs w:val="22"/>
        </w:rPr>
        <w:t xml:space="preserve"> </w:t>
      </w:r>
      <w:r>
        <w:rPr>
          <w:szCs w:val="22"/>
          <w:lang w:val="en-AU"/>
        </w:rPr>
        <w:t>razvojnih</w:t>
      </w:r>
      <w:r>
        <w:rPr>
          <w:szCs w:val="22"/>
        </w:rPr>
        <w:t xml:space="preserve"> </w:t>
      </w:r>
      <w:r>
        <w:rPr>
          <w:szCs w:val="22"/>
          <w:lang w:val="en-AU"/>
        </w:rPr>
        <w:t>mjera</w:t>
      </w:r>
      <w:r>
        <w:rPr>
          <w:szCs w:val="22"/>
        </w:rPr>
        <w:t xml:space="preserve"> </w:t>
      </w:r>
      <w:r>
        <w:rPr>
          <w:szCs w:val="22"/>
          <w:lang w:val="en-AU"/>
        </w:rPr>
        <w:t>u</w:t>
      </w:r>
      <w:r>
        <w:rPr>
          <w:szCs w:val="22"/>
        </w:rPr>
        <w:t xml:space="preserve"> </w:t>
      </w:r>
      <w:r>
        <w:rPr>
          <w:szCs w:val="22"/>
          <w:lang w:val="en-AU"/>
        </w:rPr>
        <w:t>okviru</w:t>
      </w:r>
      <w:r>
        <w:rPr>
          <w:szCs w:val="22"/>
        </w:rPr>
        <w:t xml:space="preserve"> </w:t>
      </w:r>
      <w:r>
        <w:rPr>
          <w:szCs w:val="22"/>
          <w:lang w:val="en-AU"/>
        </w:rPr>
        <w:t>obuhvata</w:t>
      </w:r>
      <w:r>
        <w:rPr>
          <w:szCs w:val="22"/>
        </w:rPr>
        <w:t xml:space="preserve"> </w:t>
      </w:r>
      <w:r>
        <w:rPr>
          <w:szCs w:val="22"/>
          <w:lang w:val="en-AU"/>
        </w:rPr>
        <w:t>plana</w:t>
      </w:r>
      <w:r>
        <w:rPr>
          <w:szCs w:val="22"/>
        </w:rPr>
        <w:t xml:space="preserve"> </w:t>
      </w:r>
      <w:r>
        <w:rPr>
          <w:szCs w:val="22"/>
          <w:lang w:val="en-AU"/>
        </w:rPr>
        <w:t>prvenstveno</w:t>
      </w:r>
      <w:r>
        <w:rPr>
          <w:szCs w:val="22"/>
        </w:rPr>
        <w:t xml:space="preserve"> </w:t>
      </w:r>
      <w:r>
        <w:rPr>
          <w:szCs w:val="22"/>
          <w:lang w:val="en-AU"/>
        </w:rPr>
        <w:t>su</w:t>
      </w:r>
      <w:r>
        <w:rPr>
          <w:szCs w:val="22"/>
        </w:rPr>
        <w:t>:</w:t>
      </w:r>
    </w:p>
    <w:p w:rsidR="00012172" w:rsidRDefault="00012172">
      <w:pPr>
        <w:tabs>
          <w:tab w:val="left" w:pos="720"/>
        </w:tabs>
        <w:overflowPunct w:val="0"/>
        <w:autoSpaceDE w:val="0"/>
        <w:autoSpaceDN w:val="0"/>
        <w:adjustRightInd w:val="0"/>
        <w:ind w:left="720" w:hanging="360"/>
        <w:jc w:val="both"/>
        <w:textAlignment w:val="baseline"/>
        <w:rPr>
          <w:szCs w:val="22"/>
        </w:rPr>
      </w:pPr>
      <w:r>
        <w:rPr>
          <w:szCs w:val="22"/>
          <w:lang w:val="en-AU"/>
        </w:rPr>
        <w:t>naselja</w:t>
      </w:r>
      <w:r>
        <w:rPr>
          <w:szCs w:val="22"/>
        </w:rPr>
        <w:t xml:space="preserve"> </w:t>
      </w:r>
      <w:r>
        <w:rPr>
          <w:szCs w:val="22"/>
          <w:lang w:val="en-AU"/>
        </w:rPr>
        <w:t>s</w:t>
      </w:r>
      <w:r>
        <w:rPr>
          <w:szCs w:val="22"/>
        </w:rPr>
        <w:t xml:space="preserve"> </w:t>
      </w:r>
      <w:r>
        <w:rPr>
          <w:szCs w:val="22"/>
          <w:lang w:val="en-AU"/>
        </w:rPr>
        <w:t>demografski</w:t>
      </w:r>
      <w:r>
        <w:rPr>
          <w:szCs w:val="22"/>
        </w:rPr>
        <w:t xml:space="preserve"> </w:t>
      </w:r>
      <w:r>
        <w:rPr>
          <w:szCs w:val="22"/>
          <w:lang w:val="en-AU"/>
        </w:rPr>
        <w:t>nepovoljnim</w:t>
      </w:r>
      <w:r>
        <w:rPr>
          <w:szCs w:val="22"/>
        </w:rPr>
        <w:t xml:space="preserve"> </w:t>
      </w:r>
      <w:r>
        <w:rPr>
          <w:szCs w:val="22"/>
          <w:lang w:val="en-AU"/>
        </w:rPr>
        <w:t>pokazateljima</w:t>
      </w:r>
    </w:p>
    <w:p w:rsidR="00012172" w:rsidRDefault="00012172">
      <w:pPr>
        <w:tabs>
          <w:tab w:val="left" w:pos="720"/>
        </w:tabs>
        <w:overflowPunct w:val="0"/>
        <w:autoSpaceDE w:val="0"/>
        <w:autoSpaceDN w:val="0"/>
        <w:adjustRightInd w:val="0"/>
        <w:ind w:left="720" w:hanging="360"/>
        <w:jc w:val="both"/>
        <w:textAlignment w:val="baseline"/>
        <w:rPr>
          <w:szCs w:val="22"/>
        </w:rPr>
      </w:pPr>
      <w:r>
        <w:rPr>
          <w:szCs w:val="22"/>
          <w:lang w:val="en-AU"/>
        </w:rPr>
        <w:t>poljoprivredne</w:t>
      </w:r>
      <w:r>
        <w:rPr>
          <w:szCs w:val="22"/>
        </w:rPr>
        <w:t xml:space="preserve"> </w:t>
      </w:r>
      <w:r>
        <w:rPr>
          <w:szCs w:val="22"/>
          <w:lang w:val="en-AU"/>
        </w:rPr>
        <w:t>povr</w:t>
      </w:r>
      <w:r>
        <w:rPr>
          <w:szCs w:val="22"/>
        </w:rPr>
        <w:t>š</w:t>
      </w:r>
      <w:r>
        <w:rPr>
          <w:szCs w:val="22"/>
          <w:lang w:val="en-AU"/>
        </w:rPr>
        <w:t>ine</w:t>
      </w:r>
    </w:p>
    <w:p w:rsidR="00012172" w:rsidRDefault="00012172">
      <w:pPr>
        <w:tabs>
          <w:tab w:val="left" w:pos="720"/>
        </w:tabs>
        <w:overflowPunct w:val="0"/>
        <w:autoSpaceDE w:val="0"/>
        <w:autoSpaceDN w:val="0"/>
        <w:adjustRightInd w:val="0"/>
        <w:ind w:left="720" w:hanging="360"/>
        <w:jc w:val="both"/>
        <w:textAlignment w:val="baseline"/>
        <w:rPr>
          <w:szCs w:val="22"/>
        </w:rPr>
      </w:pPr>
      <w:r>
        <w:rPr>
          <w:szCs w:val="22"/>
          <w:lang w:val="en-AU"/>
        </w:rPr>
        <w:t>podru</w:t>
      </w:r>
      <w:r>
        <w:rPr>
          <w:szCs w:val="22"/>
        </w:rPr>
        <w:t>č</w:t>
      </w:r>
      <w:r>
        <w:rPr>
          <w:szCs w:val="22"/>
          <w:lang w:val="en-AU"/>
        </w:rPr>
        <w:t>ja</w:t>
      </w:r>
      <w:r>
        <w:rPr>
          <w:szCs w:val="22"/>
        </w:rPr>
        <w:t xml:space="preserve"> </w:t>
      </w:r>
      <w:r>
        <w:rPr>
          <w:szCs w:val="22"/>
          <w:lang w:val="en-AU"/>
        </w:rPr>
        <w:t>sa</w:t>
      </w:r>
      <w:r>
        <w:rPr>
          <w:szCs w:val="22"/>
        </w:rPr>
        <w:t xml:space="preserve"> </w:t>
      </w:r>
      <w:r>
        <w:rPr>
          <w:szCs w:val="22"/>
          <w:lang w:val="en-AU"/>
        </w:rPr>
        <w:t>slabo</w:t>
      </w:r>
      <w:r>
        <w:rPr>
          <w:szCs w:val="22"/>
        </w:rPr>
        <w:t xml:space="preserve"> </w:t>
      </w:r>
      <w:r>
        <w:rPr>
          <w:szCs w:val="22"/>
          <w:lang w:val="en-AU"/>
        </w:rPr>
        <w:t>razvijenim</w:t>
      </w:r>
      <w:r>
        <w:rPr>
          <w:szCs w:val="22"/>
        </w:rPr>
        <w:t xml:space="preserve"> </w:t>
      </w:r>
      <w:r>
        <w:rPr>
          <w:szCs w:val="22"/>
          <w:lang w:val="en-AU"/>
        </w:rPr>
        <w:t>gospodarstvom</w:t>
      </w:r>
    </w:p>
    <w:p w:rsidR="00012172" w:rsidRDefault="00012172">
      <w:pPr>
        <w:jc w:val="both"/>
        <w:rPr>
          <w:szCs w:val="22"/>
        </w:rPr>
      </w:pPr>
    </w:p>
    <w:p w:rsidR="00012172" w:rsidRDefault="00012172">
      <w:pPr>
        <w:jc w:val="center"/>
        <w:rPr>
          <w:szCs w:val="22"/>
        </w:rPr>
      </w:pPr>
      <w:r>
        <w:rPr>
          <w:szCs w:val="22"/>
        </w:rPr>
        <w:t>Č</w:t>
      </w:r>
      <w:r>
        <w:rPr>
          <w:szCs w:val="22"/>
          <w:lang w:val="en-AU"/>
        </w:rPr>
        <w:t>lanak</w:t>
      </w:r>
      <w:r w:rsidR="00F8431B">
        <w:rPr>
          <w:szCs w:val="22"/>
        </w:rPr>
        <w:t xml:space="preserve"> 115</w:t>
      </w:r>
      <w:r>
        <w:rPr>
          <w:szCs w:val="22"/>
        </w:rPr>
        <w:t>.</w:t>
      </w:r>
    </w:p>
    <w:p w:rsidR="00012172" w:rsidRDefault="00012172">
      <w:pPr>
        <w:jc w:val="both"/>
        <w:rPr>
          <w:szCs w:val="22"/>
        </w:rPr>
      </w:pPr>
      <w:r>
        <w:rPr>
          <w:szCs w:val="22"/>
        </w:rPr>
        <w:t xml:space="preserve">(1) </w:t>
      </w:r>
      <w:r>
        <w:rPr>
          <w:szCs w:val="22"/>
          <w:lang w:val="en-AU"/>
        </w:rPr>
        <w:t>Posebne</w:t>
      </w:r>
      <w:r>
        <w:rPr>
          <w:szCs w:val="22"/>
        </w:rPr>
        <w:t xml:space="preserve"> </w:t>
      </w:r>
      <w:r>
        <w:rPr>
          <w:szCs w:val="22"/>
          <w:lang w:val="en-AU"/>
        </w:rPr>
        <w:t>postavke</w:t>
      </w:r>
      <w:r>
        <w:rPr>
          <w:szCs w:val="22"/>
        </w:rPr>
        <w:t xml:space="preserve"> </w:t>
      </w:r>
      <w:r>
        <w:rPr>
          <w:szCs w:val="22"/>
          <w:lang w:val="en-AU"/>
        </w:rPr>
        <w:t>razvoja</w:t>
      </w:r>
      <w:r>
        <w:rPr>
          <w:szCs w:val="22"/>
        </w:rPr>
        <w:t xml:space="preserve"> </w:t>
      </w:r>
      <w:r>
        <w:rPr>
          <w:szCs w:val="22"/>
          <w:lang w:val="en-AU"/>
        </w:rPr>
        <w:t>koje</w:t>
      </w:r>
      <w:r>
        <w:rPr>
          <w:szCs w:val="22"/>
        </w:rPr>
        <w:t xml:space="preserve"> </w:t>
      </w:r>
      <w:r>
        <w:rPr>
          <w:szCs w:val="22"/>
          <w:lang w:val="en-AU"/>
        </w:rPr>
        <w:t>treba</w:t>
      </w:r>
      <w:r>
        <w:rPr>
          <w:szCs w:val="22"/>
        </w:rPr>
        <w:t xml:space="preserve"> </w:t>
      </w:r>
      <w:r>
        <w:rPr>
          <w:szCs w:val="22"/>
          <w:lang w:val="en-AU"/>
        </w:rPr>
        <w:t>poticati</w:t>
      </w:r>
      <w:r>
        <w:rPr>
          <w:szCs w:val="22"/>
        </w:rPr>
        <w:t xml:space="preserve"> </w:t>
      </w:r>
      <w:r>
        <w:rPr>
          <w:szCs w:val="22"/>
          <w:lang w:val="en-AU"/>
        </w:rPr>
        <w:t>za</w:t>
      </w:r>
      <w:r>
        <w:rPr>
          <w:szCs w:val="22"/>
        </w:rPr>
        <w:t xml:space="preserve"> </w:t>
      </w:r>
      <w:r>
        <w:rPr>
          <w:szCs w:val="22"/>
          <w:lang w:val="en-AU"/>
        </w:rPr>
        <w:t>navedena</w:t>
      </w:r>
      <w:r>
        <w:rPr>
          <w:szCs w:val="22"/>
        </w:rPr>
        <w:t xml:space="preserve"> </w:t>
      </w:r>
      <w:r>
        <w:rPr>
          <w:szCs w:val="22"/>
          <w:lang w:val="en-AU"/>
        </w:rPr>
        <w:t>podru</w:t>
      </w:r>
      <w:r>
        <w:rPr>
          <w:szCs w:val="22"/>
        </w:rPr>
        <w:t>č</w:t>
      </w:r>
      <w:r>
        <w:rPr>
          <w:szCs w:val="22"/>
          <w:lang w:val="en-AU"/>
        </w:rPr>
        <w:t>ja</w:t>
      </w:r>
      <w:r>
        <w:rPr>
          <w:szCs w:val="22"/>
        </w:rPr>
        <w:t xml:space="preserve"> </w:t>
      </w:r>
      <w:r>
        <w:rPr>
          <w:szCs w:val="22"/>
          <w:lang w:val="en-AU"/>
        </w:rPr>
        <w:t>su</w:t>
      </w:r>
      <w:r>
        <w:rPr>
          <w:szCs w:val="22"/>
        </w:rPr>
        <w:t>:</w:t>
      </w:r>
    </w:p>
    <w:p w:rsidR="00012172" w:rsidRDefault="00012172">
      <w:pPr>
        <w:tabs>
          <w:tab w:val="left" w:pos="720"/>
        </w:tabs>
        <w:overflowPunct w:val="0"/>
        <w:autoSpaceDE w:val="0"/>
        <w:autoSpaceDN w:val="0"/>
        <w:adjustRightInd w:val="0"/>
        <w:ind w:left="720" w:hanging="360"/>
        <w:jc w:val="both"/>
        <w:textAlignment w:val="baseline"/>
        <w:rPr>
          <w:szCs w:val="22"/>
          <w:lang w:val="en-AU"/>
        </w:rPr>
      </w:pPr>
      <w:r>
        <w:rPr>
          <w:szCs w:val="22"/>
          <w:lang w:val="en-AU"/>
        </w:rPr>
        <w:t>ublažavanje negativnih procesa smanjenja broja stanovništva,</w:t>
      </w:r>
    </w:p>
    <w:p w:rsidR="00012172" w:rsidRDefault="00012172">
      <w:pPr>
        <w:tabs>
          <w:tab w:val="left" w:pos="720"/>
        </w:tabs>
        <w:overflowPunct w:val="0"/>
        <w:autoSpaceDE w:val="0"/>
        <w:autoSpaceDN w:val="0"/>
        <w:adjustRightInd w:val="0"/>
        <w:ind w:left="720" w:hanging="360"/>
        <w:jc w:val="both"/>
        <w:textAlignment w:val="baseline"/>
        <w:rPr>
          <w:szCs w:val="22"/>
          <w:lang w:val="en-AU"/>
        </w:rPr>
      </w:pPr>
      <w:r>
        <w:rPr>
          <w:szCs w:val="22"/>
          <w:lang w:val="en-AU"/>
        </w:rPr>
        <w:t>uvođenje permanentnog obrazovanja stanovništva</w:t>
      </w:r>
    </w:p>
    <w:p w:rsidR="00012172" w:rsidRDefault="00012172">
      <w:pPr>
        <w:tabs>
          <w:tab w:val="left" w:pos="720"/>
        </w:tabs>
        <w:overflowPunct w:val="0"/>
        <w:autoSpaceDE w:val="0"/>
        <w:autoSpaceDN w:val="0"/>
        <w:adjustRightInd w:val="0"/>
        <w:ind w:left="720" w:hanging="360"/>
        <w:jc w:val="both"/>
        <w:textAlignment w:val="baseline"/>
        <w:rPr>
          <w:szCs w:val="22"/>
          <w:lang w:val="en-AU"/>
        </w:rPr>
      </w:pPr>
      <w:r>
        <w:rPr>
          <w:szCs w:val="22"/>
          <w:lang w:val="en-AU"/>
        </w:rPr>
        <w:t>poticati razvoj prometnih pravaca, koji osiguravaju razvoj ovog područja i integraciju u prostor Općine, Županije i regije</w:t>
      </w:r>
    </w:p>
    <w:p w:rsidR="00012172" w:rsidRDefault="00012172">
      <w:pPr>
        <w:tabs>
          <w:tab w:val="left" w:pos="720"/>
        </w:tabs>
        <w:overflowPunct w:val="0"/>
        <w:autoSpaceDE w:val="0"/>
        <w:autoSpaceDN w:val="0"/>
        <w:adjustRightInd w:val="0"/>
        <w:ind w:left="720" w:hanging="360"/>
        <w:jc w:val="both"/>
        <w:textAlignment w:val="baseline"/>
        <w:rPr>
          <w:szCs w:val="22"/>
          <w:lang w:val="en-AU"/>
        </w:rPr>
      </w:pPr>
      <w:r>
        <w:rPr>
          <w:szCs w:val="22"/>
          <w:lang w:val="en-AU"/>
        </w:rPr>
        <w:t>građevinsko zemljište - osigurati prodaju uređenog građevinskog zemljišta po povoljnijim cijenama,</w:t>
      </w:r>
    </w:p>
    <w:p w:rsidR="00012172" w:rsidRDefault="00012172">
      <w:pPr>
        <w:tabs>
          <w:tab w:val="left" w:pos="720"/>
        </w:tabs>
        <w:overflowPunct w:val="0"/>
        <w:autoSpaceDE w:val="0"/>
        <w:autoSpaceDN w:val="0"/>
        <w:adjustRightInd w:val="0"/>
        <w:ind w:left="720" w:hanging="360"/>
        <w:jc w:val="both"/>
        <w:textAlignment w:val="baseline"/>
        <w:rPr>
          <w:szCs w:val="22"/>
          <w:lang w:val="en-AU"/>
        </w:rPr>
      </w:pPr>
      <w:r>
        <w:rPr>
          <w:szCs w:val="22"/>
          <w:lang w:val="en-AU"/>
        </w:rPr>
        <w:t xml:space="preserve">poticajne mjere za poduzetnike, obrtnike i poljodjelstvo. </w:t>
      </w:r>
    </w:p>
    <w:p w:rsidR="00012172" w:rsidRDefault="00012172">
      <w:pPr>
        <w:tabs>
          <w:tab w:val="left" w:pos="720"/>
        </w:tabs>
        <w:overflowPunct w:val="0"/>
        <w:autoSpaceDE w:val="0"/>
        <w:autoSpaceDN w:val="0"/>
        <w:adjustRightInd w:val="0"/>
        <w:ind w:left="720" w:hanging="360"/>
        <w:jc w:val="both"/>
        <w:textAlignment w:val="baseline"/>
        <w:rPr>
          <w:szCs w:val="22"/>
          <w:lang w:val="en-AU"/>
        </w:rPr>
      </w:pPr>
      <w:r>
        <w:rPr>
          <w:szCs w:val="22"/>
          <w:lang w:val="en-AU"/>
        </w:rPr>
        <w:t>pokretanje razvojnih projekata u suradnji sa susjednim općinama</w:t>
      </w:r>
    </w:p>
    <w:p w:rsidR="00012172" w:rsidRDefault="00012172">
      <w:pPr>
        <w:tabs>
          <w:tab w:val="left" w:pos="720"/>
        </w:tabs>
        <w:overflowPunct w:val="0"/>
        <w:autoSpaceDE w:val="0"/>
        <w:autoSpaceDN w:val="0"/>
        <w:adjustRightInd w:val="0"/>
        <w:ind w:left="720" w:hanging="360"/>
        <w:jc w:val="both"/>
        <w:textAlignment w:val="baseline"/>
        <w:rPr>
          <w:szCs w:val="22"/>
          <w:lang w:val="de-DE"/>
        </w:rPr>
      </w:pPr>
      <w:r>
        <w:rPr>
          <w:szCs w:val="22"/>
          <w:lang w:val="de-DE"/>
        </w:rPr>
        <w:t>obrzano razvijati sve segmente infrastrukture</w:t>
      </w:r>
    </w:p>
    <w:p w:rsidR="00012172" w:rsidRDefault="00012172">
      <w:pPr>
        <w:rPr>
          <w:rFonts w:ascii="Arial" w:hAnsi="Arial" w:cs="Arial"/>
          <w:b/>
          <w:sz w:val="22"/>
          <w:szCs w:val="22"/>
        </w:rPr>
      </w:pPr>
    </w:p>
    <w:p w:rsidR="00012172" w:rsidRDefault="00F8431B">
      <w:pPr>
        <w:jc w:val="center"/>
        <w:rPr>
          <w:szCs w:val="22"/>
          <w:lang w:val="de-DE"/>
        </w:rPr>
      </w:pPr>
      <w:r>
        <w:rPr>
          <w:szCs w:val="22"/>
          <w:lang w:val="de-DE"/>
        </w:rPr>
        <w:t>Članak 116</w:t>
      </w:r>
      <w:r w:rsidR="00012172">
        <w:rPr>
          <w:szCs w:val="22"/>
          <w:lang w:val="de-DE"/>
        </w:rPr>
        <w:t>.</w:t>
      </w:r>
    </w:p>
    <w:p w:rsidR="00012172" w:rsidRDefault="00012172">
      <w:pPr>
        <w:rPr>
          <w:szCs w:val="22"/>
        </w:rPr>
      </w:pPr>
      <w:r>
        <w:rPr>
          <w:szCs w:val="22"/>
        </w:rPr>
        <w:t>(1) Konkretne razvojne mjere:</w:t>
      </w:r>
    </w:p>
    <w:p w:rsidR="00012172" w:rsidRDefault="00012172">
      <w:pPr>
        <w:ind w:left="708"/>
        <w:rPr>
          <w:szCs w:val="22"/>
        </w:rPr>
      </w:pPr>
      <w:r>
        <w:rPr>
          <w:szCs w:val="22"/>
        </w:rPr>
        <w:t>- ukidanje komunalne naknade</w:t>
      </w:r>
    </w:p>
    <w:p w:rsidR="00012172" w:rsidRDefault="00012172">
      <w:pPr>
        <w:ind w:left="708"/>
        <w:rPr>
          <w:szCs w:val="22"/>
        </w:rPr>
      </w:pPr>
      <w:r>
        <w:rPr>
          <w:szCs w:val="22"/>
        </w:rPr>
        <w:t xml:space="preserve">- uređenje </w:t>
      </w:r>
      <w:r w:rsidR="00725F6F">
        <w:rPr>
          <w:szCs w:val="22"/>
        </w:rPr>
        <w:t>poslovne</w:t>
      </w:r>
      <w:r>
        <w:rPr>
          <w:szCs w:val="22"/>
        </w:rPr>
        <w:t xml:space="preserve"> zon</w:t>
      </w:r>
      <w:r w:rsidR="00725F6F">
        <w:rPr>
          <w:szCs w:val="22"/>
        </w:rPr>
        <w:t>e</w:t>
      </w:r>
    </w:p>
    <w:p w:rsidR="00725F6F" w:rsidRDefault="00725F6F">
      <w:pPr>
        <w:ind w:left="708"/>
        <w:rPr>
          <w:szCs w:val="22"/>
        </w:rPr>
      </w:pPr>
      <w:r>
        <w:rPr>
          <w:szCs w:val="22"/>
        </w:rPr>
        <w:t>- subvencioniranje razvoja ruralnog turizma</w:t>
      </w:r>
    </w:p>
    <w:p w:rsidR="00012172" w:rsidRDefault="00012172" w:rsidP="00F8431B">
      <w:pPr>
        <w:ind w:left="708"/>
        <w:rPr>
          <w:szCs w:val="22"/>
        </w:rPr>
      </w:pPr>
      <w:r>
        <w:rPr>
          <w:szCs w:val="22"/>
        </w:rPr>
        <w:t xml:space="preserve">- porezne stope </w:t>
      </w:r>
      <w:r w:rsidR="00F8431B">
        <w:rPr>
          <w:szCs w:val="22"/>
        </w:rPr>
        <w:t>(p</w:t>
      </w:r>
      <w:r>
        <w:rPr>
          <w:szCs w:val="22"/>
        </w:rPr>
        <w:t>ropisivanje manjih poreznih stopa za djelatnosti koje se želi poticati i za poduzetnike početnike</w:t>
      </w:r>
      <w:r w:rsidR="00F8431B">
        <w:rPr>
          <w:szCs w:val="22"/>
        </w:rPr>
        <w:t>)</w:t>
      </w:r>
      <w:r>
        <w:rPr>
          <w:szCs w:val="22"/>
        </w:rPr>
        <w:t>.</w:t>
      </w:r>
    </w:p>
    <w:p w:rsidR="00012172" w:rsidRDefault="00012172">
      <w:pPr>
        <w:rPr>
          <w:rFonts w:ascii="Arial" w:hAnsi="Arial" w:cs="Arial"/>
          <w:sz w:val="22"/>
          <w:szCs w:val="22"/>
        </w:rPr>
      </w:pPr>
    </w:p>
    <w:p w:rsidR="00012172" w:rsidRDefault="00012172">
      <w:pPr>
        <w:rPr>
          <w:rFonts w:ascii="Arial" w:hAnsi="Arial" w:cs="Arial"/>
          <w:sz w:val="22"/>
          <w:szCs w:val="22"/>
        </w:rPr>
      </w:pPr>
    </w:p>
    <w:p w:rsidR="00012172" w:rsidRDefault="00012172">
      <w:pPr>
        <w:pStyle w:val="Naslov2"/>
        <w:rPr>
          <w:rFonts w:ascii="Times New Roman" w:hAnsi="Times New Roman" w:cs="Times New Roman"/>
        </w:rPr>
      </w:pPr>
      <w:bookmarkStart w:id="94" w:name="_Toc49756036"/>
      <w:bookmarkStart w:id="95" w:name="_Toc95140626"/>
      <w:r>
        <w:rPr>
          <w:rFonts w:ascii="Times New Roman" w:hAnsi="Times New Roman" w:cs="Times New Roman"/>
        </w:rPr>
        <w:t>9.3. Rekonstrukcija građevina čija je namjena protivna planiranoj namjeni.</w:t>
      </w:r>
      <w:bookmarkEnd w:id="94"/>
      <w:bookmarkEnd w:id="95"/>
      <w:r>
        <w:rPr>
          <w:rFonts w:ascii="Times New Roman" w:hAnsi="Times New Roman" w:cs="Times New Roman"/>
        </w:rPr>
        <w:t xml:space="preserve"> </w:t>
      </w:r>
    </w:p>
    <w:p w:rsidR="00012172" w:rsidRDefault="00012172">
      <w:pPr>
        <w:jc w:val="center"/>
        <w:rPr>
          <w:rFonts w:ascii="Arial" w:hAnsi="Arial" w:cs="Arial"/>
          <w:sz w:val="22"/>
          <w:szCs w:val="22"/>
        </w:rPr>
      </w:pPr>
    </w:p>
    <w:p w:rsidR="00012172" w:rsidRPr="000A72E7" w:rsidRDefault="00F8431B">
      <w:pPr>
        <w:jc w:val="center"/>
        <w:rPr>
          <w:szCs w:val="22"/>
        </w:rPr>
      </w:pPr>
      <w:r w:rsidRPr="000A72E7">
        <w:rPr>
          <w:szCs w:val="22"/>
        </w:rPr>
        <w:t>Č</w:t>
      </w:r>
      <w:r>
        <w:rPr>
          <w:szCs w:val="22"/>
          <w:lang w:val="de-DE"/>
        </w:rPr>
        <w:t>lanak</w:t>
      </w:r>
      <w:r w:rsidRPr="000A72E7">
        <w:rPr>
          <w:szCs w:val="22"/>
        </w:rPr>
        <w:t xml:space="preserve"> 117</w:t>
      </w:r>
      <w:r w:rsidR="00012172" w:rsidRPr="000A72E7">
        <w:rPr>
          <w:szCs w:val="22"/>
        </w:rPr>
        <w:t>.</w:t>
      </w:r>
    </w:p>
    <w:p w:rsidR="00012172" w:rsidRDefault="00012172">
      <w:pPr>
        <w:jc w:val="both"/>
        <w:rPr>
          <w:szCs w:val="22"/>
        </w:rPr>
      </w:pPr>
      <w:r>
        <w:rPr>
          <w:szCs w:val="22"/>
        </w:rPr>
        <w:t xml:space="preserve">(1) Sve postojeće legalno izgrađene pojedinačne stambene i gospodarske građevine, a koje su u suprotnosti s namjenom određenom PPU (bivše) Općine Križevci mogu se adaptirati, sanirati i rekonstruirati u opsegu neophodnom za poboljšanje uvjeta života i rada. </w:t>
      </w:r>
    </w:p>
    <w:p w:rsidR="00012172" w:rsidRDefault="00012172">
      <w:pPr>
        <w:jc w:val="both"/>
        <w:rPr>
          <w:szCs w:val="22"/>
        </w:rPr>
      </w:pPr>
      <w:r>
        <w:rPr>
          <w:szCs w:val="22"/>
        </w:rPr>
        <w:t>Neophodnim obimom rekonstrukcije za poboljšanje uvjeta života i rada smatra se za :</w:t>
      </w:r>
    </w:p>
    <w:p w:rsidR="00012172" w:rsidRDefault="00012172">
      <w:pPr>
        <w:ind w:firstLine="720"/>
        <w:rPr>
          <w:szCs w:val="22"/>
        </w:rPr>
      </w:pPr>
    </w:p>
    <w:p w:rsidR="00012172" w:rsidRDefault="00012172" w:rsidP="00F8431B">
      <w:pPr>
        <w:jc w:val="both"/>
        <w:rPr>
          <w:szCs w:val="22"/>
        </w:rPr>
      </w:pPr>
      <w:r>
        <w:rPr>
          <w:szCs w:val="22"/>
        </w:rPr>
        <w:t>I.  stambene, odnosno stambeno - poslovne građevine:</w:t>
      </w:r>
    </w:p>
    <w:p w:rsidR="00012172" w:rsidRDefault="00012172" w:rsidP="00F8431B">
      <w:pPr>
        <w:numPr>
          <w:ilvl w:val="0"/>
          <w:numId w:val="47"/>
        </w:numPr>
        <w:overflowPunct w:val="0"/>
        <w:autoSpaceDE w:val="0"/>
        <w:autoSpaceDN w:val="0"/>
        <w:adjustRightInd w:val="0"/>
        <w:jc w:val="both"/>
        <w:textAlignment w:val="baseline"/>
        <w:rPr>
          <w:szCs w:val="22"/>
        </w:rPr>
      </w:pPr>
      <w:r>
        <w:rPr>
          <w:szCs w:val="22"/>
        </w:rPr>
        <w:t>obnova, sanacija i zamjena oštećenih i  dotrajalih konstruktivnih i drugih dijelova građevina i krovišta u postojećim gabaritima;</w:t>
      </w:r>
    </w:p>
    <w:p w:rsidR="00012172" w:rsidRDefault="00012172" w:rsidP="00F8431B">
      <w:pPr>
        <w:numPr>
          <w:ilvl w:val="0"/>
          <w:numId w:val="47"/>
        </w:numPr>
        <w:overflowPunct w:val="0"/>
        <w:autoSpaceDE w:val="0"/>
        <w:autoSpaceDN w:val="0"/>
        <w:adjustRightInd w:val="0"/>
        <w:jc w:val="both"/>
        <w:textAlignment w:val="baseline"/>
        <w:rPr>
          <w:szCs w:val="22"/>
          <w:lang w:val="de-DE"/>
        </w:rPr>
      </w:pPr>
      <w:r>
        <w:rPr>
          <w:szCs w:val="22"/>
          <w:lang w:val="de-DE"/>
        </w:rPr>
        <w:t>priključak na građevine i uređaje komunalne infrastrukture, te rekonstrukcija svih vrsta instalacija ;</w:t>
      </w:r>
    </w:p>
    <w:p w:rsidR="00012172" w:rsidRDefault="00012172" w:rsidP="00F8431B">
      <w:pPr>
        <w:numPr>
          <w:ilvl w:val="0"/>
          <w:numId w:val="47"/>
        </w:numPr>
        <w:overflowPunct w:val="0"/>
        <w:autoSpaceDE w:val="0"/>
        <w:autoSpaceDN w:val="0"/>
        <w:adjustRightInd w:val="0"/>
        <w:jc w:val="both"/>
        <w:textAlignment w:val="baseline"/>
        <w:rPr>
          <w:szCs w:val="22"/>
          <w:lang w:val="de-DE"/>
        </w:rPr>
      </w:pPr>
      <w:r>
        <w:rPr>
          <w:szCs w:val="22"/>
          <w:lang w:val="de-DE"/>
        </w:rPr>
        <w:t xml:space="preserve">dogradnja sanitarnih prostorija (WC, kupaonica) uz postojeće stambene građevine koje nemaju iste izgrađene u svom sastavu ili na postojećoj građevinskoj parceli, i to u najvećoj površini od </w:t>
      </w:r>
      <w:smartTag w:uri="urn:schemas-microsoft-com:office:smarttags" w:element="metricconverter">
        <w:smartTagPr>
          <w:attr w:name="ProductID" w:val="12 m2"/>
        </w:smartTagPr>
        <w:r>
          <w:rPr>
            <w:szCs w:val="22"/>
            <w:lang w:val="de-DE"/>
          </w:rPr>
          <w:t>12 m</w:t>
        </w:r>
        <w:r>
          <w:rPr>
            <w:szCs w:val="22"/>
            <w:vertAlign w:val="superscript"/>
            <w:lang w:val="de-DE"/>
          </w:rPr>
          <w:t>2</w:t>
        </w:r>
      </w:smartTag>
      <w:r>
        <w:rPr>
          <w:szCs w:val="22"/>
          <w:lang w:val="de-DE"/>
        </w:rPr>
        <w:t xml:space="preserve"> ;</w:t>
      </w:r>
    </w:p>
    <w:p w:rsidR="00012172" w:rsidRDefault="00012172" w:rsidP="00F8431B">
      <w:pPr>
        <w:numPr>
          <w:ilvl w:val="0"/>
          <w:numId w:val="47"/>
        </w:numPr>
        <w:overflowPunct w:val="0"/>
        <w:autoSpaceDE w:val="0"/>
        <w:autoSpaceDN w:val="0"/>
        <w:adjustRightInd w:val="0"/>
        <w:jc w:val="both"/>
        <w:textAlignment w:val="baseline"/>
        <w:rPr>
          <w:szCs w:val="22"/>
          <w:lang w:val="de-DE"/>
        </w:rPr>
      </w:pPr>
      <w:r>
        <w:rPr>
          <w:szCs w:val="22"/>
          <w:lang w:val="de-DE"/>
        </w:rPr>
        <w:t xml:space="preserve">dogradnja, odnosno nadogradnja stambenih i pomoćnih prostora, tako da s postojećim ne prelazi ukupno </w:t>
      </w:r>
      <w:smartTag w:uri="urn:schemas-microsoft-com:office:smarttags" w:element="metricconverter">
        <w:smartTagPr>
          <w:attr w:name="ProductID" w:val="75 m2"/>
        </w:smartTagPr>
        <w:r>
          <w:rPr>
            <w:szCs w:val="22"/>
            <w:lang w:val="de-DE"/>
          </w:rPr>
          <w:t>75 m</w:t>
        </w:r>
        <w:r>
          <w:rPr>
            <w:szCs w:val="22"/>
            <w:vertAlign w:val="superscript"/>
            <w:lang w:val="de-DE"/>
          </w:rPr>
          <w:t>2</w:t>
        </w:r>
      </w:smartTag>
      <w:r>
        <w:rPr>
          <w:szCs w:val="22"/>
          <w:lang w:val="de-DE"/>
        </w:rPr>
        <w:t xml:space="preserve"> bruto površine svih etaža, s time da se ne povećava broj stanova ;</w:t>
      </w:r>
    </w:p>
    <w:p w:rsidR="00012172" w:rsidRDefault="00012172" w:rsidP="00F8431B">
      <w:pPr>
        <w:numPr>
          <w:ilvl w:val="0"/>
          <w:numId w:val="47"/>
        </w:numPr>
        <w:overflowPunct w:val="0"/>
        <w:autoSpaceDE w:val="0"/>
        <w:autoSpaceDN w:val="0"/>
        <w:adjustRightInd w:val="0"/>
        <w:jc w:val="both"/>
        <w:textAlignment w:val="baseline"/>
        <w:rPr>
          <w:szCs w:val="22"/>
        </w:rPr>
      </w:pPr>
      <w:r>
        <w:rPr>
          <w:szCs w:val="22"/>
        </w:rPr>
        <w:t>adaptacija tavanskog ili drugog prostora unutar postojećeg gabarita u stambeni prostor;</w:t>
      </w:r>
    </w:p>
    <w:p w:rsidR="00012172" w:rsidRDefault="00012172" w:rsidP="00F8431B">
      <w:pPr>
        <w:numPr>
          <w:ilvl w:val="0"/>
          <w:numId w:val="47"/>
        </w:numPr>
        <w:overflowPunct w:val="0"/>
        <w:autoSpaceDE w:val="0"/>
        <w:autoSpaceDN w:val="0"/>
        <w:adjustRightInd w:val="0"/>
        <w:jc w:val="both"/>
        <w:textAlignment w:val="baseline"/>
        <w:rPr>
          <w:szCs w:val="22"/>
        </w:rPr>
      </w:pPr>
      <w:r>
        <w:rPr>
          <w:szCs w:val="22"/>
        </w:rPr>
        <w:t xml:space="preserve">postava novog krovišta, bez nadozida kod građevina a s dotrajalim ravnim krovom ili s nadozidom ako se radi o povećanju stambenog prostora (do ukupno </w:t>
      </w:r>
      <w:smartTag w:uri="urn:schemas-microsoft-com:office:smarttags" w:element="metricconverter">
        <w:smartTagPr>
          <w:attr w:name="ProductID" w:val="75 m2"/>
        </w:smartTagPr>
        <w:r>
          <w:rPr>
            <w:szCs w:val="22"/>
          </w:rPr>
          <w:t>75 m</w:t>
        </w:r>
        <w:r>
          <w:rPr>
            <w:szCs w:val="22"/>
            <w:vertAlign w:val="superscript"/>
          </w:rPr>
          <w:t>2</w:t>
        </w:r>
      </w:smartTag>
      <w:r>
        <w:rPr>
          <w:szCs w:val="22"/>
        </w:rPr>
        <w:t xml:space="preserve"> bruto građevinske površine prema točki I. broj 4. ovog stavka;</w:t>
      </w:r>
    </w:p>
    <w:p w:rsidR="00012172" w:rsidRDefault="00012172" w:rsidP="00F8431B">
      <w:pPr>
        <w:numPr>
          <w:ilvl w:val="0"/>
          <w:numId w:val="47"/>
        </w:numPr>
        <w:overflowPunct w:val="0"/>
        <w:autoSpaceDE w:val="0"/>
        <w:autoSpaceDN w:val="0"/>
        <w:adjustRightInd w:val="0"/>
        <w:jc w:val="both"/>
        <w:textAlignment w:val="baseline"/>
        <w:rPr>
          <w:szCs w:val="22"/>
        </w:rPr>
      </w:pPr>
      <w:r>
        <w:rPr>
          <w:szCs w:val="22"/>
        </w:rPr>
        <w:t>sanacija postojećih ograda i  potpornih zidova radi sanacije terena (klizišta).</w:t>
      </w:r>
    </w:p>
    <w:p w:rsidR="00012172" w:rsidRDefault="00012172">
      <w:pPr>
        <w:rPr>
          <w:rFonts w:ascii="Arial" w:hAnsi="Arial" w:cs="Arial"/>
          <w:sz w:val="22"/>
          <w:szCs w:val="22"/>
        </w:rPr>
      </w:pPr>
    </w:p>
    <w:p w:rsidR="00012172" w:rsidRDefault="00012172" w:rsidP="00F8431B">
      <w:pPr>
        <w:ind w:left="273" w:hanging="273"/>
        <w:jc w:val="both"/>
        <w:rPr>
          <w:szCs w:val="22"/>
        </w:rPr>
      </w:pPr>
      <w:r>
        <w:rPr>
          <w:szCs w:val="22"/>
        </w:rPr>
        <w:t>II. građevine druge namjene (poslovne, građevine za rad, javne, komunalne, prometne   građevine):</w:t>
      </w:r>
    </w:p>
    <w:p w:rsidR="00012172" w:rsidRDefault="00012172" w:rsidP="00F8431B">
      <w:pPr>
        <w:numPr>
          <w:ilvl w:val="0"/>
          <w:numId w:val="49"/>
        </w:numPr>
        <w:overflowPunct w:val="0"/>
        <w:autoSpaceDE w:val="0"/>
        <w:autoSpaceDN w:val="0"/>
        <w:adjustRightInd w:val="0"/>
        <w:jc w:val="both"/>
        <w:textAlignment w:val="baseline"/>
        <w:rPr>
          <w:szCs w:val="22"/>
        </w:rPr>
      </w:pPr>
      <w:r>
        <w:rPr>
          <w:szCs w:val="22"/>
        </w:rPr>
        <w:t>obnova i sanacija oštećenih i dotrajalih konstruktivnih dijelova građevina i krovišta;</w:t>
      </w:r>
    </w:p>
    <w:p w:rsidR="00012172" w:rsidRDefault="00012172" w:rsidP="00F8431B">
      <w:pPr>
        <w:numPr>
          <w:ilvl w:val="0"/>
          <w:numId w:val="49"/>
        </w:numPr>
        <w:overflowPunct w:val="0"/>
        <w:autoSpaceDE w:val="0"/>
        <w:autoSpaceDN w:val="0"/>
        <w:adjustRightInd w:val="0"/>
        <w:jc w:val="both"/>
        <w:textAlignment w:val="baseline"/>
        <w:rPr>
          <w:szCs w:val="22"/>
        </w:rPr>
      </w:pPr>
      <w:r>
        <w:rPr>
          <w:szCs w:val="22"/>
        </w:rPr>
        <w:t xml:space="preserve">dogradnja sanitarija, garderoba, manjih spremišta i sl. do najviše </w:t>
      </w:r>
      <w:smartTag w:uri="urn:schemas-microsoft-com:office:smarttags" w:element="metricconverter">
        <w:smartTagPr>
          <w:attr w:name="ProductID" w:val="16 m2"/>
        </w:smartTagPr>
        <w:r>
          <w:rPr>
            <w:szCs w:val="22"/>
          </w:rPr>
          <w:t>16 m</w:t>
        </w:r>
        <w:r>
          <w:rPr>
            <w:szCs w:val="22"/>
            <w:vertAlign w:val="superscript"/>
          </w:rPr>
          <w:t>2</w:t>
        </w:r>
      </w:smartTag>
      <w:r>
        <w:rPr>
          <w:szCs w:val="22"/>
        </w:rPr>
        <w:t xml:space="preserve"> izgrađenosti za građevine do </w:t>
      </w:r>
      <w:smartTag w:uri="urn:schemas-microsoft-com:office:smarttags" w:element="metricconverter">
        <w:smartTagPr>
          <w:attr w:name="ProductID" w:val="100 m2"/>
        </w:smartTagPr>
        <w:r>
          <w:rPr>
            <w:szCs w:val="22"/>
          </w:rPr>
          <w:t>100 m</w:t>
        </w:r>
        <w:r>
          <w:rPr>
            <w:szCs w:val="22"/>
            <w:vertAlign w:val="superscript"/>
          </w:rPr>
          <w:t>2</w:t>
        </w:r>
      </w:smartTag>
      <w:r>
        <w:rPr>
          <w:szCs w:val="22"/>
        </w:rPr>
        <w:t xml:space="preserve"> bruto izgrađene površine, odnosno do 5% ukupne bruto izgrađene površine za veće građevine;</w:t>
      </w:r>
    </w:p>
    <w:p w:rsidR="00012172" w:rsidRDefault="00012172" w:rsidP="00F8431B">
      <w:pPr>
        <w:numPr>
          <w:ilvl w:val="0"/>
          <w:numId w:val="49"/>
        </w:numPr>
        <w:overflowPunct w:val="0"/>
        <w:autoSpaceDE w:val="0"/>
        <w:autoSpaceDN w:val="0"/>
        <w:adjustRightInd w:val="0"/>
        <w:jc w:val="both"/>
        <w:textAlignment w:val="baseline"/>
        <w:rPr>
          <w:szCs w:val="22"/>
        </w:rPr>
      </w:pPr>
      <w:r>
        <w:rPr>
          <w:szCs w:val="22"/>
        </w:rPr>
        <w:t>prenamjena i funkcionalna preinaka građevina vezano uz prenamjenu prostora, ali pod uvjetom da novoplanirana namjena ne pogoršava stanje čovjekove okoline i svojim korištenjem ne utječe na zdravlje ljudi u okolnim stambenim prostorima;</w:t>
      </w:r>
    </w:p>
    <w:p w:rsidR="00012172" w:rsidRDefault="00012172" w:rsidP="00F8431B">
      <w:pPr>
        <w:numPr>
          <w:ilvl w:val="0"/>
          <w:numId w:val="49"/>
        </w:numPr>
        <w:overflowPunct w:val="0"/>
        <w:autoSpaceDE w:val="0"/>
        <w:autoSpaceDN w:val="0"/>
        <w:adjustRightInd w:val="0"/>
        <w:textAlignment w:val="baseline"/>
        <w:rPr>
          <w:szCs w:val="22"/>
        </w:rPr>
      </w:pPr>
      <w:r>
        <w:rPr>
          <w:szCs w:val="22"/>
        </w:rPr>
        <w:t>dogradnja i zamjena dotrajalih instalacija;</w:t>
      </w:r>
    </w:p>
    <w:p w:rsidR="00012172" w:rsidRDefault="00012172" w:rsidP="00F8431B">
      <w:pPr>
        <w:numPr>
          <w:ilvl w:val="0"/>
          <w:numId w:val="49"/>
        </w:numPr>
        <w:overflowPunct w:val="0"/>
        <w:autoSpaceDE w:val="0"/>
        <w:autoSpaceDN w:val="0"/>
        <w:adjustRightInd w:val="0"/>
        <w:textAlignment w:val="baseline"/>
        <w:rPr>
          <w:szCs w:val="22"/>
          <w:lang w:val="de-DE"/>
        </w:rPr>
      </w:pPr>
      <w:r>
        <w:rPr>
          <w:szCs w:val="22"/>
          <w:lang w:val="de-DE"/>
        </w:rPr>
        <w:t>priključak na građevine i uređaje komunalne infrastrukture;</w:t>
      </w:r>
    </w:p>
    <w:p w:rsidR="00012172" w:rsidRDefault="00012172" w:rsidP="00F8431B">
      <w:pPr>
        <w:numPr>
          <w:ilvl w:val="0"/>
          <w:numId w:val="49"/>
        </w:numPr>
        <w:overflowPunct w:val="0"/>
        <w:autoSpaceDE w:val="0"/>
        <w:autoSpaceDN w:val="0"/>
        <w:adjustRightInd w:val="0"/>
        <w:jc w:val="both"/>
        <w:textAlignment w:val="baseline"/>
        <w:rPr>
          <w:szCs w:val="22"/>
          <w:lang w:val="de-DE"/>
        </w:rPr>
      </w:pPr>
      <w:r>
        <w:rPr>
          <w:szCs w:val="22"/>
          <w:lang w:val="de-DE"/>
        </w:rPr>
        <w:t>dogradnja i zamjena građevina i uređaja komunalne infrastrukture i rekonstrukcija javno prometnih površina;</w:t>
      </w:r>
    </w:p>
    <w:p w:rsidR="00012172" w:rsidRDefault="00012172" w:rsidP="00F8431B">
      <w:pPr>
        <w:numPr>
          <w:ilvl w:val="0"/>
          <w:numId w:val="49"/>
        </w:numPr>
        <w:overflowPunct w:val="0"/>
        <w:autoSpaceDE w:val="0"/>
        <w:autoSpaceDN w:val="0"/>
        <w:adjustRightInd w:val="0"/>
        <w:jc w:val="both"/>
        <w:textAlignment w:val="baseline"/>
        <w:rPr>
          <w:szCs w:val="22"/>
          <w:lang w:val="de-DE"/>
        </w:rPr>
      </w:pPr>
      <w:r>
        <w:rPr>
          <w:szCs w:val="22"/>
          <w:lang w:val="de-DE"/>
        </w:rPr>
        <w:t>sanacija postojećih ograda i  potpornih zidova radi sanacije terena (klizišta).</w:t>
      </w:r>
    </w:p>
    <w:p w:rsidR="00012172" w:rsidRDefault="00012172">
      <w:pPr>
        <w:overflowPunct w:val="0"/>
        <w:autoSpaceDE w:val="0"/>
        <w:autoSpaceDN w:val="0"/>
        <w:adjustRightInd w:val="0"/>
        <w:jc w:val="both"/>
        <w:textAlignment w:val="baseline"/>
        <w:rPr>
          <w:rFonts w:ascii="Arial" w:hAnsi="Arial" w:cs="Arial"/>
          <w:sz w:val="22"/>
          <w:szCs w:val="22"/>
          <w:lang w:val="de-DE"/>
        </w:rPr>
      </w:pPr>
    </w:p>
    <w:p w:rsidR="00012172" w:rsidRDefault="00012172">
      <w:pPr>
        <w:overflowPunct w:val="0"/>
        <w:autoSpaceDE w:val="0"/>
        <w:autoSpaceDN w:val="0"/>
        <w:adjustRightInd w:val="0"/>
        <w:jc w:val="both"/>
        <w:textAlignment w:val="baseline"/>
        <w:rPr>
          <w:rFonts w:ascii="Arial" w:hAnsi="Arial" w:cs="Arial"/>
          <w:sz w:val="22"/>
          <w:szCs w:val="22"/>
          <w:lang w:val="de-DE"/>
        </w:rPr>
      </w:pPr>
    </w:p>
    <w:p w:rsidR="00012172" w:rsidRDefault="00012172">
      <w:pPr>
        <w:overflowPunct w:val="0"/>
        <w:autoSpaceDE w:val="0"/>
        <w:autoSpaceDN w:val="0"/>
        <w:adjustRightInd w:val="0"/>
        <w:jc w:val="both"/>
        <w:textAlignment w:val="baseline"/>
        <w:rPr>
          <w:rFonts w:ascii="Arial" w:hAnsi="Arial" w:cs="Arial"/>
          <w:sz w:val="22"/>
          <w:szCs w:val="22"/>
          <w:lang w:val="de-DE"/>
        </w:rPr>
      </w:pPr>
    </w:p>
    <w:p w:rsidR="00012172" w:rsidRDefault="00012172">
      <w:pPr>
        <w:pStyle w:val="Naslov1"/>
        <w:rPr>
          <w:rFonts w:ascii="Times New Roman" w:hAnsi="Times New Roman" w:cs="Times New Roman"/>
        </w:rPr>
      </w:pPr>
      <w:bookmarkStart w:id="96" w:name="_Toc49756037"/>
      <w:bookmarkStart w:id="97" w:name="_Toc95140627"/>
      <w:r>
        <w:rPr>
          <w:rFonts w:ascii="Times New Roman" w:hAnsi="Times New Roman" w:cs="Times New Roman"/>
        </w:rPr>
        <w:t>III.</w:t>
      </w:r>
      <w:r>
        <w:rPr>
          <w:rFonts w:ascii="Times New Roman" w:hAnsi="Times New Roman" w:cs="Times New Roman"/>
        </w:rPr>
        <w:tab/>
        <w:t>PRIJELAZNE I ZAVRŠNE ODREDBE</w:t>
      </w:r>
      <w:bookmarkEnd w:id="96"/>
      <w:bookmarkEnd w:id="97"/>
    </w:p>
    <w:p w:rsidR="00012172" w:rsidRDefault="00012172">
      <w:pPr>
        <w:pStyle w:val="clanak"/>
        <w:jc w:val="center"/>
        <w:rPr>
          <w:rFonts w:ascii="Arial" w:hAnsi="Arial" w:cs="Arial"/>
          <w:sz w:val="22"/>
          <w:szCs w:val="22"/>
          <w:lang w:val="hr-HR"/>
        </w:rPr>
      </w:pPr>
    </w:p>
    <w:p w:rsidR="00012172" w:rsidRDefault="004B0466">
      <w:pPr>
        <w:pStyle w:val="xl30"/>
        <w:pBdr>
          <w:left w:val="none" w:sz="0" w:space="0" w:color="auto"/>
          <w:bottom w:val="none" w:sz="0" w:space="0" w:color="auto"/>
        </w:pBdr>
        <w:spacing w:before="0" w:beforeAutospacing="0" w:after="0" w:afterAutospacing="0"/>
        <w:rPr>
          <w:rFonts w:ascii="Times New Roman" w:hAnsi="Times New Roman"/>
        </w:rPr>
      </w:pPr>
      <w:r>
        <w:rPr>
          <w:rFonts w:ascii="Times New Roman" w:hAnsi="Times New Roman"/>
        </w:rPr>
        <w:t>Članak 1</w:t>
      </w:r>
      <w:r w:rsidR="00F8431B">
        <w:rPr>
          <w:rFonts w:ascii="Times New Roman" w:hAnsi="Times New Roman"/>
        </w:rPr>
        <w:t>18</w:t>
      </w:r>
      <w:r w:rsidR="00012172">
        <w:rPr>
          <w:rFonts w:ascii="Times New Roman" w:hAnsi="Times New Roman"/>
        </w:rPr>
        <w:t>.</w:t>
      </w:r>
    </w:p>
    <w:p w:rsidR="00012172" w:rsidRDefault="00012172">
      <w:pPr>
        <w:jc w:val="both"/>
      </w:pPr>
      <w:r>
        <w:t>(1)</w:t>
      </w:r>
      <w:r>
        <w:tab/>
        <w:t>Pripremne radove, potrebne za operacionalizaciju ovog Plana, kao i programski dio potrebnih studijskih istraživanja za potrebe izrade urbanističkih planova obavljati će Stručne službe Općine, u okviru svojih nadležnosti ili u suradnji sa drugim institucijama.</w:t>
      </w:r>
    </w:p>
    <w:p w:rsidR="00012172" w:rsidRDefault="00012172">
      <w:pPr>
        <w:jc w:val="both"/>
      </w:pPr>
    </w:p>
    <w:p w:rsidR="00012172" w:rsidRDefault="00012172">
      <w:pPr>
        <w:pStyle w:val="xl30"/>
        <w:pBdr>
          <w:left w:val="none" w:sz="0" w:space="0" w:color="auto"/>
          <w:bottom w:val="none" w:sz="0" w:space="0" w:color="auto"/>
        </w:pBdr>
        <w:spacing w:before="0" w:beforeAutospacing="0" w:after="0" w:afterAutospacing="0"/>
        <w:rPr>
          <w:rFonts w:ascii="Times New Roman" w:hAnsi="Times New Roman"/>
        </w:rPr>
      </w:pPr>
      <w:r>
        <w:rPr>
          <w:rFonts w:ascii="Times New Roman" w:hAnsi="Times New Roman"/>
        </w:rPr>
        <w:t xml:space="preserve">Članak </w:t>
      </w:r>
      <w:r w:rsidR="00F8431B">
        <w:rPr>
          <w:rFonts w:ascii="Times New Roman" w:hAnsi="Times New Roman"/>
        </w:rPr>
        <w:t>1</w:t>
      </w:r>
      <w:r w:rsidR="004B0466">
        <w:rPr>
          <w:rFonts w:ascii="Times New Roman" w:hAnsi="Times New Roman"/>
        </w:rPr>
        <w:t>1</w:t>
      </w:r>
      <w:r w:rsidR="00F8431B">
        <w:rPr>
          <w:rFonts w:ascii="Times New Roman" w:hAnsi="Times New Roman"/>
        </w:rPr>
        <w:t>9</w:t>
      </w:r>
      <w:r>
        <w:rPr>
          <w:rFonts w:ascii="Times New Roman" w:hAnsi="Times New Roman"/>
        </w:rPr>
        <w:t>.</w:t>
      </w:r>
    </w:p>
    <w:p w:rsidR="00012172" w:rsidRDefault="00E92024">
      <w:pPr>
        <w:jc w:val="both"/>
      </w:pPr>
      <w:r>
        <w:t xml:space="preserve">(1) </w:t>
      </w:r>
      <w:r w:rsidR="00012172">
        <w:t>Prostorni plan je izrađen u šest izvornika ovjerenih pečatom Općinskog vijeća Općine Gornja Rijeka i potpisom predsjednika Općinskog vijeća Općine Gornja Rijeka. Po jedan izvornik se čuva u pismohrani sljedećih naslova:</w:t>
      </w:r>
      <w:r>
        <w:t xml:space="preserve"> </w:t>
      </w:r>
      <w:r w:rsidR="00012172">
        <w:t xml:space="preserve">Općinsko vijeća Općine Gornja Rijeka, Ministarstvo zaštite okoliša i prostornog uređenja, Služba za prostorno uređenje, zaštitu okoliša, graditeljstvo i imovinsko-pravne poslove Ureda državne uprave u Koprivničko-križevačkoj županiji, Zavod za prostorno uređenje Koprivničko-križevačke županije. Dva izvornika se čuvaju u pismohrani Jedinstvenog upravnog odjela Općine Gornja Rijeka. </w:t>
      </w:r>
    </w:p>
    <w:p w:rsidR="00012172" w:rsidRDefault="00012172">
      <w:pPr>
        <w:pStyle w:val="clanak"/>
        <w:jc w:val="center"/>
        <w:rPr>
          <w:rFonts w:ascii="Times New Roman" w:hAnsi="Times New Roman"/>
          <w:sz w:val="24"/>
          <w:szCs w:val="22"/>
          <w:lang w:val="hr-HR"/>
        </w:rPr>
      </w:pPr>
    </w:p>
    <w:p w:rsidR="00012172" w:rsidRDefault="00E92024">
      <w:pPr>
        <w:pStyle w:val="clanak"/>
        <w:jc w:val="center"/>
        <w:rPr>
          <w:rFonts w:ascii="Times New Roman" w:hAnsi="Times New Roman"/>
          <w:sz w:val="24"/>
          <w:szCs w:val="22"/>
          <w:lang w:val="hr-HR"/>
        </w:rPr>
      </w:pPr>
      <w:r>
        <w:rPr>
          <w:rFonts w:ascii="Times New Roman" w:hAnsi="Times New Roman"/>
          <w:sz w:val="24"/>
          <w:szCs w:val="22"/>
          <w:lang w:val="hr-HR"/>
        </w:rPr>
        <w:t>Članak 120</w:t>
      </w:r>
      <w:r w:rsidR="00012172">
        <w:rPr>
          <w:rFonts w:ascii="Times New Roman" w:hAnsi="Times New Roman"/>
          <w:sz w:val="24"/>
          <w:szCs w:val="22"/>
          <w:lang w:val="hr-HR"/>
        </w:rPr>
        <w:t>.</w:t>
      </w:r>
    </w:p>
    <w:p w:rsidR="00012172" w:rsidRDefault="00012172">
      <w:pPr>
        <w:pStyle w:val="clanak"/>
        <w:rPr>
          <w:rFonts w:ascii="Times New Roman" w:hAnsi="Times New Roman"/>
          <w:sz w:val="24"/>
          <w:szCs w:val="22"/>
          <w:lang w:val="hr-HR"/>
        </w:rPr>
      </w:pPr>
      <w:r>
        <w:rPr>
          <w:rFonts w:ascii="Times New Roman" w:hAnsi="Times New Roman"/>
          <w:sz w:val="24"/>
          <w:szCs w:val="22"/>
          <w:lang w:val="hr-HR"/>
        </w:rPr>
        <w:t>(1)</w:t>
      </w:r>
      <w:r>
        <w:rPr>
          <w:rFonts w:ascii="Times New Roman" w:hAnsi="Times New Roman"/>
          <w:sz w:val="24"/>
          <w:szCs w:val="22"/>
          <w:lang w:val="hr-HR"/>
        </w:rPr>
        <w:tab/>
        <w:t>Praćenje provođenja ovog Plana obavljati će Općinsko vijeće Gornje Rijeke, preko dokumenata praćenja stanja u prostoru (Izvješće o stanju u prostoru i Programa mjera za unapređenje stanja u prostoru) čime će se utvrditi mjere koje treba predvidjeti i provesti u daljnjem razdoblju njegove primjene.</w:t>
      </w:r>
    </w:p>
    <w:p w:rsidR="00012172" w:rsidRDefault="00012172">
      <w:pPr>
        <w:pStyle w:val="clanak"/>
        <w:tabs>
          <w:tab w:val="left" w:pos="0"/>
        </w:tabs>
        <w:rPr>
          <w:rFonts w:ascii="Times New Roman" w:hAnsi="Times New Roman"/>
          <w:sz w:val="24"/>
          <w:szCs w:val="22"/>
          <w:lang w:val="hr-HR"/>
        </w:rPr>
      </w:pPr>
    </w:p>
    <w:p w:rsidR="00012172" w:rsidRDefault="00012172">
      <w:pPr>
        <w:pStyle w:val="clanak"/>
        <w:tabs>
          <w:tab w:val="left" w:pos="0"/>
        </w:tabs>
        <w:rPr>
          <w:rFonts w:ascii="Times New Roman" w:hAnsi="Times New Roman"/>
          <w:sz w:val="24"/>
          <w:szCs w:val="22"/>
          <w:lang w:val="hr-HR"/>
        </w:rPr>
      </w:pPr>
      <w:r>
        <w:rPr>
          <w:rFonts w:ascii="Times New Roman" w:hAnsi="Times New Roman"/>
          <w:sz w:val="24"/>
          <w:szCs w:val="22"/>
          <w:lang w:val="hr-HR"/>
        </w:rPr>
        <w:t>(2) Stručne službe jedinice lokalne samouprave će najmanje jednom godišnje Općinskom vijeću prezentirati informaciju o provođenju Plana, sa prijedlozima mjera koje treba predvidjeti u daljnjem postupku njegove primjene.</w:t>
      </w:r>
    </w:p>
    <w:p w:rsidR="00012172" w:rsidRDefault="00012172">
      <w:pPr>
        <w:pStyle w:val="clanak"/>
        <w:rPr>
          <w:rFonts w:ascii="Arial" w:hAnsi="Arial" w:cs="Arial"/>
          <w:lang w:val="hr-HR"/>
        </w:rPr>
      </w:pPr>
    </w:p>
    <w:p w:rsidR="00012172" w:rsidRDefault="00012172">
      <w:pPr>
        <w:pStyle w:val="clanak"/>
        <w:jc w:val="center"/>
        <w:rPr>
          <w:rFonts w:ascii="Arial" w:hAnsi="Arial" w:cs="Arial"/>
          <w:sz w:val="22"/>
          <w:szCs w:val="22"/>
          <w:lang w:val="hr-HR"/>
        </w:rPr>
      </w:pPr>
    </w:p>
    <w:p w:rsidR="00012172" w:rsidRDefault="00E92024">
      <w:pPr>
        <w:pStyle w:val="clanak"/>
        <w:jc w:val="center"/>
        <w:rPr>
          <w:rFonts w:ascii="Times New Roman" w:hAnsi="Times New Roman"/>
          <w:sz w:val="24"/>
          <w:szCs w:val="22"/>
          <w:lang w:val="hr-HR"/>
        </w:rPr>
      </w:pPr>
      <w:r>
        <w:rPr>
          <w:rFonts w:ascii="Times New Roman" w:hAnsi="Times New Roman"/>
          <w:sz w:val="24"/>
          <w:szCs w:val="22"/>
          <w:lang w:val="hr-HR"/>
        </w:rPr>
        <w:t>Članak 121</w:t>
      </w:r>
      <w:r w:rsidR="00012172">
        <w:rPr>
          <w:rFonts w:ascii="Times New Roman" w:hAnsi="Times New Roman"/>
          <w:sz w:val="24"/>
          <w:szCs w:val="22"/>
          <w:lang w:val="hr-HR"/>
        </w:rPr>
        <w:t>.</w:t>
      </w:r>
    </w:p>
    <w:p w:rsidR="00012172" w:rsidRDefault="00012172" w:rsidP="00725F6F">
      <w:pPr>
        <w:pStyle w:val="clanak"/>
        <w:tabs>
          <w:tab w:val="num" w:pos="1068"/>
        </w:tabs>
        <w:rPr>
          <w:rFonts w:ascii="Times New Roman" w:hAnsi="Times New Roman"/>
          <w:sz w:val="24"/>
          <w:szCs w:val="22"/>
          <w:lang w:val="hr-HR"/>
        </w:rPr>
      </w:pPr>
      <w:r>
        <w:rPr>
          <w:rFonts w:ascii="Times New Roman" w:hAnsi="Times New Roman"/>
          <w:sz w:val="24"/>
          <w:szCs w:val="22"/>
          <w:lang w:val="hr-HR"/>
        </w:rPr>
        <w:t xml:space="preserve">Danom stupanja na snagu ove Odluke, prestaje važiti Prostorni plan (bivše) općine Križevci (“Službene novine broj </w:t>
      </w:r>
      <w:r>
        <w:rPr>
          <w:rFonts w:ascii="Arial" w:hAnsi="Arial"/>
          <w:sz w:val="22"/>
          <w:lang w:val="hr-HR"/>
        </w:rPr>
        <w:t>7/82., 5/92., 4/93., 5/93., 6/93., 11/94., 12/94.)</w:t>
      </w:r>
      <w:r>
        <w:rPr>
          <w:sz w:val="22"/>
          <w:lang w:val="hr-HR"/>
        </w:rPr>
        <w:t xml:space="preserve"> </w:t>
      </w:r>
      <w:r>
        <w:rPr>
          <w:rFonts w:ascii="Times New Roman" w:hAnsi="Times New Roman"/>
          <w:sz w:val="24"/>
          <w:szCs w:val="22"/>
          <w:lang w:val="hr-HR"/>
        </w:rPr>
        <w:t>za područje općine  Gornja Rijeka.</w:t>
      </w:r>
    </w:p>
    <w:p w:rsidR="00012172" w:rsidRDefault="00012172">
      <w:pPr>
        <w:pStyle w:val="clanak"/>
        <w:rPr>
          <w:rFonts w:ascii="Times New Roman" w:hAnsi="Times New Roman"/>
          <w:sz w:val="24"/>
          <w:szCs w:val="22"/>
          <w:lang w:val="hr-HR"/>
        </w:rPr>
      </w:pPr>
    </w:p>
    <w:p w:rsidR="00012172" w:rsidRDefault="00012172">
      <w:pPr>
        <w:pStyle w:val="clanak"/>
        <w:rPr>
          <w:rFonts w:ascii="Times New Roman" w:hAnsi="Times New Roman"/>
          <w:sz w:val="24"/>
          <w:szCs w:val="22"/>
          <w:lang w:val="hr-HR"/>
        </w:rPr>
      </w:pPr>
    </w:p>
    <w:p w:rsidR="00012172" w:rsidRDefault="00E92024">
      <w:pPr>
        <w:pStyle w:val="clanak"/>
        <w:jc w:val="center"/>
        <w:rPr>
          <w:rFonts w:ascii="Times New Roman" w:hAnsi="Times New Roman"/>
          <w:sz w:val="24"/>
          <w:szCs w:val="22"/>
          <w:lang w:val="hr-HR"/>
        </w:rPr>
      </w:pPr>
      <w:r>
        <w:rPr>
          <w:rFonts w:ascii="Times New Roman" w:hAnsi="Times New Roman"/>
          <w:sz w:val="24"/>
          <w:szCs w:val="22"/>
          <w:lang w:val="hr-HR"/>
        </w:rPr>
        <w:t>Članak 122</w:t>
      </w:r>
      <w:r w:rsidR="00012172">
        <w:rPr>
          <w:rFonts w:ascii="Times New Roman" w:hAnsi="Times New Roman"/>
          <w:sz w:val="24"/>
          <w:szCs w:val="22"/>
          <w:lang w:val="hr-HR"/>
        </w:rPr>
        <w:t>.</w:t>
      </w:r>
    </w:p>
    <w:p w:rsidR="00012172" w:rsidRDefault="00012172">
      <w:pPr>
        <w:pStyle w:val="clanak"/>
        <w:rPr>
          <w:rFonts w:ascii="Times New Roman" w:hAnsi="Times New Roman"/>
          <w:sz w:val="24"/>
          <w:szCs w:val="22"/>
          <w:lang w:val="hr-HR"/>
        </w:rPr>
      </w:pPr>
      <w:r>
        <w:rPr>
          <w:rFonts w:ascii="Times New Roman" w:hAnsi="Times New Roman"/>
          <w:sz w:val="24"/>
          <w:szCs w:val="22"/>
          <w:lang w:val="hr-HR"/>
        </w:rPr>
        <w:t>(1)</w:t>
      </w:r>
      <w:r>
        <w:rPr>
          <w:rFonts w:ascii="Times New Roman" w:hAnsi="Times New Roman"/>
          <w:sz w:val="24"/>
          <w:szCs w:val="22"/>
          <w:lang w:val="hr-HR"/>
        </w:rPr>
        <w:tab/>
        <w:t>Ova Odluka stupa na snagu osmog (8) dana od objave u službenom glasilu.</w:t>
      </w:r>
    </w:p>
    <w:p w:rsidR="00012172" w:rsidRDefault="00012172">
      <w:pPr>
        <w:pStyle w:val="clanak"/>
        <w:rPr>
          <w:rFonts w:ascii="Times New Roman" w:hAnsi="Times New Roman"/>
          <w:sz w:val="24"/>
          <w:szCs w:val="22"/>
          <w:lang w:val="hr-HR"/>
        </w:rPr>
      </w:pPr>
    </w:p>
    <w:p w:rsidR="00012172" w:rsidRDefault="00012172">
      <w:pPr>
        <w:pStyle w:val="clanak"/>
        <w:rPr>
          <w:rFonts w:ascii="Times New Roman" w:hAnsi="Times New Roman"/>
          <w:sz w:val="24"/>
          <w:szCs w:val="22"/>
          <w:lang w:val="hr-HR"/>
        </w:rPr>
      </w:pPr>
    </w:p>
    <w:p w:rsidR="00012172" w:rsidRDefault="00012172">
      <w:pPr>
        <w:pStyle w:val="clanak"/>
        <w:rPr>
          <w:rFonts w:ascii="Times New Roman" w:hAnsi="Times New Roman"/>
          <w:sz w:val="24"/>
          <w:szCs w:val="22"/>
          <w:lang w:val="hr-HR"/>
        </w:rPr>
      </w:pPr>
      <w:r>
        <w:rPr>
          <w:rFonts w:ascii="Times New Roman" w:hAnsi="Times New Roman"/>
          <w:sz w:val="24"/>
          <w:szCs w:val="22"/>
          <w:lang w:val="hr-HR"/>
        </w:rPr>
        <w:t>KLASA:</w:t>
      </w:r>
    </w:p>
    <w:p w:rsidR="00012172" w:rsidRDefault="00012172">
      <w:pPr>
        <w:pStyle w:val="clanak"/>
        <w:rPr>
          <w:rFonts w:ascii="Times New Roman" w:hAnsi="Times New Roman"/>
          <w:sz w:val="24"/>
          <w:szCs w:val="22"/>
          <w:lang w:val="hr-HR"/>
        </w:rPr>
      </w:pPr>
      <w:r>
        <w:rPr>
          <w:rFonts w:ascii="Times New Roman" w:hAnsi="Times New Roman"/>
          <w:sz w:val="24"/>
          <w:szCs w:val="22"/>
          <w:lang w:val="hr-HR"/>
        </w:rPr>
        <w:t>URBROJ:</w:t>
      </w:r>
    </w:p>
    <w:p w:rsidR="00012172" w:rsidRDefault="007445F0">
      <w:pPr>
        <w:pStyle w:val="clanak"/>
        <w:rPr>
          <w:rFonts w:ascii="Times New Roman" w:hAnsi="Times New Roman"/>
          <w:sz w:val="24"/>
          <w:szCs w:val="22"/>
          <w:lang w:val="hr-HR"/>
        </w:rPr>
      </w:pPr>
      <w:r>
        <w:rPr>
          <w:rFonts w:ascii="Times New Roman" w:hAnsi="Times New Roman"/>
          <w:sz w:val="24"/>
          <w:szCs w:val="22"/>
          <w:lang w:val="hr-HR"/>
        </w:rPr>
        <w:tab/>
      </w:r>
      <w:r>
        <w:rPr>
          <w:rFonts w:ascii="Times New Roman" w:hAnsi="Times New Roman"/>
          <w:sz w:val="24"/>
          <w:szCs w:val="22"/>
          <w:lang w:val="hr-HR"/>
        </w:rPr>
        <w:tab/>
      </w:r>
      <w:r>
        <w:rPr>
          <w:rFonts w:ascii="Times New Roman" w:hAnsi="Times New Roman"/>
          <w:sz w:val="24"/>
          <w:szCs w:val="22"/>
          <w:lang w:val="hr-HR"/>
        </w:rPr>
        <w:tab/>
      </w:r>
      <w:r>
        <w:rPr>
          <w:rFonts w:ascii="Times New Roman" w:hAnsi="Times New Roman"/>
          <w:sz w:val="24"/>
          <w:szCs w:val="22"/>
          <w:lang w:val="hr-HR"/>
        </w:rPr>
        <w:tab/>
      </w:r>
      <w:r>
        <w:rPr>
          <w:rFonts w:ascii="Times New Roman" w:hAnsi="Times New Roman"/>
          <w:sz w:val="24"/>
          <w:szCs w:val="22"/>
          <w:lang w:val="hr-HR"/>
        </w:rPr>
        <w:tab/>
      </w:r>
      <w:r>
        <w:rPr>
          <w:rFonts w:ascii="Times New Roman" w:hAnsi="Times New Roman"/>
          <w:sz w:val="24"/>
          <w:szCs w:val="22"/>
          <w:lang w:val="hr-HR"/>
        </w:rPr>
        <w:tab/>
      </w:r>
      <w:r>
        <w:rPr>
          <w:rFonts w:ascii="Times New Roman" w:hAnsi="Times New Roman"/>
          <w:sz w:val="24"/>
          <w:szCs w:val="22"/>
          <w:lang w:val="hr-HR"/>
        </w:rPr>
        <w:tab/>
      </w:r>
      <w:r>
        <w:rPr>
          <w:rFonts w:ascii="Times New Roman" w:hAnsi="Times New Roman"/>
          <w:sz w:val="24"/>
          <w:szCs w:val="22"/>
          <w:lang w:val="hr-HR"/>
        </w:rPr>
        <w:tab/>
      </w:r>
      <w:r>
        <w:rPr>
          <w:rFonts w:ascii="Times New Roman" w:hAnsi="Times New Roman"/>
          <w:sz w:val="24"/>
          <w:szCs w:val="22"/>
          <w:lang w:val="hr-HR"/>
        </w:rPr>
        <w:tab/>
        <w:t>Predsjednik</w:t>
      </w:r>
      <w:r w:rsidR="00012172">
        <w:rPr>
          <w:rFonts w:ascii="Times New Roman" w:hAnsi="Times New Roman"/>
          <w:sz w:val="24"/>
          <w:szCs w:val="22"/>
          <w:lang w:val="hr-HR"/>
        </w:rPr>
        <w:t xml:space="preserve"> Općinskog vijeća </w:t>
      </w:r>
    </w:p>
    <w:p w:rsidR="00012172" w:rsidRDefault="00012172">
      <w:pPr>
        <w:pStyle w:val="clanak"/>
        <w:jc w:val="center"/>
        <w:rPr>
          <w:rFonts w:ascii="Arial" w:hAnsi="Arial" w:cs="Arial"/>
          <w:sz w:val="22"/>
          <w:szCs w:val="22"/>
          <w:lang w:val="hr-HR"/>
        </w:rPr>
      </w:pPr>
      <w:r>
        <w:rPr>
          <w:rFonts w:ascii="Times New Roman" w:hAnsi="Times New Roman"/>
          <w:sz w:val="24"/>
          <w:szCs w:val="22"/>
          <w:lang w:val="hr-HR"/>
        </w:rPr>
        <w:tab/>
      </w:r>
      <w:r>
        <w:rPr>
          <w:rFonts w:ascii="Times New Roman" w:hAnsi="Times New Roman"/>
          <w:sz w:val="24"/>
          <w:szCs w:val="22"/>
          <w:lang w:val="hr-HR"/>
        </w:rPr>
        <w:tab/>
      </w:r>
      <w:r>
        <w:rPr>
          <w:rFonts w:ascii="Times New Roman" w:hAnsi="Times New Roman"/>
          <w:sz w:val="24"/>
          <w:szCs w:val="22"/>
          <w:lang w:val="hr-HR"/>
        </w:rPr>
        <w:tab/>
      </w:r>
      <w:r>
        <w:rPr>
          <w:rFonts w:ascii="Times New Roman" w:hAnsi="Times New Roman"/>
          <w:sz w:val="24"/>
          <w:szCs w:val="22"/>
          <w:lang w:val="hr-HR"/>
        </w:rPr>
        <w:tab/>
      </w:r>
      <w:r>
        <w:rPr>
          <w:rFonts w:ascii="Times New Roman" w:hAnsi="Times New Roman"/>
          <w:sz w:val="24"/>
          <w:szCs w:val="22"/>
          <w:lang w:val="hr-HR"/>
        </w:rPr>
        <w:tab/>
      </w:r>
      <w:r>
        <w:rPr>
          <w:rFonts w:ascii="Times New Roman" w:hAnsi="Times New Roman"/>
          <w:sz w:val="24"/>
          <w:szCs w:val="22"/>
          <w:lang w:val="hr-HR"/>
        </w:rPr>
        <w:tab/>
      </w:r>
      <w:r>
        <w:rPr>
          <w:rFonts w:ascii="Times New Roman" w:hAnsi="Times New Roman"/>
          <w:sz w:val="24"/>
          <w:szCs w:val="22"/>
          <w:lang w:val="hr-HR"/>
        </w:rPr>
        <w:tab/>
      </w:r>
      <w:r>
        <w:rPr>
          <w:rFonts w:ascii="Times New Roman" w:hAnsi="Times New Roman"/>
          <w:sz w:val="24"/>
          <w:szCs w:val="22"/>
          <w:lang w:val="hr-HR"/>
        </w:rPr>
        <w:tab/>
      </w:r>
      <w:r w:rsidR="007445F0">
        <w:rPr>
          <w:rFonts w:ascii="Times New Roman" w:hAnsi="Times New Roman"/>
          <w:sz w:val="24"/>
          <w:szCs w:val="22"/>
          <w:lang w:val="hr-HR"/>
        </w:rPr>
        <w:t>Franjo Šturbek</w:t>
      </w:r>
    </w:p>
    <w:p w:rsidR="00012172" w:rsidRDefault="00012172">
      <w:pPr>
        <w:pStyle w:val="clanak"/>
        <w:jc w:val="center"/>
        <w:rPr>
          <w:rFonts w:ascii="Arial" w:hAnsi="Arial" w:cs="Arial"/>
          <w:sz w:val="22"/>
          <w:szCs w:val="22"/>
          <w:lang w:val="hr-HR"/>
        </w:rPr>
      </w:pPr>
      <w:r>
        <w:rPr>
          <w:rFonts w:ascii="Arial" w:hAnsi="Arial" w:cs="Arial"/>
          <w:sz w:val="22"/>
          <w:szCs w:val="22"/>
          <w:lang w:val="hr-HR"/>
        </w:rPr>
        <w:br w:type="page"/>
      </w:r>
      <w:r>
        <w:rPr>
          <w:rFonts w:ascii="Arial" w:hAnsi="Arial" w:cs="Arial"/>
          <w:sz w:val="22"/>
          <w:szCs w:val="22"/>
          <w:lang w:val="hr-HR"/>
        </w:rPr>
        <w:tab/>
      </w:r>
      <w:r>
        <w:rPr>
          <w:rFonts w:ascii="Arial" w:hAnsi="Arial" w:cs="Arial"/>
          <w:sz w:val="22"/>
          <w:szCs w:val="22"/>
          <w:lang w:val="hr-HR"/>
        </w:rPr>
        <w:tab/>
      </w:r>
      <w:r>
        <w:rPr>
          <w:rFonts w:ascii="Arial" w:hAnsi="Arial" w:cs="Arial"/>
          <w:sz w:val="22"/>
          <w:szCs w:val="22"/>
          <w:lang w:val="hr-HR"/>
        </w:rPr>
        <w:tab/>
      </w:r>
      <w:r>
        <w:rPr>
          <w:rFonts w:ascii="Arial" w:hAnsi="Arial" w:cs="Arial"/>
          <w:sz w:val="22"/>
          <w:szCs w:val="22"/>
          <w:lang w:val="hr-HR"/>
        </w:rPr>
        <w:tab/>
      </w:r>
      <w:r>
        <w:rPr>
          <w:rFonts w:ascii="Arial" w:hAnsi="Arial" w:cs="Arial"/>
          <w:sz w:val="22"/>
          <w:szCs w:val="22"/>
          <w:lang w:val="hr-HR"/>
        </w:rPr>
        <w:tab/>
      </w:r>
      <w:r>
        <w:rPr>
          <w:rFonts w:ascii="Arial" w:hAnsi="Arial" w:cs="Arial"/>
          <w:sz w:val="22"/>
          <w:szCs w:val="22"/>
          <w:lang w:val="hr-HR"/>
        </w:rPr>
        <w:tab/>
      </w:r>
      <w:r>
        <w:rPr>
          <w:rFonts w:ascii="Arial" w:hAnsi="Arial" w:cs="Arial"/>
          <w:sz w:val="22"/>
          <w:szCs w:val="22"/>
          <w:lang w:val="hr-HR"/>
        </w:rPr>
        <w:tab/>
      </w:r>
    </w:p>
    <w:p w:rsidR="00012172" w:rsidRDefault="00012172">
      <w:pPr>
        <w:rPr>
          <w:rFonts w:ascii="Arial" w:hAnsi="Arial" w:cs="Arial"/>
          <w:b/>
        </w:rPr>
      </w:pPr>
      <w:r>
        <w:rPr>
          <w:rFonts w:ascii="Arial" w:hAnsi="Arial" w:cs="Arial"/>
          <w:b/>
        </w:rPr>
        <w:t>Popis slika</w:t>
      </w:r>
    </w:p>
    <w:p w:rsidR="007E5C81" w:rsidRDefault="00012172">
      <w:pPr>
        <w:pStyle w:val="Tablicaslika"/>
        <w:tabs>
          <w:tab w:val="right" w:leader="dot" w:pos="9074"/>
        </w:tabs>
        <w:rPr>
          <w:noProof/>
        </w:rPr>
      </w:pPr>
      <w:r>
        <w:rPr>
          <w:rFonts w:ascii="Arial" w:hAnsi="Arial" w:cs="Arial"/>
          <w:sz w:val="20"/>
          <w:szCs w:val="20"/>
        </w:rPr>
        <w:fldChar w:fldCharType="begin"/>
      </w:r>
      <w:r>
        <w:rPr>
          <w:rFonts w:ascii="Arial" w:hAnsi="Arial" w:cs="Arial"/>
          <w:sz w:val="20"/>
          <w:szCs w:val="20"/>
        </w:rPr>
        <w:instrText xml:space="preserve"> TOC \h \z \c "Slika" </w:instrText>
      </w:r>
      <w:r>
        <w:rPr>
          <w:rFonts w:ascii="Arial" w:hAnsi="Arial" w:cs="Arial"/>
          <w:sz w:val="20"/>
          <w:szCs w:val="20"/>
        </w:rPr>
        <w:fldChar w:fldCharType="separate"/>
      </w:r>
      <w:hyperlink w:anchor="_Toc135185914" w:history="1">
        <w:r w:rsidR="007E5C81" w:rsidRPr="0044259A">
          <w:rPr>
            <w:rStyle w:val="Hiperveza"/>
            <w:b/>
            <w:noProof/>
          </w:rPr>
          <w:t>Slika 1: Položaj Općine  Gornja Rijeka u Koprivničko-križevačkoj županiji</w:t>
        </w:r>
        <w:r w:rsidR="007E5C81">
          <w:rPr>
            <w:noProof/>
            <w:webHidden/>
          </w:rPr>
          <w:tab/>
        </w:r>
        <w:r w:rsidR="007E5C81">
          <w:rPr>
            <w:noProof/>
            <w:webHidden/>
          </w:rPr>
          <w:fldChar w:fldCharType="begin"/>
        </w:r>
        <w:r w:rsidR="007E5C81">
          <w:rPr>
            <w:noProof/>
            <w:webHidden/>
          </w:rPr>
          <w:instrText xml:space="preserve"> PAGEREF _Toc135185914 \h </w:instrText>
        </w:r>
        <w:r w:rsidR="009E5861">
          <w:rPr>
            <w:noProof/>
          </w:rPr>
        </w:r>
        <w:r w:rsidR="007E5C81">
          <w:rPr>
            <w:noProof/>
            <w:webHidden/>
          </w:rPr>
          <w:fldChar w:fldCharType="separate"/>
        </w:r>
        <w:r w:rsidR="002B1815">
          <w:rPr>
            <w:noProof/>
            <w:webHidden/>
          </w:rPr>
          <w:t>5</w:t>
        </w:r>
        <w:r w:rsidR="007E5C81">
          <w:rPr>
            <w:noProof/>
            <w:webHidden/>
          </w:rPr>
          <w:fldChar w:fldCharType="end"/>
        </w:r>
      </w:hyperlink>
    </w:p>
    <w:p w:rsidR="007E5C81" w:rsidRDefault="007E5C81">
      <w:pPr>
        <w:pStyle w:val="Tablicaslika"/>
        <w:tabs>
          <w:tab w:val="right" w:leader="dot" w:pos="9074"/>
        </w:tabs>
        <w:rPr>
          <w:noProof/>
        </w:rPr>
      </w:pPr>
      <w:hyperlink w:anchor="_Toc135185915" w:history="1">
        <w:r w:rsidRPr="0044259A">
          <w:rPr>
            <w:rStyle w:val="Hiperveza"/>
            <w:b/>
            <w:noProof/>
          </w:rPr>
          <w:t>Slika 2: Kretanje broja stanovnika općine Gornja Rijeka</w:t>
        </w:r>
        <w:r>
          <w:rPr>
            <w:noProof/>
            <w:webHidden/>
          </w:rPr>
          <w:tab/>
        </w:r>
        <w:r>
          <w:rPr>
            <w:noProof/>
            <w:webHidden/>
          </w:rPr>
          <w:fldChar w:fldCharType="begin"/>
        </w:r>
        <w:r>
          <w:rPr>
            <w:noProof/>
            <w:webHidden/>
          </w:rPr>
          <w:instrText xml:space="preserve"> PAGEREF _Toc135185915 \h </w:instrText>
        </w:r>
        <w:r w:rsidR="009E5861">
          <w:rPr>
            <w:noProof/>
          </w:rPr>
        </w:r>
        <w:r>
          <w:rPr>
            <w:noProof/>
            <w:webHidden/>
          </w:rPr>
          <w:fldChar w:fldCharType="separate"/>
        </w:r>
        <w:r w:rsidR="002B1815">
          <w:rPr>
            <w:noProof/>
            <w:webHidden/>
          </w:rPr>
          <w:t>6</w:t>
        </w:r>
        <w:r>
          <w:rPr>
            <w:noProof/>
            <w:webHidden/>
          </w:rPr>
          <w:fldChar w:fldCharType="end"/>
        </w:r>
      </w:hyperlink>
    </w:p>
    <w:p w:rsidR="007E5C81" w:rsidRDefault="007E5C81">
      <w:pPr>
        <w:pStyle w:val="Tablicaslika"/>
        <w:tabs>
          <w:tab w:val="right" w:leader="dot" w:pos="9074"/>
        </w:tabs>
        <w:rPr>
          <w:noProof/>
        </w:rPr>
      </w:pPr>
      <w:hyperlink w:anchor="_Toc135185916" w:history="1">
        <w:r w:rsidRPr="0044259A">
          <w:rPr>
            <w:rStyle w:val="Hiperveza"/>
            <w:b/>
            <w:noProof/>
          </w:rPr>
          <w:t>Slika 3: Naselja</w:t>
        </w:r>
        <w:r>
          <w:rPr>
            <w:noProof/>
            <w:webHidden/>
          </w:rPr>
          <w:tab/>
        </w:r>
        <w:r>
          <w:rPr>
            <w:noProof/>
            <w:webHidden/>
          </w:rPr>
          <w:fldChar w:fldCharType="begin"/>
        </w:r>
        <w:r>
          <w:rPr>
            <w:noProof/>
            <w:webHidden/>
          </w:rPr>
          <w:instrText xml:space="preserve"> PAGEREF _Toc135185916 \h </w:instrText>
        </w:r>
        <w:r w:rsidR="009E5861">
          <w:rPr>
            <w:noProof/>
          </w:rPr>
        </w:r>
        <w:r>
          <w:rPr>
            <w:noProof/>
            <w:webHidden/>
          </w:rPr>
          <w:fldChar w:fldCharType="separate"/>
        </w:r>
        <w:r w:rsidR="002B1815">
          <w:rPr>
            <w:noProof/>
            <w:webHidden/>
          </w:rPr>
          <w:t>8</w:t>
        </w:r>
        <w:r>
          <w:rPr>
            <w:noProof/>
            <w:webHidden/>
          </w:rPr>
          <w:fldChar w:fldCharType="end"/>
        </w:r>
      </w:hyperlink>
    </w:p>
    <w:p w:rsidR="007E5C81" w:rsidRDefault="007E5C81">
      <w:pPr>
        <w:pStyle w:val="Tablicaslika"/>
        <w:tabs>
          <w:tab w:val="right" w:leader="dot" w:pos="9074"/>
        </w:tabs>
        <w:rPr>
          <w:noProof/>
        </w:rPr>
      </w:pPr>
      <w:hyperlink w:anchor="_Toc135185917" w:history="1">
        <w:r w:rsidRPr="0044259A">
          <w:rPr>
            <w:rStyle w:val="Hiperveza"/>
            <w:b/>
            <w:noProof/>
          </w:rPr>
          <w:t>Slika 4: Prometna infrastruktura</w:t>
        </w:r>
        <w:r>
          <w:rPr>
            <w:noProof/>
            <w:webHidden/>
          </w:rPr>
          <w:tab/>
        </w:r>
        <w:r>
          <w:rPr>
            <w:noProof/>
            <w:webHidden/>
          </w:rPr>
          <w:fldChar w:fldCharType="begin"/>
        </w:r>
        <w:r>
          <w:rPr>
            <w:noProof/>
            <w:webHidden/>
          </w:rPr>
          <w:instrText xml:space="preserve"> PAGEREF _Toc135185917 \h </w:instrText>
        </w:r>
        <w:r w:rsidR="009E5861">
          <w:rPr>
            <w:noProof/>
          </w:rPr>
        </w:r>
        <w:r>
          <w:rPr>
            <w:noProof/>
            <w:webHidden/>
          </w:rPr>
          <w:fldChar w:fldCharType="separate"/>
        </w:r>
        <w:r w:rsidR="002B1815">
          <w:rPr>
            <w:noProof/>
            <w:webHidden/>
          </w:rPr>
          <w:t>15</w:t>
        </w:r>
        <w:r>
          <w:rPr>
            <w:noProof/>
            <w:webHidden/>
          </w:rPr>
          <w:fldChar w:fldCharType="end"/>
        </w:r>
      </w:hyperlink>
    </w:p>
    <w:p w:rsidR="007E5C81" w:rsidRDefault="007E5C81">
      <w:pPr>
        <w:pStyle w:val="Tablicaslika"/>
        <w:tabs>
          <w:tab w:val="left" w:pos="5186"/>
          <w:tab w:val="right" w:leader="dot" w:pos="9074"/>
        </w:tabs>
        <w:rPr>
          <w:noProof/>
        </w:rPr>
      </w:pPr>
      <w:hyperlink w:anchor="_Toc135185918" w:history="1">
        <w:r w:rsidRPr="0044259A">
          <w:rPr>
            <w:rStyle w:val="Hiperveza"/>
            <w:noProof/>
          </w:rPr>
          <w:t>Slika 5. Crkva Uznesenja Marijina u Gornjoj Rijeci</w:t>
        </w:r>
        <w:r>
          <w:rPr>
            <w:noProof/>
          </w:rPr>
          <w:tab/>
        </w:r>
        <w:r w:rsidRPr="0044259A">
          <w:rPr>
            <w:rStyle w:val="Hiperveza"/>
            <w:noProof/>
          </w:rPr>
          <w:t>Slika 6. Grb obitelji Erdody-Zichy na zvoniku</w:t>
        </w:r>
        <w:r>
          <w:rPr>
            <w:noProof/>
            <w:webHidden/>
          </w:rPr>
          <w:tab/>
        </w:r>
        <w:r>
          <w:rPr>
            <w:noProof/>
            <w:webHidden/>
          </w:rPr>
          <w:fldChar w:fldCharType="begin"/>
        </w:r>
        <w:r>
          <w:rPr>
            <w:noProof/>
            <w:webHidden/>
          </w:rPr>
          <w:instrText xml:space="preserve"> PAGEREF _Toc135185918 \h </w:instrText>
        </w:r>
        <w:r w:rsidR="009E5861">
          <w:rPr>
            <w:noProof/>
          </w:rPr>
        </w:r>
        <w:r>
          <w:rPr>
            <w:noProof/>
            <w:webHidden/>
          </w:rPr>
          <w:fldChar w:fldCharType="separate"/>
        </w:r>
        <w:r w:rsidR="002B1815">
          <w:rPr>
            <w:noProof/>
            <w:webHidden/>
          </w:rPr>
          <w:t>25</w:t>
        </w:r>
        <w:r>
          <w:rPr>
            <w:noProof/>
            <w:webHidden/>
          </w:rPr>
          <w:fldChar w:fldCharType="end"/>
        </w:r>
      </w:hyperlink>
    </w:p>
    <w:p w:rsidR="007E5C81" w:rsidRDefault="007E5C81">
      <w:pPr>
        <w:pStyle w:val="Tablicaslika"/>
        <w:tabs>
          <w:tab w:val="right" w:leader="dot" w:pos="9074"/>
        </w:tabs>
        <w:rPr>
          <w:noProof/>
        </w:rPr>
      </w:pPr>
      <w:hyperlink w:anchor="_Toc135185919" w:history="1">
        <w:r w:rsidRPr="0044259A">
          <w:rPr>
            <w:rStyle w:val="Hiperveza"/>
            <w:noProof/>
          </w:rPr>
          <w:t>Slika 7. Mali Kalnik</w:t>
        </w:r>
        <w:r>
          <w:rPr>
            <w:noProof/>
            <w:webHidden/>
          </w:rPr>
          <w:tab/>
        </w:r>
        <w:r>
          <w:rPr>
            <w:noProof/>
            <w:webHidden/>
          </w:rPr>
          <w:fldChar w:fldCharType="begin"/>
        </w:r>
        <w:r>
          <w:rPr>
            <w:noProof/>
            <w:webHidden/>
          </w:rPr>
          <w:instrText xml:space="preserve"> PAGEREF _Toc135185919 \h </w:instrText>
        </w:r>
        <w:r w:rsidR="009E5861">
          <w:rPr>
            <w:noProof/>
          </w:rPr>
        </w:r>
        <w:r>
          <w:rPr>
            <w:noProof/>
            <w:webHidden/>
          </w:rPr>
          <w:fldChar w:fldCharType="separate"/>
        </w:r>
        <w:r w:rsidR="002B1815">
          <w:rPr>
            <w:noProof/>
            <w:webHidden/>
          </w:rPr>
          <w:t>28</w:t>
        </w:r>
        <w:r>
          <w:rPr>
            <w:noProof/>
            <w:webHidden/>
          </w:rPr>
          <w:fldChar w:fldCharType="end"/>
        </w:r>
      </w:hyperlink>
    </w:p>
    <w:p w:rsidR="007E5C81" w:rsidRDefault="007E5C81">
      <w:pPr>
        <w:pStyle w:val="Tablicaslika"/>
        <w:tabs>
          <w:tab w:val="right" w:leader="dot" w:pos="9074"/>
        </w:tabs>
        <w:rPr>
          <w:noProof/>
        </w:rPr>
      </w:pPr>
      <w:hyperlink w:anchor="_Toc135185920" w:history="1">
        <w:r w:rsidRPr="0044259A">
          <w:rPr>
            <w:rStyle w:val="Hiperveza"/>
            <w:b/>
            <w:noProof/>
          </w:rPr>
          <w:t>Slika 8: Slap</w:t>
        </w:r>
        <w:r>
          <w:rPr>
            <w:noProof/>
            <w:webHidden/>
          </w:rPr>
          <w:tab/>
        </w:r>
        <w:r>
          <w:rPr>
            <w:noProof/>
            <w:webHidden/>
          </w:rPr>
          <w:fldChar w:fldCharType="begin"/>
        </w:r>
        <w:r>
          <w:rPr>
            <w:noProof/>
            <w:webHidden/>
          </w:rPr>
          <w:instrText xml:space="preserve"> PAGEREF _Toc135185920 \h </w:instrText>
        </w:r>
        <w:r w:rsidR="009E5861">
          <w:rPr>
            <w:noProof/>
          </w:rPr>
        </w:r>
        <w:r>
          <w:rPr>
            <w:noProof/>
            <w:webHidden/>
          </w:rPr>
          <w:fldChar w:fldCharType="separate"/>
        </w:r>
        <w:r w:rsidR="002B1815">
          <w:rPr>
            <w:noProof/>
            <w:webHidden/>
          </w:rPr>
          <w:t>29</w:t>
        </w:r>
        <w:r>
          <w:rPr>
            <w:noProof/>
            <w:webHidden/>
          </w:rPr>
          <w:fldChar w:fldCharType="end"/>
        </w:r>
      </w:hyperlink>
    </w:p>
    <w:p w:rsidR="007E5C81" w:rsidRDefault="007E5C81">
      <w:pPr>
        <w:pStyle w:val="Tablicaslika"/>
        <w:tabs>
          <w:tab w:val="right" w:leader="dot" w:pos="9074"/>
        </w:tabs>
        <w:rPr>
          <w:noProof/>
        </w:rPr>
      </w:pPr>
      <w:hyperlink w:anchor="_Toc135185921" w:history="1">
        <w:r w:rsidRPr="0044259A">
          <w:rPr>
            <w:rStyle w:val="Hiperveza"/>
            <w:b/>
            <w:noProof/>
          </w:rPr>
          <w:t>Slika 9: Obrazovna struktura stanovništva 2001. godine</w:t>
        </w:r>
        <w:r>
          <w:rPr>
            <w:noProof/>
            <w:webHidden/>
          </w:rPr>
          <w:tab/>
        </w:r>
        <w:r>
          <w:rPr>
            <w:noProof/>
            <w:webHidden/>
          </w:rPr>
          <w:fldChar w:fldCharType="begin"/>
        </w:r>
        <w:r>
          <w:rPr>
            <w:noProof/>
            <w:webHidden/>
          </w:rPr>
          <w:instrText xml:space="preserve"> PAGEREF _Toc135185921 \h </w:instrText>
        </w:r>
        <w:r w:rsidR="009E5861">
          <w:rPr>
            <w:noProof/>
          </w:rPr>
        </w:r>
        <w:r>
          <w:rPr>
            <w:noProof/>
            <w:webHidden/>
          </w:rPr>
          <w:fldChar w:fldCharType="separate"/>
        </w:r>
        <w:r w:rsidR="002B1815">
          <w:rPr>
            <w:noProof/>
            <w:webHidden/>
          </w:rPr>
          <w:t>35</w:t>
        </w:r>
        <w:r>
          <w:rPr>
            <w:noProof/>
            <w:webHidden/>
          </w:rPr>
          <w:fldChar w:fldCharType="end"/>
        </w:r>
      </w:hyperlink>
    </w:p>
    <w:p w:rsidR="00012172" w:rsidRDefault="00012172">
      <w:pPr>
        <w:rPr>
          <w:rFonts w:ascii="Arial" w:hAnsi="Arial" w:cs="Arial"/>
          <w:sz w:val="20"/>
          <w:szCs w:val="20"/>
        </w:rPr>
      </w:pPr>
      <w:r>
        <w:rPr>
          <w:rFonts w:ascii="Arial" w:hAnsi="Arial" w:cs="Arial"/>
          <w:sz w:val="20"/>
          <w:szCs w:val="20"/>
        </w:rPr>
        <w:fldChar w:fldCharType="end"/>
      </w:r>
    </w:p>
    <w:p w:rsidR="007445F0" w:rsidRDefault="007445F0">
      <w:pPr>
        <w:rPr>
          <w:rFonts w:ascii="Arial" w:hAnsi="Arial" w:cs="Arial"/>
          <w:sz w:val="22"/>
          <w:szCs w:val="22"/>
        </w:rPr>
      </w:pPr>
    </w:p>
    <w:p w:rsidR="00012172" w:rsidRDefault="00012172">
      <w:pPr>
        <w:jc w:val="both"/>
        <w:rPr>
          <w:rFonts w:ascii="Arial" w:hAnsi="Arial" w:cs="Arial"/>
          <w:b/>
        </w:rPr>
      </w:pPr>
      <w:r>
        <w:rPr>
          <w:rFonts w:ascii="Arial" w:hAnsi="Arial" w:cs="Arial"/>
          <w:b/>
        </w:rPr>
        <w:t>Popis tablica</w:t>
      </w:r>
    </w:p>
    <w:p w:rsidR="007445F0" w:rsidRDefault="00012172">
      <w:pPr>
        <w:pStyle w:val="Tablicaslika"/>
        <w:tabs>
          <w:tab w:val="right" w:leader="dot" w:pos="9074"/>
        </w:tabs>
        <w:rPr>
          <w:noProof/>
        </w:rPr>
      </w:pPr>
      <w:r>
        <w:rPr>
          <w:rFonts w:ascii="Arial" w:hAnsi="Arial" w:cs="Arial"/>
          <w:sz w:val="22"/>
          <w:szCs w:val="22"/>
        </w:rPr>
        <w:fldChar w:fldCharType="begin"/>
      </w:r>
      <w:r>
        <w:rPr>
          <w:rFonts w:ascii="Arial" w:hAnsi="Arial" w:cs="Arial"/>
          <w:sz w:val="22"/>
          <w:szCs w:val="22"/>
        </w:rPr>
        <w:instrText xml:space="preserve"> TOC \h \z \c "Tablica" </w:instrText>
      </w:r>
      <w:r>
        <w:rPr>
          <w:rFonts w:ascii="Arial" w:hAnsi="Arial" w:cs="Arial"/>
          <w:sz w:val="22"/>
          <w:szCs w:val="22"/>
        </w:rPr>
        <w:fldChar w:fldCharType="separate"/>
      </w:r>
      <w:hyperlink w:anchor="_Toc132763251" w:history="1">
        <w:r w:rsidR="007445F0" w:rsidRPr="00030E64">
          <w:rPr>
            <w:rStyle w:val="Hiperveza"/>
            <w:b/>
            <w:noProof/>
          </w:rPr>
          <w:t>Tablica 1: Stanovništvo općine Gornja Rijeka</w:t>
        </w:r>
        <w:r w:rsidR="007445F0">
          <w:rPr>
            <w:noProof/>
            <w:webHidden/>
          </w:rPr>
          <w:tab/>
        </w:r>
        <w:r w:rsidR="007445F0">
          <w:rPr>
            <w:noProof/>
            <w:webHidden/>
          </w:rPr>
          <w:fldChar w:fldCharType="begin"/>
        </w:r>
        <w:r w:rsidR="007445F0">
          <w:rPr>
            <w:noProof/>
            <w:webHidden/>
          </w:rPr>
          <w:instrText xml:space="preserve"> PAGEREF _Toc132763251 \h </w:instrText>
        </w:r>
        <w:r w:rsidR="00A011C6">
          <w:rPr>
            <w:noProof/>
          </w:rPr>
        </w:r>
        <w:r w:rsidR="007445F0">
          <w:rPr>
            <w:noProof/>
            <w:webHidden/>
          </w:rPr>
          <w:fldChar w:fldCharType="separate"/>
        </w:r>
        <w:r w:rsidR="002B1815">
          <w:rPr>
            <w:noProof/>
            <w:webHidden/>
          </w:rPr>
          <w:t>6</w:t>
        </w:r>
        <w:r w:rsidR="007445F0">
          <w:rPr>
            <w:noProof/>
            <w:webHidden/>
          </w:rPr>
          <w:fldChar w:fldCharType="end"/>
        </w:r>
      </w:hyperlink>
    </w:p>
    <w:p w:rsidR="007445F0" w:rsidRDefault="007445F0">
      <w:pPr>
        <w:pStyle w:val="Tablicaslika"/>
        <w:tabs>
          <w:tab w:val="right" w:leader="dot" w:pos="9074"/>
        </w:tabs>
        <w:rPr>
          <w:noProof/>
        </w:rPr>
      </w:pPr>
      <w:hyperlink w:anchor="_Toc132763252" w:history="1">
        <w:r w:rsidRPr="00030E64">
          <w:rPr>
            <w:rStyle w:val="Hiperveza"/>
            <w:b/>
            <w:noProof/>
          </w:rPr>
          <w:t>Tablica 2: Stanovi prema načinu korištenja, druge nastanjene prostorije i broj osoba u stanovima i drugim nastanjenim prostorijama 2001.godine</w:t>
        </w:r>
        <w:r>
          <w:rPr>
            <w:noProof/>
            <w:webHidden/>
          </w:rPr>
          <w:tab/>
        </w:r>
        <w:r>
          <w:rPr>
            <w:noProof/>
            <w:webHidden/>
          </w:rPr>
          <w:fldChar w:fldCharType="begin"/>
        </w:r>
        <w:r>
          <w:rPr>
            <w:noProof/>
            <w:webHidden/>
          </w:rPr>
          <w:instrText xml:space="preserve"> PAGEREF _Toc132763252 \h </w:instrText>
        </w:r>
        <w:r w:rsidR="00A011C6">
          <w:rPr>
            <w:noProof/>
          </w:rPr>
        </w:r>
        <w:r>
          <w:rPr>
            <w:noProof/>
            <w:webHidden/>
          </w:rPr>
          <w:fldChar w:fldCharType="separate"/>
        </w:r>
        <w:r w:rsidR="002B1815">
          <w:rPr>
            <w:noProof/>
            <w:webHidden/>
          </w:rPr>
          <w:t>8</w:t>
        </w:r>
        <w:r>
          <w:rPr>
            <w:noProof/>
            <w:webHidden/>
          </w:rPr>
          <w:fldChar w:fldCharType="end"/>
        </w:r>
      </w:hyperlink>
    </w:p>
    <w:p w:rsidR="007445F0" w:rsidRDefault="007445F0">
      <w:pPr>
        <w:pStyle w:val="Tablicaslika"/>
        <w:tabs>
          <w:tab w:val="right" w:leader="dot" w:pos="9074"/>
        </w:tabs>
        <w:rPr>
          <w:noProof/>
        </w:rPr>
      </w:pPr>
      <w:hyperlink w:anchor="_Toc132763253" w:history="1">
        <w:r w:rsidRPr="00030E64">
          <w:rPr>
            <w:rStyle w:val="Hiperveza"/>
            <w:b/>
            <w:noProof/>
          </w:rPr>
          <w:t>Tablica 3: Površine korištenog poljoprivrednog zemljišta prema popisu poljoprivrede (2003.) u ha</w:t>
        </w:r>
        <w:r>
          <w:rPr>
            <w:noProof/>
            <w:webHidden/>
          </w:rPr>
          <w:tab/>
        </w:r>
        <w:r>
          <w:rPr>
            <w:noProof/>
            <w:webHidden/>
          </w:rPr>
          <w:fldChar w:fldCharType="begin"/>
        </w:r>
        <w:r>
          <w:rPr>
            <w:noProof/>
            <w:webHidden/>
          </w:rPr>
          <w:instrText xml:space="preserve"> PAGEREF _Toc132763253 \h </w:instrText>
        </w:r>
        <w:r w:rsidR="00A011C6">
          <w:rPr>
            <w:noProof/>
          </w:rPr>
        </w:r>
        <w:r>
          <w:rPr>
            <w:noProof/>
            <w:webHidden/>
          </w:rPr>
          <w:fldChar w:fldCharType="separate"/>
        </w:r>
        <w:r w:rsidR="002B1815">
          <w:rPr>
            <w:noProof/>
            <w:webHidden/>
          </w:rPr>
          <w:t>12</w:t>
        </w:r>
        <w:r>
          <w:rPr>
            <w:noProof/>
            <w:webHidden/>
          </w:rPr>
          <w:fldChar w:fldCharType="end"/>
        </w:r>
      </w:hyperlink>
    </w:p>
    <w:p w:rsidR="007445F0" w:rsidRDefault="007445F0">
      <w:pPr>
        <w:pStyle w:val="Tablicaslika"/>
        <w:tabs>
          <w:tab w:val="right" w:leader="dot" w:pos="9074"/>
        </w:tabs>
        <w:rPr>
          <w:noProof/>
        </w:rPr>
      </w:pPr>
      <w:hyperlink w:anchor="_Toc132763254" w:history="1">
        <w:r w:rsidRPr="00030E64">
          <w:rPr>
            <w:rStyle w:val="Hiperveza"/>
            <w:b/>
            <w:noProof/>
          </w:rPr>
          <w:t>Tablica 4: Poljoprivredna kućanstva prema korištenju poljoprivrednog zemljišta (2003.) u ha</w:t>
        </w:r>
        <w:r>
          <w:rPr>
            <w:noProof/>
            <w:webHidden/>
          </w:rPr>
          <w:tab/>
        </w:r>
        <w:r>
          <w:rPr>
            <w:noProof/>
            <w:webHidden/>
          </w:rPr>
          <w:fldChar w:fldCharType="begin"/>
        </w:r>
        <w:r>
          <w:rPr>
            <w:noProof/>
            <w:webHidden/>
          </w:rPr>
          <w:instrText xml:space="preserve"> PAGEREF _Toc132763254 \h </w:instrText>
        </w:r>
        <w:r w:rsidR="00A011C6">
          <w:rPr>
            <w:noProof/>
          </w:rPr>
        </w:r>
        <w:r>
          <w:rPr>
            <w:noProof/>
            <w:webHidden/>
          </w:rPr>
          <w:fldChar w:fldCharType="separate"/>
        </w:r>
        <w:r w:rsidR="002B1815">
          <w:rPr>
            <w:noProof/>
            <w:webHidden/>
          </w:rPr>
          <w:t>12</w:t>
        </w:r>
        <w:r>
          <w:rPr>
            <w:noProof/>
            <w:webHidden/>
          </w:rPr>
          <w:fldChar w:fldCharType="end"/>
        </w:r>
      </w:hyperlink>
    </w:p>
    <w:p w:rsidR="007445F0" w:rsidRDefault="007445F0">
      <w:pPr>
        <w:pStyle w:val="Tablicaslika"/>
        <w:tabs>
          <w:tab w:val="right" w:leader="dot" w:pos="9074"/>
        </w:tabs>
        <w:rPr>
          <w:noProof/>
        </w:rPr>
      </w:pPr>
      <w:hyperlink w:anchor="_Toc132763255" w:history="1">
        <w:r w:rsidRPr="00030E64">
          <w:rPr>
            <w:rStyle w:val="Hiperveza"/>
            <w:b/>
            <w:noProof/>
          </w:rPr>
          <w:t>Tablica 5: Struktura zaposlenih u općini</w:t>
        </w:r>
        <w:r>
          <w:rPr>
            <w:noProof/>
            <w:webHidden/>
          </w:rPr>
          <w:tab/>
        </w:r>
        <w:r>
          <w:rPr>
            <w:noProof/>
            <w:webHidden/>
          </w:rPr>
          <w:fldChar w:fldCharType="begin"/>
        </w:r>
        <w:r>
          <w:rPr>
            <w:noProof/>
            <w:webHidden/>
          </w:rPr>
          <w:instrText xml:space="preserve"> PAGEREF _Toc132763255 \h </w:instrText>
        </w:r>
        <w:r w:rsidR="00A011C6">
          <w:rPr>
            <w:noProof/>
          </w:rPr>
        </w:r>
        <w:r>
          <w:rPr>
            <w:noProof/>
            <w:webHidden/>
          </w:rPr>
          <w:fldChar w:fldCharType="separate"/>
        </w:r>
        <w:r w:rsidR="002B1815">
          <w:rPr>
            <w:noProof/>
            <w:webHidden/>
          </w:rPr>
          <w:t>13</w:t>
        </w:r>
        <w:r>
          <w:rPr>
            <w:noProof/>
            <w:webHidden/>
          </w:rPr>
          <w:fldChar w:fldCharType="end"/>
        </w:r>
      </w:hyperlink>
    </w:p>
    <w:p w:rsidR="007445F0" w:rsidRDefault="007445F0">
      <w:pPr>
        <w:pStyle w:val="Tablicaslika"/>
        <w:tabs>
          <w:tab w:val="right" w:leader="dot" w:pos="9074"/>
        </w:tabs>
        <w:rPr>
          <w:noProof/>
        </w:rPr>
      </w:pPr>
      <w:hyperlink w:anchor="_Toc132763256" w:history="1">
        <w:r w:rsidRPr="00030E64">
          <w:rPr>
            <w:rStyle w:val="Hiperveza"/>
            <w:b/>
            <w:noProof/>
          </w:rPr>
          <w:t>Tablica 6: Uzdržavano poljoprivredno stanovništvo 2001.</w:t>
        </w:r>
        <w:r>
          <w:rPr>
            <w:noProof/>
            <w:webHidden/>
          </w:rPr>
          <w:tab/>
        </w:r>
        <w:r>
          <w:rPr>
            <w:noProof/>
            <w:webHidden/>
          </w:rPr>
          <w:fldChar w:fldCharType="begin"/>
        </w:r>
        <w:r>
          <w:rPr>
            <w:noProof/>
            <w:webHidden/>
          </w:rPr>
          <w:instrText xml:space="preserve"> PAGEREF _Toc132763256 \h </w:instrText>
        </w:r>
        <w:r w:rsidR="00A011C6">
          <w:rPr>
            <w:noProof/>
          </w:rPr>
        </w:r>
        <w:r>
          <w:rPr>
            <w:noProof/>
            <w:webHidden/>
          </w:rPr>
          <w:fldChar w:fldCharType="separate"/>
        </w:r>
        <w:r w:rsidR="002B1815">
          <w:rPr>
            <w:noProof/>
            <w:webHidden/>
          </w:rPr>
          <w:t>13</w:t>
        </w:r>
        <w:r>
          <w:rPr>
            <w:noProof/>
            <w:webHidden/>
          </w:rPr>
          <w:fldChar w:fldCharType="end"/>
        </w:r>
      </w:hyperlink>
    </w:p>
    <w:p w:rsidR="007445F0" w:rsidRDefault="007445F0">
      <w:pPr>
        <w:pStyle w:val="Tablicaslika"/>
        <w:tabs>
          <w:tab w:val="right" w:leader="dot" w:pos="9074"/>
        </w:tabs>
        <w:rPr>
          <w:noProof/>
        </w:rPr>
      </w:pPr>
      <w:hyperlink w:anchor="_Toc132763257" w:history="1">
        <w:r w:rsidRPr="00030E64">
          <w:rPr>
            <w:rStyle w:val="Hiperveza"/>
            <w:b/>
            <w:noProof/>
          </w:rPr>
          <w:t>Tablica 7: Ceste u općini Gornja Rijeka</w:t>
        </w:r>
        <w:r>
          <w:rPr>
            <w:noProof/>
            <w:webHidden/>
          </w:rPr>
          <w:tab/>
        </w:r>
        <w:r>
          <w:rPr>
            <w:noProof/>
            <w:webHidden/>
          </w:rPr>
          <w:fldChar w:fldCharType="begin"/>
        </w:r>
        <w:r>
          <w:rPr>
            <w:noProof/>
            <w:webHidden/>
          </w:rPr>
          <w:instrText xml:space="preserve"> PAGEREF _Toc132763257 \h </w:instrText>
        </w:r>
        <w:r w:rsidR="00A011C6">
          <w:rPr>
            <w:noProof/>
          </w:rPr>
        </w:r>
        <w:r>
          <w:rPr>
            <w:noProof/>
            <w:webHidden/>
          </w:rPr>
          <w:fldChar w:fldCharType="separate"/>
        </w:r>
        <w:r w:rsidR="002B1815">
          <w:rPr>
            <w:noProof/>
            <w:webHidden/>
          </w:rPr>
          <w:t>14</w:t>
        </w:r>
        <w:r>
          <w:rPr>
            <w:noProof/>
            <w:webHidden/>
          </w:rPr>
          <w:fldChar w:fldCharType="end"/>
        </w:r>
      </w:hyperlink>
    </w:p>
    <w:p w:rsidR="007445F0" w:rsidRDefault="007445F0">
      <w:pPr>
        <w:pStyle w:val="Tablicaslika"/>
        <w:tabs>
          <w:tab w:val="right" w:leader="dot" w:pos="9074"/>
        </w:tabs>
        <w:rPr>
          <w:noProof/>
        </w:rPr>
      </w:pPr>
      <w:hyperlink w:anchor="_Toc132763258" w:history="1">
        <w:r w:rsidRPr="00030E64">
          <w:rPr>
            <w:rStyle w:val="Hiperveza"/>
            <w:b/>
            <w:noProof/>
          </w:rPr>
          <w:t>Tablica 8: Registrirani spomenik kulture</w:t>
        </w:r>
        <w:r>
          <w:rPr>
            <w:noProof/>
            <w:webHidden/>
          </w:rPr>
          <w:tab/>
        </w:r>
        <w:r>
          <w:rPr>
            <w:noProof/>
            <w:webHidden/>
          </w:rPr>
          <w:fldChar w:fldCharType="begin"/>
        </w:r>
        <w:r>
          <w:rPr>
            <w:noProof/>
            <w:webHidden/>
          </w:rPr>
          <w:instrText xml:space="preserve"> PAGEREF _Toc132763258 \h </w:instrText>
        </w:r>
        <w:r w:rsidR="00A011C6">
          <w:rPr>
            <w:noProof/>
          </w:rPr>
        </w:r>
        <w:r>
          <w:rPr>
            <w:noProof/>
            <w:webHidden/>
          </w:rPr>
          <w:fldChar w:fldCharType="separate"/>
        </w:r>
        <w:r w:rsidR="002B1815">
          <w:rPr>
            <w:noProof/>
            <w:webHidden/>
          </w:rPr>
          <w:t>27</w:t>
        </w:r>
        <w:r>
          <w:rPr>
            <w:noProof/>
            <w:webHidden/>
          </w:rPr>
          <w:fldChar w:fldCharType="end"/>
        </w:r>
      </w:hyperlink>
    </w:p>
    <w:p w:rsidR="007445F0" w:rsidRDefault="007445F0">
      <w:pPr>
        <w:pStyle w:val="Tablicaslika"/>
        <w:tabs>
          <w:tab w:val="right" w:leader="dot" w:pos="9074"/>
        </w:tabs>
        <w:rPr>
          <w:noProof/>
        </w:rPr>
      </w:pPr>
      <w:hyperlink w:anchor="_Toc132763259" w:history="1">
        <w:r w:rsidRPr="00030E64">
          <w:rPr>
            <w:rStyle w:val="Hiperveza"/>
            <w:b/>
            <w:noProof/>
          </w:rPr>
          <w:t>Tablica 9: Prirodno kretanje broja stanovnika U Općini Gornja Rijeka</w:t>
        </w:r>
        <w:r>
          <w:rPr>
            <w:noProof/>
            <w:webHidden/>
          </w:rPr>
          <w:tab/>
        </w:r>
        <w:r>
          <w:rPr>
            <w:noProof/>
            <w:webHidden/>
          </w:rPr>
          <w:fldChar w:fldCharType="begin"/>
        </w:r>
        <w:r>
          <w:rPr>
            <w:noProof/>
            <w:webHidden/>
          </w:rPr>
          <w:instrText xml:space="preserve"> PAGEREF _Toc132763259 \h </w:instrText>
        </w:r>
        <w:r w:rsidR="00A011C6">
          <w:rPr>
            <w:noProof/>
          </w:rPr>
        </w:r>
        <w:r>
          <w:rPr>
            <w:noProof/>
            <w:webHidden/>
          </w:rPr>
          <w:fldChar w:fldCharType="separate"/>
        </w:r>
        <w:r w:rsidR="002B1815">
          <w:rPr>
            <w:noProof/>
            <w:webHidden/>
          </w:rPr>
          <w:t>35</w:t>
        </w:r>
        <w:r>
          <w:rPr>
            <w:noProof/>
            <w:webHidden/>
          </w:rPr>
          <w:fldChar w:fldCharType="end"/>
        </w:r>
      </w:hyperlink>
    </w:p>
    <w:p w:rsidR="007445F0" w:rsidRDefault="007445F0">
      <w:pPr>
        <w:pStyle w:val="Tablicaslika"/>
        <w:tabs>
          <w:tab w:val="right" w:leader="dot" w:pos="9074"/>
        </w:tabs>
        <w:rPr>
          <w:noProof/>
        </w:rPr>
      </w:pPr>
      <w:hyperlink w:anchor="_Toc132763260" w:history="1">
        <w:r w:rsidRPr="00030E64">
          <w:rPr>
            <w:rStyle w:val="Hiperveza"/>
            <w:b/>
            <w:noProof/>
          </w:rPr>
          <w:t>Tablica 10: Usporedba kontingenata stanovništva 2001. općine Gornja Rijeka i Koprivničko-križevačke županije</w:t>
        </w:r>
        <w:r>
          <w:rPr>
            <w:noProof/>
            <w:webHidden/>
          </w:rPr>
          <w:tab/>
        </w:r>
        <w:r>
          <w:rPr>
            <w:noProof/>
            <w:webHidden/>
          </w:rPr>
          <w:fldChar w:fldCharType="begin"/>
        </w:r>
        <w:r>
          <w:rPr>
            <w:noProof/>
            <w:webHidden/>
          </w:rPr>
          <w:instrText xml:space="preserve"> PAGEREF _Toc132763260 \h </w:instrText>
        </w:r>
        <w:r w:rsidR="00A011C6">
          <w:rPr>
            <w:noProof/>
          </w:rPr>
        </w:r>
        <w:r>
          <w:rPr>
            <w:noProof/>
            <w:webHidden/>
          </w:rPr>
          <w:fldChar w:fldCharType="separate"/>
        </w:r>
        <w:r w:rsidR="002B1815">
          <w:rPr>
            <w:noProof/>
            <w:webHidden/>
          </w:rPr>
          <w:t>35</w:t>
        </w:r>
        <w:r>
          <w:rPr>
            <w:noProof/>
            <w:webHidden/>
          </w:rPr>
          <w:fldChar w:fldCharType="end"/>
        </w:r>
      </w:hyperlink>
    </w:p>
    <w:p w:rsidR="007445F0" w:rsidRDefault="007445F0">
      <w:pPr>
        <w:pStyle w:val="Tablicaslika"/>
        <w:tabs>
          <w:tab w:val="right" w:leader="dot" w:pos="9074"/>
        </w:tabs>
        <w:rPr>
          <w:noProof/>
        </w:rPr>
      </w:pPr>
      <w:hyperlink w:anchor="_Toc132763261" w:history="1">
        <w:r w:rsidRPr="00030E64">
          <w:rPr>
            <w:rStyle w:val="Hiperveza"/>
            <w:b/>
            <w:noProof/>
          </w:rPr>
          <w:t>Tablica 11: Projekcija kretanja broja stanovnika (2001-2011)</w:t>
        </w:r>
        <w:r>
          <w:rPr>
            <w:noProof/>
            <w:webHidden/>
          </w:rPr>
          <w:tab/>
        </w:r>
        <w:r>
          <w:rPr>
            <w:noProof/>
            <w:webHidden/>
          </w:rPr>
          <w:fldChar w:fldCharType="begin"/>
        </w:r>
        <w:r>
          <w:rPr>
            <w:noProof/>
            <w:webHidden/>
          </w:rPr>
          <w:instrText xml:space="preserve"> PAGEREF _Toc132763261 \h </w:instrText>
        </w:r>
        <w:r w:rsidR="00A011C6">
          <w:rPr>
            <w:noProof/>
          </w:rPr>
        </w:r>
        <w:r>
          <w:rPr>
            <w:noProof/>
            <w:webHidden/>
          </w:rPr>
          <w:fldChar w:fldCharType="separate"/>
        </w:r>
        <w:r w:rsidR="002B1815">
          <w:rPr>
            <w:noProof/>
            <w:webHidden/>
          </w:rPr>
          <w:t>39</w:t>
        </w:r>
        <w:r>
          <w:rPr>
            <w:noProof/>
            <w:webHidden/>
          </w:rPr>
          <w:fldChar w:fldCharType="end"/>
        </w:r>
      </w:hyperlink>
    </w:p>
    <w:p w:rsidR="007445F0" w:rsidRDefault="007445F0">
      <w:pPr>
        <w:pStyle w:val="Tablicaslika"/>
        <w:tabs>
          <w:tab w:val="right" w:leader="dot" w:pos="9074"/>
        </w:tabs>
        <w:rPr>
          <w:noProof/>
        </w:rPr>
      </w:pPr>
      <w:hyperlink w:anchor="_Toc132763262" w:history="1">
        <w:r w:rsidRPr="00030E64">
          <w:rPr>
            <w:rStyle w:val="Hiperveza"/>
            <w:noProof/>
          </w:rPr>
          <w:t>Tablica 12 : Promjena građevinskog područja</w:t>
        </w:r>
        <w:r>
          <w:rPr>
            <w:noProof/>
            <w:webHidden/>
          </w:rPr>
          <w:tab/>
        </w:r>
        <w:r>
          <w:rPr>
            <w:noProof/>
            <w:webHidden/>
          </w:rPr>
          <w:fldChar w:fldCharType="begin"/>
        </w:r>
        <w:r>
          <w:rPr>
            <w:noProof/>
            <w:webHidden/>
          </w:rPr>
          <w:instrText xml:space="preserve"> PAGEREF _Toc132763262 \h </w:instrText>
        </w:r>
        <w:r w:rsidR="00A011C6">
          <w:rPr>
            <w:noProof/>
          </w:rPr>
        </w:r>
        <w:r>
          <w:rPr>
            <w:noProof/>
            <w:webHidden/>
          </w:rPr>
          <w:fldChar w:fldCharType="separate"/>
        </w:r>
        <w:r w:rsidR="002B1815">
          <w:rPr>
            <w:noProof/>
            <w:webHidden/>
          </w:rPr>
          <w:t>44</w:t>
        </w:r>
        <w:r>
          <w:rPr>
            <w:noProof/>
            <w:webHidden/>
          </w:rPr>
          <w:fldChar w:fldCharType="end"/>
        </w:r>
      </w:hyperlink>
    </w:p>
    <w:p w:rsidR="007445F0" w:rsidRDefault="007445F0">
      <w:pPr>
        <w:pStyle w:val="Tablicaslika"/>
        <w:tabs>
          <w:tab w:val="right" w:leader="dot" w:pos="9074"/>
        </w:tabs>
        <w:rPr>
          <w:noProof/>
        </w:rPr>
      </w:pPr>
      <w:hyperlink w:anchor="_Toc132763263" w:history="1">
        <w:r w:rsidRPr="00030E64">
          <w:rPr>
            <w:rStyle w:val="Hiperveza"/>
            <w:b/>
            <w:noProof/>
          </w:rPr>
          <w:t>Tablica 13: Centralne funkcije naselja</w:t>
        </w:r>
        <w:r>
          <w:rPr>
            <w:noProof/>
            <w:webHidden/>
          </w:rPr>
          <w:tab/>
        </w:r>
        <w:r>
          <w:rPr>
            <w:noProof/>
            <w:webHidden/>
          </w:rPr>
          <w:fldChar w:fldCharType="begin"/>
        </w:r>
        <w:r>
          <w:rPr>
            <w:noProof/>
            <w:webHidden/>
          </w:rPr>
          <w:instrText xml:space="preserve"> PAGEREF _Toc132763263 \h </w:instrText>
        </w:r>
        <w:r w:rsidR="00A011C6">
          <w:rPr>
            <w:noProof/>
          </w:rPr>
        </w:r>
        <w:r>
          <w:rPr>
            <w:noProof/>
            <w:webHidden/>
          </w:rPr>
          <w:fldChar w:fldCharType="separate"/>
        </w:r>
        <w:r w:rsidR="002B1815">
          <w:rPr>
            <w:noProof/>
            <w:webHidden/>
          </w:rPr>
          <w:t>52</w:t>
        </w:r>
        <w:r>
          <w:rPr>
            <w:noProof/>
            <w:webHidden/>
          </w:rPr>
          <w:fldChar w:fldCharType="end"/>
        </w:r>
      </w:hyperlink>
    </w:p>
    <w:p w:rsidR="00012172" w:rsidRDefault="00012172">
      <w:pPr>
        <w:jc w:val="both"/>
        <w:rPr>
          <w:rFonts w:ascii="Arial" w:hAnsi="Arial" w:cs="Arial"/>
          <w:sz w:val="22"/>
          <w:szCs w:val="22"/>
        </w:rPr>
      </w:pPr>
      <w:r>
        <w:rPr>
          <w:rFonts w:ascii="Arial" w:hAnsi="Arial" w:cs="Arial"/>
          <w:sz w:val="22"/>
          <w:szCs w:val="22"/>
        </w:rPr>
        <w:fldChar w:fldCharType="end"/>
      </w:r>
    </w:p>
    <w:sectPr w:rsidR="00012172" w:rsidSect="007C5863">
      <w:pgSz w:w="11906" w:h="16838"/>
      <w:pgMar w:top="1267" w:right="1411" w:bottom="1411" w:left="141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57B" w:rsidRDefault="0032757B">
      <w:r>
        <w:separator/>
      </w:r>
    </w:p>
  </w:endnote>
  <w:endnote w:type="continuationSeparator" w:id="0">
    <w:p w:rsidR="0032757B" w:rsidRDefault="00327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3"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Times">
    <w:panose1 w:val="02020603050405020304"/>
    <w:charset w:val="EE"/>
    <w:family w:val="roman"/>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merType Md BT">
    <w:altName w:val="Bookman Old Style"/>
    <w:charset w:val="00"/>
    <w:family w:val="roman"/>
    <w:pitch w:val="variable"/>
    <w:sig w:usb0="00000087" w:usb1="00000000" w:usb2="00000000" w:usb3="00000000" w:csb0="0000001B"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EE7" w:rsidRDefault="00851EE7" w:rsidP="00AC5C24">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851EE7" w:rsidRDefault="00851EE7">
    <w:pPr>
      <w:pStyle w:val="Podnoj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EE7" w:rsidRDefault="00851EE7" w:rsidP="00AC5C24">
    <w:pPr>
      <w:pStyle w:val="Podnoje"/>
      <w:framePr w:wrap="around" w:vAnchor="text" w:hAnchor="margin" w:xAlign="right" w:y="1"/>
      <w:rPr>
        <w:rStyle w:val="Brojstranice"/>
        <w:sz w:val="18"/>
        <w:szCs w:val="18"/>
      </w:rPr>
    </w:pPr>
    <w:r>
      <w:rPr>
        <w:rStyle w:val="Brojstranice"/>
        <w:sz w:val="18"/>
        <w:szCs w:val="18"/>
      </w:rPr>
      <w:fldChar w:fldCharType="begin"/>
    </w:r>
    <w:r>
      <w:rPr>
        <w:rStyle w:val="Brojstranice"/>
        <w:sz w:val="18"/>
        <w:szCs w:val="18"/>
      </w:rPr>
      <w:instrText xml:space="preserve">PAGE  </w:instrText>
    </w:r>
    <w:r>
      <w:rPr>
        <w:rStyle w:val="Brojstranice"/>
        <w:sz w:val="18"/>
        <w:szCs w:val="18"/>
      </w:rPr>
      <w:fldChar w:fldCharType="separate"/>
    </w:r>
    <w:r w:rsidR="008F6679">
      <w:rPr>
        <w:rStyle w:val="Brojstranice"/>
        <w:noProof/>
        <w:sz w:val="18"/>
        <w:szCs w:val="18"/>
      </w:rPr>
      <w:t>2</w:t>
    </w:r>
    <w:r>
      <w:rPr>
        <w:rStyle w:val="Brojstranice"/>
        <w:sz w:val="18"/>
        <w:szCs w:val="18"/>
      </w:rPr>
      <w:fldChar w:fldCharType="end"/>
    </w:r>
  </w:p>
  <w:p w:rsidR="00851EE7" w:rsidRDefault="008F6679">
    <w:pPr>
      <w:pStyle w:val="Podnoje"/>
      <w:ind w:right="360"/>
      <w:jc w:val="center"/>
      <w:rPr>
        <w:color w:val="999999"/>
        <w:sz w:val="16"/>
      </w:rPr>
    </w:pPr>
    <w:r>
      <w:rPr>
        <w:noProof/>
        <w:color w:val="999999"/>
        <w:sz w:val="20"/>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-55245</wp:posOffset>
              </wp:positionV>
              <wp:extent cx="5829300" cy="0"/>
              <wp:effectExtent l="9525" t="11430" r="9525" b="762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5pt" to="45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" strokecolor="#969696"/>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57B" w:rsidRDefault="0032757B">
      <w:r>
        <w:separator/>
      </w:r>
    </w:p>
  </w:footnote>
  <w:footnote w:type="continuationSeparator" w:id="0">
    <w:p w:rsidR="0032757B" w:rsidRDefault="003275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EE7" w:rsidRDefault="00F0650A">
    <w:pPr>
      <w:pStyle w:val="Zaglavlje"/>
      <w:pBdr>
        <w:bottom w:val="single" w:sz="4" w:space="2" w:color="auto"/>
      </w:pBdr>
      <w:jc w:val="center"/>
      <w:rPr>
        <w:color w:val="999999"/>
        <w:sz w:val="16"/>
        <w:szCs w:val="16"/>
      </w:rPr>
    </w:pPr>
    <w:r>
      <w:rPr>
        <w:color w:val="999999"/>
        <w:sz w:val="16"/>
        <w:szCs w:val="16"/>
      </w:rPr>
      <w:t>PROSTORNI</w:t>
    </w:r>
    <w:r w:rsidR="00851EE7">
      <w:rPr>
        <w:color w:val="999999"/>
        <w:sz w:val="16"/>
        <w:szCs w:val="16"/>
      </w:rPr>
      <w:t xml:space="preserve"> </w:t>
    </w:r>
    <w:r>
      <w:rPr>
        <w:color w:val="999999"/>
        <w:sz w:val="16"/>
        <w:szCs w:val="16"/>
      </w:rPr>
      <w:t>PLAN</w:t>
    </w:r>
    <w:r w:rsidR="00851EE7">
      <w:rPr>
        <w:color w:val="999999"/>
        <w:sz w:val="16"/>
        <w:szCs w:val="16"/>
      </w:rPr>
      <w:t xml:space="preserve"> UREĐENJA OPĆINE GORNJA RIJEKA</w:t>
    </w:r>
  </w:p>
  <w:p w:rsidR="00851EE7" w:rsidRDefault="00851EE7">
    <w:pPr>
      <w:pStyle w:val="Zaglavlje"/>
      <w:rPr>
        <w:color w:val="999999"/>
      </w:rPr>
    </w:pPr>
  </w:p>
  <w:p w:rsidR="00851EE7" w:rsidRDefault="00851EE7">
    <w:pPr>
      <w:pStyle w:val="Zaglavlje"/>
      <w:rPr>
        <w:color w:val="9999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2FCB8E6"/>
    <w:lvl w:ilvl="0">
      <w:numFmt w:val="decimal"/>
      <w:lvlText w:val="*"/>
      <w:lvlJc w:val="left"/>
    </w:lvl>
  </w:abstractNum>
  <w:abstractNum w:abstractNumId="1">
    <w:nsid w:val="06076D11"/>
    <w:multiLevelType w:val="hybridMultilevel"/>
    <w:tmpl w:val="D4985E76"/>
    <w:lvl w:ilvl="0" w:tplc="041A0007">
      <w:start w:val="1"/>
      <w:numFmt w:val="bullet"/>
      <w:lvlText w:val=""/>
      <w:lvlJc w:val="left"/>
      <w:pPr>
        <w:tabs>
          <w:tab w:val="num" w:pos="720"/>
        </w:tabs>
        <w:ind w:left="720" w:hanging="360"/>
      </w:pPr>
      <w:rPr>
        <w:rFonts w:ascii="Wingdings" w:hAnsi="Wingdings" w:hint="default"/>
        <w:sz w:val="16"/>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nsid w:val="0A9F1A83"/>
    <w:multiLevelType w:val="multilevel"/>
    <w:tmpl w:val="B4EC4DC0"/>
    <w:lvl w:ilvl="0">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4287583"/>
    <w:multiLevelType w:val="multilevel"/>
    <w:tmpl w:val="E8E894CE"/>
    <w:lvl w:ilvl="0">
      <w:start w:val="1"/>
      <w:numFmt w:val="decimal"/>
      <w:lvlText w:val="%1."/>
      <w:lvlJc w:val="left"/>
      <w:pPr>
        <w:tabs>
          <w:tab w:val="num" w:pos="780"/>
        </w:tabs>
        <w:ind w:left="780" w:hanging="780"/>
      </w:pPr>
      <w:rPr>
        <w:rFonts w:hint="default"/>
      </w:rPr>
    </w:lvl>
    <w:lvl w:ilvl="1">
      <w:start w:val="1"/>
      <w:numFmt w:val="decimal"/>
      <w:lvlText w:val="%1.%2."/>
      <w:lvlJc w:val="left"/>
      <w:pPr>
        <w:tabs>
          <w:tab w:val="num" w:pos="780"/>
        </w:tabs>
        <w:ind w:left="780" w:hanging="780"/>
      </w:pPr>
      <w:rPr>
        <w:rFonts w:hint="default"/>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780"/>
        </w:tabs>
        <w:ind w:left="780" w:hanging="7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70C519B"/>
    <w:multiLevelType w:val="hybridMultilevel"/>
    <w:tmpl w:val="F4CCDCF6"/>
    <w:lvl w:ilvl="0" w:tplc="082020CE">
      <w:start w:val="1"/>
      <w:numFmt w:val="bullet"/>
      <w:lvlText w:val="-"/>
      <w:lvlJc w:val="left"/>
      <w:pPr>
        <w:tabs>
          <w:tab w:val="num" w:pos="360"/>
        </w:tabs>
        <w:ind w:left="360" w:hanging="360"/>
      </w:pPr>
      <w:rPr>
        <w:rFont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
    <w:nsid w:val="17332459"/>
    <w:multiLevelType w:val="hybridMultilevel"/>
    <w:tmpl w:val="28B8A54E"/>
    <w:lvl w:ilvl="0" w:tplc="80D4D32C">
      <w:start w:val="48"/>
      <w:numFmt w:val="bullet"/>
      <w:lvlText w:val="-"/>
      <w:lvlJc w:val="left"/>
      <w:pPr>
        <w:tabs>
          <w:tab w:val="num" w:pos="300"/>
        </w:tabs>
        <w:ind w:left="300" w:hanging="360"/>
      </w:pPr>
      <w:rPr>
        <w:rFonts w:ascii="Times New Roman" w:eastAsia="Times New Roman" w:hAnsi="Times New Roman" w:cs="Times New Roman" w:hint="default"/>
      </w:rPr>
    </w:lvl>
    <w:lvl w:ilvl="1" w:tplc="041A000F">
      <w:start w:val="1"/>
      <w:numFmt w:val="decimal"/>
      <w:lvlText w:val="%2."/>
      <w:lvlJc w:val="left"/>
      <w:pPr>
        <w:tabs>
          <w:tab w:val="num" w:pos="1020"/>
        </w:tabs>
        <w:ind w:left="1020" w:hanging="360"/>
      </w:pPr>
      <w:rPr>
        <w:rFonts w:hint="default"/>
      </w:rPr>
    </w:lvl>
    <w:lvl w:ilvl="2" w:tplc="041A001B" w:tentative="1">
      <w:start w:val="1"/>
      <w:numFmt w:val="lowerRoman"/>
      <w:lvlText w:val="%3."/>
      <w:lvlJc w:val="right"/>
      <w:pPr>
        <w:tabs>
          <w:tab w:val="num" w:pos="1740"/>
        </w:tabs>
        <w:ind w:left="1740" w:hanging="180"/>
      </w:pPr>
    </w:lvl>
    <w:lvl w:ilvl="3" w:tplc="041A000F" w:tentative="1">
      <w:start w:val="1"/>
      <w:numFmt w:val="decimal"/>
      <w:lvlText w:val="%4."/>
      <w:lvlJc w:val="left"/>
      <w:pPr>
        <w:tabs>
          <w:tab w:val="num" w:pos="2460"/>
        </w:tabs>
        <w:ind w:left="2460" w:hanging="360"/>
      </w:pPr>
    </w:lvl>
    <w:lvl w:ilvl="4" w:tplc="041A0019" w:tentative="1">
      <w:start w:val="1"/>
      <w:numFmt w:val="lowerLetter"/>
      <w:lvlText w:val="%5."/>
      <w:lvlJc w:val="left"/>
      <w:pPr>
        <w:tabs>
          <w:tab w:val="num" w:pos="3180"/>
        </w:tabs>
        <w:ind w:left="3180" w:hanging="360"/>
      </w:pPr>
    </w:lvl>
    <w:lvl w:ilvl="5" w:tplc="041A001B" w:tentative="1">
      <w:start w:val="1"/>
      <w:numFmt w:val="lowerRoman"/>
      <w:lvlText w:val="%6."/>
      <w:lvlJc w:val="right"/>
      <w:pPr>
        <w:tabs>
          <w:tab w:val="num" w:pos="3900"/>
        </w:tabs>
        <w:ind w:left="3900" w:hanging="180"/>
      </w:pPr>
    </w:lvl>
    <w:lvl w:ilvl="6" w:tplc="041A000F" w:tentative="1">
      <w:start w:val="1"/>
      <w:numFmt w:val="decimal"/>
      <w:lvlText w:val="%7."/>
      <w:lvlJc w:val="left"/>
      <w:pPr>
        <w:tabs>
          <w:tab w:val="num" w:pos="4620"/>
        </w:tabs>
        <w:ind w:left="4620" w:hanging="360"/>
      </w:pPr>
    </w:lvl>
    <w:lvl w:ilvl="7" w:tplc="041A0019" w:tentative="1">
      <w:start w:val="1"/>
      <w:numFmt w:val="lowerLetter"/>
      <w:lvlText w:val="%8."/>
      <w:lvlJc w:val="left"/>
      <w:pPr>
        <w:tabs>
          <w:tab w:val="num" w:pos="5340"/>
        </w:tabs>
        <w:ind w:left="5340" w:hanging="360"/>
      </w:pPr>
    </w:lvl>
    <w:lvl w:ilvl="8" w:tplc="041A001B" w:tentative="1">
      <w:start w:val="1"/>
      <w:numFmt w:val="lowerRoman"/>
      <w:lvlText w:val="%9."/>
      <w:lvlJc w:val="right"/>
      <w:pPr>
        <w:tabs>
          <w:tab w:val="num" w:pos="6060"/>
        </w:tabs>
        <w:ind w:left="6060" w:hanging="180"/>
      </w:pPr>
    </w:lvl>
  </w:abstractNum>
  <w:abstractNum w:abstractNumId="6">
    <w:nsid w:val="1E19579F"/>
    <w:multiLevelType w:val="hybridMultilevel"/>
    <w:tmpl w:val="7866688E"/>
    <w:lvl w:ilvl="0" w:tplc="82F46C26">
      <w:start w:val="1"/>
      <w:numFmt w:val="bullet"/>
      <w:lvlText w:val=""/>
      <w:lvlJc w:val="left"/>
      <w:pPr>
        <w:tabs>
          <w:tab w:val="num" w:pos="360"/>
        </w:tabs>
        <w:ind w:left="36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
    <w:nsid w:val="1FEB1F33"/>
    <w:multiLevelType w:val="hybridMultilevel"/>
    <w:tmpl w:val="1E0630E6"/>
    <w:lvl w:ilvl="0" w:tplc="B54E134E">
      <w:start w:val="1"/>
      <w:numFmt w:val="bullet"/>
      <w:lvlText w:val="-"/>
      <w:lvlJc w:val="left"/>
      <w:pPr>
        <w:tabs>
          <w:tab w:val="num" w:pos="360"/>
        </w:tabs>
        <w:ind w:left="360" w:hanging="360"/>
      </w:pPr>
      <w:rPr>
        <w:rFonts w:ascii="Times New Roman" w:eastAsia="Times New Roman" w:hAnsi="Times New Roman" w:cs="Times New Roman" w:hint="default"/>
      </w:rPr>
    </w:lvl>
    <w:lvl w:ilvl="1" w:tplc="041A0003" w:tentative="1">
      <w:start w:val="1"/>
      <w:numFmt w:val="bullet"/>
      <w:lvlText w:val="o"/>
      <w:lvlJc w:val="left"/>
      <w:pPr>
        <w:tabs>
          <w:tab w:val="num" w:pos="1080"/>
        </w:tabs>
        <w:ind w:left="1080" w:hanging="360"/>
      </w:pPr>
      <w:rPr>
        <w:rFonts w:ascii="Courier New" w:hAnsi="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8">
    <w:nsid w:val="22CD3FAC"/>
    <w:multiLevelType w:val="hybridMultilevel"/>
    <w:tmpl w:val="F446C840"/>
    <w:lvl w:ilvl="0" w:tplc="6B46D222">
      <w:start w:val="3"/>
      <w:numFmt w:val="bullet"/>
      <w:lvlText w:val="-"/>
      <w:lvlJc w:val="left"/>
      <w:pPr>
        <w:tabs>
          <w:tab w:val="num" w:pos="720"/>
        </w:tabs>
        <w:ind w:left="720" w:hanging="360"/>
      </w:pPr>
      <w:rPr>
        <w:rFonts w:ascii="Arial" w:eastAsia="Times New Roman" w:hAnsi="Arial"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9">
    <w:nsid w:val="232861C9"/>
    <w:multiLevelType w:val="singleLevel"/>
    <w:tmpl w:val="082020CE"/>
    <w:lvl w:ilvl="0">
      <w:start w:val="1"/>
      <w:numFmt w:val="bullet"/>
      <w:lvlText w:val="-"/>
      <w:lvlJc w:val="left"/>
      <w:pPr>
        <w:tabs>
          <w:tab w:val="num" w:pos="360"/>
        </w:tabs>
        <w:ind w:left="360" w:hanging="360"/>
      </w:pPr>
      <w:rPr>
        <w:rFonts w:hint="default"/>
      </w:rPr>
    </w:lvl>
  </w:abstractNum>
  <w:abstractNum w:abstractNumId="10">
    <w:nsid w:val="23BE66B9"/>
    <w:multiLevelType w:val="hybridMultilevel"/>
    <w:tmpl w:val="0EE6E7A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
    <w:nsid w:val="25254806"/>
    <w:multiLevelType w:val="hybridMultilevel"/>
    <w:tmpl w:val="636EDBBA"/>
    <w:lvl w:ilvl="0" w:tplc="107E09C6">
      <w:start w:val="1"/>
      <w:numFmt w:val="decimal"/>
      <w:lvlText w:val="(%1)"/>
      <w:lvlJc w:val="left"/>
      <w:pPr>
        <w:tabs>
          <w:tab w:val="num" w:pos="420"/>
        </w:tabs>
        <w:ind w:left="420" w:hanging="420"/>
      </w:pPr>
      <w:rPr>
        <w:rFonts w:hint="default"/>
      </w:rPr>
    </w:lvl>
    <w:lvl w:ilvl="1" w:tplc="041A0019" w:tentative="1">
      <w:start w:val="1"/>
      <w:numFmt w:val="lowerLetter"/>
      <w:lvlText w:val="%2."/>
      <w:lvlJc w:val="left"/>
      <w:pPr>
        <w:tabs>
          <w:tab w:val="num" w:pos="1080"/>
        </w:tabs>
        <w:ind w:left="1080" w:hanging="360"/>
      </w:p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12">
    <w:nsid w:val="28E16BF4"/>
    <w:multiLevelType w:val="hybridMultilevel"/>
    <w:tmpl w:val="966E77E6"/>
    <w:lvl w:ilvl="0" w:tplc="082020CE">
      <w:start w:val="1"/>
      <w:numFmt w:val="bullet"/>
      <w:lvlText w:val="-"/>
      <w:lvlJc w:val="left"/>
      <w:pPr>
        <w:tabs>
          <w:tab w:val="num" w:pos="360"/>
        </w:tabs>
        <w:ind w:left="360" w:hanging="360"/>
      </w:pPr>
      <w:rPr>
        <w:rFont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3">
    <w:nsid w:val="29EE4781"/>
    <w:multiLevelType w:val="hybridMultilevel"/>
    <w:tmpl w:val="A16E729E"/>
    <w:lvl w:ilvl="0" w:tplc="6B368BB2">
      <w:start w:val="1"/>
      <w:numFmt w:val="decimal"/>
      <w:lvlText w:val="(%1)"/>
      <w:lvlJc w:val="left"/>
      <w:pPr>
        <w:tabs>
          <w:tab w:val="num" w:pos="360"/>
        </w:tabs>
        <w:ind w:left="360" w:hanging="360"/>
      </w:pPr>
      <w:rPr>
        <w:rFonts w:hint="default"/>
      </w:rPr>
    </w:lvl>
    <w:lvl w:ilvl="1" w:tplc="041A0019" w:tentative="1">
      <w:start w:val="1"/>
      <w:numFmt w:val="lowerLetter"/>
      <w:lvlText w:val="%2."/>
      <w:lvlJc w:val="left"/>
      <w:pPr>
        <w:tabs>
          <w:tab w:val="num" w:pos="1080"/>
        </w:tabs>
        <w:ind w:left="1080" w:hanging="360"/>
      </w:p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14">
    <w:nsid w:val="2BB44F60"/>
    <w:multiLevelType w:val="multilevel"/>
    <w:tmpl w:val="2C66D38A"/>
    <w:lvl w:ilvl="0">
      <w:start w:val="1"/>
      <w:numFmt w:val="decimal"/>
      <w:lvlText w:val="%1."/>
      <w:lvlJc w:val="left"/>
      <w:pPr>
        <w:tabs>
          <w:tab w:val="num" w:pos="300"/>
        </w:tabs>
        <w:ind w:left="300" w:hanging="360"/>
      </w:pPr>
    </w:lvl>
    <w:lvl w:ilvl="1">
      <w:start w:val="1"/>
      <w:numFmt w:val="lowerLetter"/>
      <w:lvlText w:val="%2."/>
      <w:lvlJc w:val="left"/>
      <w:pPr>
        <w:tabs>
          <w:tab w:val="num" w:pos="1020"/>
        </w:tabs>
        <w:ind w:left="1020" w:hanging="360"/>
      </w:pPr>
    </w:lvl>
    <w:lvl w:ilvl="2">
      <w:start w:val="1"/>
      <w:numFmt w:val="lowerRoman"/>
      <w:lvlText w:val="%3."/>
      <w:lvlJc w:val="right"/>
      <w:pPr>
        <w:tabs>
          <w:tab w:val="num" w:pos="1740"/>
        </w:tabs>
        <w:ind w:left="1740" w:hanging="180"/>
      </w:pPr>
    </w:lvl>
    <w:lvl w:ilvl="3">
      <w:start w:val="1"/>
      <w:numFmt w:val="decimal"/>
      <w:lvlText w:val="%4."/>
      <w:lvlJc w:val="left"/>
      <w:pPr>
        <w:tabs>
          <w:tab w:val="num" w:pos="2460"/>
        </w:tabs>
        <w:ind w:left="2460" w:hanging="360"/>
      </w:pPr>
    </w:lvl>
    <w:lvl w:ilvl="4">
      <w:start w:val="1"/>
      <w:numFmt w:val="lowerLetter"/>
      <w:lvlText w:val="%5."/>
      <w:lvlJc w:val="left"/>
      <w:pPr>
        <w:tabs>
          <w:tab w:val="num" w:pos="3180"/>
        </w:tabs>
        <w:ind w:left="3180" w:hanging="360"/>
      </w:pPr>
    </w:lvl>
    <w:lvl w:ilvl="5">
      <w:start w:val="1"/>
      <w:numFmt w:val="lowerRoman"/>
      <w:lvlText w:val="%6."/>
      <w:lvlJc w:val="right"/>
      <w:pPr>
        <w:tabs>
          <w:tab w:val="num" w:pos="3900"/>
        </w:tabs>
        <w:ind w:left="3900" w:hanging="180"/>
      </w:pPr>
    </w:lvl>
    <w:lvl w:ilvl="6">
      <w:start w:val="1"/>
      <w:numFmt w:val="decimal"/>
      <w:lvlText w:val="%7."/>
      <w:lvlJc w:val="left"/>
      <w:pPr>
        <w:tabs>
          <w:tab w:val="num" w:pos="4620"/>
        </w:tabs>
        <w:ind w:left="4620" w:hanging="360"/>
      </w:pPr>
    </w:lvl>
    <w:lvl w:ilvl="7">
      <w:start w:val="1"/>
      <w:numFmt w:val="lowerLetter"/>
      <w:lvlText w:val="%8."/>
      <w:lvlJc w:val="left"/>
      <w:pPr>
        <w:tabs>
          <w:tab w:val="num" w:pos="5340"/>
        </w:tabs>
        <w:ind w:left="5340" w:hanging="360"/>
      </w:pPr>
    </w:lvl>
    <w:lvl w:ilvl="8">
      <w:start w:val="1"/>
      <w:numFmt w:val="lowerRoman"/>
      <w:lvlText w:val="%9."/>
      <w:lvlJc w:val="right"/>
      <w:pPr>
        <w:tabs>
          <w:tab w:val="num" w:pos="6060"/>
        </w:tabs>
        <w:ind w:left="6060" w:hanging="180"/>
      </w:pPr>
    </w:lvl>
  </w:abstractNum>
  <w:abstractNum w:abstractNumId="15">
    <w:nsid w:val="31F96C86"/>
    <w:multiLevelType w:val="hybridMultilevel"/>
    <w:tmpl w:val="1B701A72"/>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6">
    <w:nsid w:val="35257AA0"/>
    <w:multiLevelType w:val="hybridMultilevel"/>
    <w:tmpl w:val="3EEE7C10"/>
    <w:lvl w:ilvl="0" w:tplc="72AED69E">
      <w:numFmt w:val="bullet"/>
      <w:lvlText w:val=""/>
      <w:lvlJc w:val="left"/>
      <w:pPr>
        <w:tabs>
          <w:tab w:val="num" w:pos="780"/>
        </w:tabs>
        <w:ind w:left="780" w:hanging="363"/>
      </w:pPr>
      <w:rPr>
        <w:rFonts w:ascii="Symbol" w:hAnsi="Symbol" w:hint="default"/>
        <w:color w:val="auto"/>
      </w:rPr>
    </w:lvl>
    <w:lvl w:ilvl="1" w:tplc="041A0003" w:tentative="1">
      <w:start w:val="1"/>
      <w:numFmt w:val="bullet"/>
      <w:lvlText w:val="o"/>
      <w:lvlJc w:val="left"/>
      <w:pPr>
        <w:tabs>
          <w:tab w:val="num" w:pos="1500"/>
        </w:tabs>
        <w:ind w:left="1500" w:hanging="360"/>
      </w:pPr>
      <w:rPr>
        <w:rFonts w:ascii="Courier New" w:hAnsi="Courier New" w:hint="default"/>
      </w:rPr>
    </w:lvl>
    <w:lvl w:ilvl="2" w:tplc="041A0005" w:tentative="1">
      <w:start w:val="1"/>
      <w:numFmt w:val="bullet"/>
      <w:lvlText w:val=""/>
      <w:lvlJc w:val="left"/>
      <w:pPr>
        <w:tabs>
          <w:tab w:val="num" w:pos="2220"/>
        </w:tabs>
        <w:ind w:left="2220" w:hanging="360"/>
      </w:pPr>
      <w:rPr>
        <w:rFonts w:ascii="Wingdings" w:hAnsi="Wingdings" w:hint="default"/>
      </w:rPr>
    </w:lvl>
    <w:lvl w:ilvl="3" w:tplc="041A0001" w:tentative="1">
      <w:start w:val="1"/>
      <w:numFmt w:val="bullet"/>
      <w:lvlText w:val=""/>
      <w:lvlJc w:val="left"/>
      <w:pPr>
        <w:tabs>
          <w:tab w:val="num" w:pos="2940"/>
        </w:tabs>
        <w:ind w:left="2940" w:hanging="360"/>
      </w:pPr>
      <w:rPr>
        <w:rFonts w:ascii="Symbol" w:hAnsi="Symbol" w:hint="default"/>
      </w:rPr>
    </w:lvl>
    <w:lvl w:ilvl="4" w:tplc="041A0003" w:tentative="1">
      <w:start w:val="1"/>
      <w:numFmt w:val="bullet"/>
      <w:lvlText w:val="o"/>
      <w:lvlJc w:val="left"/>
      <w:pPr>
        <w:tabs>
          <w:tab w:val="num" w:pos="3660"/>
        </w:tabs>
        <w:ind w:left="3660" w:hanging="360"/>
      </w:pPr>
      <w:rPr>
        <w:rFonts w:ascii="Courier New" w:hAnsi="Courier New" w:hint="default"/>
      </w:rPr>
    </w:lvl>
    <w:lvl w:ilvl="5" w:tplc="041A0005" w:tentative="1">
      <w:start w:val="1"/>
      <w:numFmt w:val="bullet"/>
      <w:lvlText w:val=""/>
      <w:lvlJc w:val="left"/>
      <w:pPr>
        <w:tabs>
          <w:tab w:val="num" w:pos="4380"/>
        </w:tabs>
        <w:ind w:left="4380" w:hanging="360"/>
      </w:pPr>
      <w:rPr>
        <w:rFonts w:ascii="Wingdings" w:hAnsi="Wingdings" w:hint="default"/>
      </w:rPr>
    </w:lvl>
    <w:lvl w:ilvl="6" w:tplc="041A0001" w:tentative="1">
      <w:start w:val="1"/>
      <w:numFmt w:val="bullet"/>
      <w:lvlText w:val=""/>
      <w:lvlJc w:val="left"/>
      <w:pPr>
        <w:tabs>
          <w:tab w:val="num" w:pos="5100"/>
        </w:tabs>
        <w:ind w:left="5100" w:hanging="360"/>
      </w:pPr>
      <w:rPr>
        <w:rFonts w:ascii="Symbol" w:hAnsi="Symbol" w:hint="default"/>
      </w:rPr>
    </w:lvl>
    <w:lvl w:ilvl="7" w:tplc="041A0003" w:tentative="1">
      <w:start w:val="1"/>
      <w:numFmt w:val="bullet"/>
      <w:lvlText w:val="o"/>
      <w:lvlJc w:val="left"/>
      <w:pPr>
        <w:tabs>
          <w:tab w:val="num" w:pos="5820"/>
        </w:tabs>
        <w:ind w:left="5820" w:hanging="360"/>
      </w:pPr>
      <w:rPr>
        <w:rFonts w:ascii="Courier New" w:hAnsi="Courier New" w:hint="default"/>
      </w:rPr>
    </w:lvl>
    <w:lvl w:ilvl="8" w:tplc="041A0005" w:tentative="1">
      <w:start w:val="1"/>
      <w:numFmt w:val="bullet"/>
      <w:lvlText w:val=""/>
      <w:lvlJc w:val="left"/>
      <w:pPr>
        <w:tabs>
          <w:tab w:val="num" w:pos="6540"/>
        </w:tabs>
        <w:ind w:left="6540" w:hanging="360"/>
      </w:pPr>
      <w:rPr>
        <w:rFonts w:ascii="Wingdings" w:hAnsi="Wingdings" w:hint="default"/>
      </w:rPr>
    </w:lvl>
  </w:abstractNum>
  <w:abstractNum w:abstractNumId="17">
    <w:nsid w:val="37445ED9"/>
    <w:multiLevelType w:val="hybridMultilevel"/>
    <w:tmpl w:val="CC72B4A4"/>
    <w:lvl w:ilvl="0" w:tplc="39340CB2">
      <w:start w:val="13"/>
      <w:numFmt w:val="bullet"/>
      <w:lvlText w:val="-"/>
      <w:lvlJc w:val="left"/>
      <w:pPr>
        <w:tabs>
          <w:tab w:val="num" w:pos="1068"/>
        </w:tabs>
        <w:ind w:left="1068" w:hanging="360"/>
      </w:pPr>
      <w:rPr>
        <w:rFonts w:hint="default"/>
        <w:i/>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8">
    <w:nsid w:val="389B3F96"/>
    <w:multiLevelType w:val="multilevel"/>
    <w:tmpl w:val="2BF6FFE0"/>
    <w:lvl w:ilvl="0">
      <w:start w:val="1"/>
      <w:numFmt w:val="decimal"/>
      <w:lvlText w:val="%1."/>
      <w:lvlJc w:val="left"/>
      <w:pPr>
        <w:tabs>
          <w:tab w:val="num" w:pos="720"/>
        </w:tabs>
        <w:ind w:left="720" w:hanging="360"/>
      </w:pPr>
      <w:rPr>
        <w:rFonts w:hint="default"/>
        <w:b/>
      </w:rPr>
    </w:lvl>
    <w:lvl w:ilvl="1">
      <w:start w:val="2"/>
      <w:numFmt w:val="decimal"/>
      <w:isLgl/>
      <w:lvlText w:val="%1.%2."/>
      <w:lvlJc w:val="left"/>
      <w:pPr>
        <w:tabs>
          <w:tab w:val="num" w:pos="900"/>
        </w:tabs>
        <w:ind w:left="900" w:hanging="540"/>
      </w:pPr>
      <w:rPr>
        <w:rFonts w:hint="default"/>
      </w:rPr>
    </w:lvl>
    <w:lvl w:ilvl="2">
      <w:start w:val="7"/>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nsid w:val="3BF720D0"/>
    <w:multiLevelType w:val="hybridMultilevel"/>
    <w:tmpl w:val="02BC38F6"/>
    <w:lvl w:ilvl="0" w:tplc="80D4D32C">
      <w:start w:val="48"/>
      <w:numFmt w:val="bullet"/>
      <w:lvlText w:val="-"/>
      <w:lvlJc w:val="left"/>
      <w:pPr>
        <w:tabs>
          <w:tab w:val="num" w:pos="300"/>
        </w:tabs>
        <w:ind w:left="300" w:hanging="360"/>
      </w:pPr>
      <w:rPr>
        <w:rFonts w:ascii="Times New Roman" w:eastAsia="Times New Roman" w:hAnsi="Times New Roman" w:cs="Times New Roman" w:hint="default"/>
      </w:rPr>
    </w:lvl>
    <w:lvl w:ilvl="1" w:tplc="041A000F">
      <w:start w:val="1"/>
      <w:numFmt w:val="decimal"/>
      <w:lvlText w:val="%2."/>
      <w:lvlJc w:val="left"/>
      <w:pPr>
        <w:tabs>
          <w:tab w:val="num" w:pos="1020"/>
        </w:tabs>
        <w:ind w:left="1020" w:hanging="360"/>
      </w:pPr>
      <w:rPr>
        <w:rFonts w:hint="default"/>
      </w:rPr>
    </w:lvl>
    <w:lvl w:ilvl="2" w:tplc="041A001B" w:tentative="1">
      <w:start w:val="1"/>
      <w:numFmt w:val="lowerRoman"/>
      <w:lvlText w:val="%3."/>
      <w:lvlJc w:val="right"/>
      <w:pPr>
        <w:tabs>
          <w:tab w:val="num" w:pos="1740"/>
        </w:tabs>
        <w:ind w:left="1740" w:hanging="180"/>
      </w:pPr>
    </w:lvl>
    <w:lvl w:ilvl="3" w:tplc="041A000F" w:tentative="1">
      <w:start w:val="1"/>
      <w:numFmt w:val="decimal"/>
      <w:lvlText w:val="%4."/>
      <w:lvlJc w:val="left"/>
      <w:pPr>
        <w:tabs>
          <w:tab w:val="num" w:pos="2460"/>
        </w:tabs>
        <w:ind w:left="2460" w:hanging="360"/>
      </w:pPr>
    </w:lvl>
    <w:lvl w:ilvl="4" w:tplc="041A0019" w:tentative="1">
      <w:start w:val="1"/>
      <w:numFmt w:val="lowerLetter"/>
      <w:lvlText w:val="%5."/>
      <w:lvlJc w:val="left"/>
      <w:pPr>
        <w:tabs>
          <w:tab w:val="num" w:pos="3180"/>
        </w:tabs>
        <w:ind w:left="3180" w:hanging="360"/>
      </w:pPr>
    </w:lvl>
    <w:lvl w:ilvl="5" w:tplc="041A001B" w:tentative="1">
      <w:start w:val="1"/>
      <w:numFmt w:val="lowerRoman"/>
      <w:lvlText w:val="%6."/>
      <w:lvlJc w:val="right"/>
      <w:pPr>
        <w:tabs>
          <w:tab w:val="num" w:pos="3900"/>
        </w:tabs>
        <w:ind w:left="3900" w:hanging="180"/>
      </w:pPr>
    </w:lvl>
    <w:lvl w:ilvl="6" w:tplc="041A000F" w:tentative="1">
      <w:start w:val="1"/>
      <w:numFmt w:val="decimal"/>
      <w:lvlText w:val="%7."/>
      <w:lvlJc w:val="left"/>
      <w:pPr>
        <w:tabs>
          <w:tab w:val="num" w:pos="4620"/>
        </w:tabs>
        <w:ind w:left="4620" w:hanging="360"/>
      </w:pPr>
    </w:lvl>
    <w:lvl w:ilvl="7" w:tplc="041A0019" w:tentative="1">
      <w:start w:val="1"/>
      <w:numFmt w:val="lowerLetter"/>
      <w:lvlText w:val="%8."/>
      <w:lvlJc w:val="left"/>
      <w:pPr>
        <w:tabs>
          <w:tab w:val="num" w:pos="5340"/>
        </w:tabs>
        <w:ind w:left="5340" w:hanging="360"/>
      </w:pPr>
    </w:lvl>
    <w:lvl w:ilvl="8" w:tplc="041A001B" w:tentative="1">
      <w:start w:val="1"/>
      <w:numFmt w:val="lowerRoman"/>
      <w:lvlText w:val="%9."/>
      <w:lvlJc w:val="right"/>
      <w:pPr>
        <w:tabs>
          <w:tab w:val="num" w:pos="6060"/>
        </w:tabs>
        <w:ind w:left="6060" w:hanging="180"/>
      </w:pPr>
    </w:lvl>
  </w:abstractNum>
  <w:abstractNum w:abstractNumId="20">
    <w:nsid w:val="3C152D0A"/>
    <w:multiLevelType w:val="hybridMultilevel"/>
    <w:tmpl w:val="0DFCBFBA"/>
    <w:lvl w:ilvl="0" w:tplc="D5526610">
      <w:numFmt w:val="bullet"/>
      <w:lvlText w:val="-"/>
      <w:lvlJc w:val="left"/>
      <w:pPr>
        <w:tabs>
          <w:tab w:val="num" w:pos="1413"/>
        </w:tabs>
        <w:ind w:left="1413" w:hanging="705"/>
      </w:pPr>
      <w:rPr>
        <w:rFonts w:ascii="Arial" w:eastAsia="Times New Roman" w:hAnsi="Arial" w:cs="Arial" w:hint="default"/>
      </w:rPr>
    </w:lvl>
    <w:lvl w:ilvl="1" w:tplc="041A0003" w:tentative="1">
      <w:start w:val="1"/>
      <w:numFmt w:val="bullet"/>
      <w:lvlText w:val="o"/>
      <w:lvlJc w:val="left"/>
      <w:pPr>
        <w:tabs>
          <w:tab w:val="num" w:pos="1788"/>
        </w:tabs>
        <w:ind w:left="1788" w:hanging="360"/>
      </w:pPr>
      <w:rPr>
        <w:rFonts w:ascii="Courier New" w:hAnsi="Courier New" w:cs="Courier New" w:hint="default"/>
      </w:rPr>
    </w:lvl>
    <w:lvl w:ilvl="2" w:tplc="041A0005" w:tentative="1">
      <w:start w:val="1"/>
      <w:numFmt w:val="bullet"/>
      <w:lvlText w:val=""/>
      <w:lvlJc w:val="left"/>
      <w:pPr>
        <w:tabs>
          <w:tab w:val="num" w:pos="2508"/>
        </w:tabs>
        <w:ind w:left="2508" w:hanging="360"/>
      </w:pPr>
      <w:rPr>
        <w:rFonts w:ascii="Wingdings" w:hAnsi="Wingdings" w:hint="default"/>
      </w:rPr>
    </w:lvl>
    <w:lvl w:ilvl="3" w:tplc="041A0001" w:tentative="1">
      <w:start w:val="1"/>
      <w:numFmt w:val="bullet"/>
      <w:lvlText w:val=""/>
      <w:lvlJc w:val="left"/>
      <w:pPr>
        <w:tabs>
          <w:tab w:val="num" w:pos="3228"/>
        </w:tabs>
        <w:ind w:left="3228" w:hanging="360"/>
      </w:pPr>
      <w:rPr>
        <w:rFonts w:ascii="Symbol" w:hAnsi="Symbol" w:hint="default"/>
      </w:rPr>
    </w:lvl>
    <w:lvl w:ilvl="4" w:tplc="041A0003" w:tentative="1">
      <w:start w:val="1"/>
      <w:numFmt w:val="bullet"/>
      <w:lvlText w:val="o"/>
      <w:lvlJc w:val="left"/>
      <w:pPr>
        <w:tabs>
          <w:tab w:val="num" w:pos="3948"/>
        </w:tabs>
        <w:ind w:left="3948" w:hanging="360"/>
      </w:pPr>
      <w:rPr>
        <w:rFonts w:ascii="Courier New" w:hAnsi="Courier New" w:cs="Courier New" w:hint="default"/>
      </w:rPr>
    </w:lvl>
    <w:lvl w:ilvl="5" w:tplc="041A0005" w:tentative="1">
      <w:start w:val="1"/>
      <w:numFmt w:val="bullet"/>
      <w:lvlText w:val=""/>
      <w:lvlJc w:val="left"/>
      <w:pPr>
        <w:tabs>
          <w:tab w:val="num" w:pos="4668"/>
        </w:tabs>
        <w:ind w:left="4668" w:hanging="360"/>
      </w:pPr>
      <w:rPr>
        <w:rFonts w:ascii="Wingdings" w:hAnsi="Wingdings" w:hint="default"/>
      </w:rPr>
    </w:lvl>
    <w:lvl w:ilvl="6" w:tplc="041A0001" w:tentative="1">
      <w:start w:val="1"/>
      <w:numFmt w:val="bullet"/>
      <w:lvlText w:val=""/>
      <w:lvlJc w:val="left"/>
      <w:pPr>
        <w:tabs>
          <w:tab w:val="num" w:pos="5388"/>
        </w:tabs>
        <w:ind w:left="5388" w:hanging="360"/>
      </w:pPr>
      <w:rPr>
        <w:rFonts w:ascii="Symbol" w:hAnsi="Symbol" w:hint="default"/>
      </w:rPr>
    </w:lvl>
    <w:lvl w:ilvl="7" w:tplc="041A0003" w:tentative="1">
      <w:start w:val="1"/>
      <w:numFmt w:val="bullet"/>
      <w:lvlText w:val="o"/>
      <w:lvlJc w:val="left"/>
      <w:pPr>
        <w:tabs>
          <w:tab w:val="num" w:pos="6108"/>
        </w:tabs>
        <w:ind w:left="6108" w:hanging="360"/>
      </w:pPr>
      <w:rPr>
        <w:rFonts w:ascii="Courier New" w:hAnsi="Courier New" w:cs="Courier New" w:hint="default"/>
      </w:rPr>
    </w:lvl>
    <w:lvl w:ilvl="8" w:tplc="041A0005" w:tentative="1">
      <w:start w:val="1"/>
      <w:numFmt w:val="bullet"/>
      <w:lvlText w:val=""/>
      <w:lvlJc w:val="left"/>
      <w:pPr>
        <w:tabs>
          <w:tab w:val="num" w:pos="6828"/>
        </w:tabs>
        <w:ind w:left="6828" w:hanging="360"/>
      </w:pPr>
      <w:rPr>
        <w:rFonts w:ascii="Wingdings" w:hAnsi="Wingdings" w:hint="default"/>
      </w:rPr>
    </w:lvl>
  </w:abstractNum>
  <w:abstractNum w:abstractNumId="21">
    <w:nsid w:val="3D885826"/>
    <w:multiLevelType w:val="hybridMultilevel"/>
    <w:tmpl w:val="CD70E410"/>
    <w:lvl w:ilvl="0" w:tplc="6F9C5098">
      <w:start w:val="1"/>
      <w:numFmt w:val="decimal"/>
      <w:lvlText w:val="(%1)"/>
      <w:lvlJc w:val="left"/>
      <w:pPr>
        <w:tabs>
          <w:tab w:val="num" w:pos="360"/>
        </w:tabs>
        <w:ind w:left="360" w:hanging="360"/>
      </w:pPr>
      <w:rPr>
        <w:rFonts w:hint="default"/>
      </w:rPr>
    </w:lvl>
    <w:lvl w:ilvl="1" w:tplc="041A0019" w:tentative="1">
      <w:start w:val="1"/>
      <w:numFmt w:val="lowerLetter"/>
      <w:lvlText w:val="%2."/>
      <w:lvlJc w:val="left"/>
      <w:pPr>
        <w:tabs>
          <w:tab w:val="num" w:pos="1080"/>
        </w:tabs>
        <w:ind w:left="1080" w:hanging="360"/>
      </w:p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22">
    <w:nsid w:val="3F782687"/>
    <w:multiLevelType w:val="hybridMultilevel"/>
    <w:tmpl w:val="7C6E0AE2"/>
    <w:lvl w:ilvl="0" w:tplc="082020CE">
      <w:start w:val="1"/>
      <w:numFmt w:val="bullet"/>
      <w:lvlText w:val="-"/>
      <w:lvlJc w:val="left"/>
      <w:pPr>
        <w:tabs>
          <w:tab w:val="num" w:pos="360"/>
        </w:tabs>
        <w:ind w:left="360" w:hanging="360"/>
      </w:pPr>
      <w:rPr>
        <w:rFont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3">
    <w:nsid w:val="470C57E3"/>
    <w:multiLevelType w:val="singleLevel"/>
    <w:tmpl w:val="84FE8024"/>
    <w:lvl w:ilvl="0">
      <w:start w:val="1"/>
      <w:numFmt w:val="bullet"/>
      <w:lvlText w:val=""/>
      <w:lvlJc w:val="left"/>
      <w:pPr>
        <w:tabs>
          <w:tab w:val="num" w:pos="360"/>
        </w:tabs>
        <w:ind w:left="284" w:hanging="284"/>
      </w:pPr>
      <w:rPr>
        <w:rFonts w:ascii="Wingdings" w:hAnsi="Wingdings" w:hint="default"/>
      </w:rPr>
    </w:lvl>
  </w:abstractNum>
  <w:abstractNum w:abstractNumId="24">
    <w:nsid w:val="47A8395B"/>
    <w:multiLevelType w:val="hybridMultilevel"/>
    <w:tmpl w:val="2CBEBC54"/>
    <w:lvl w:ilvl="0" w:tplc="041A0007">
      <w:start w:val="1"/>
      <w:numFmt w:val="bullet"/>
      <w:lvlText w:val=""/>
      <w:lvlJc w:val="left"/>
      <w:pPr>
        <w:tabs>
          <w:tab w:val="num" w:pos="720"/>
        </w:tabs>
        <w:ind w:left="720" w:hanging="360"/>
      </w:pPr>
      <w:rPr>
        <w:rFonts w:ascii="Wingdings" w:hAnsi="Wingdings" w:hint="default"/>
        <w:sz w:val="16"/>
      </w:rPr>
    </w:lvl>
    <w:lvl w:ilvl="1" w:tplc="041A000B">
      <w:start w:val="1"/>
      <w:numFmt w:val="bullet"/>
      <w:lvlText w:val=""/>
      <w:lvlJc w:val="left"/>
      <w:pPr>
        <w:tabs>
          <w:tab w:val="num" w:pos="1440"/>
        </w:tabs>
        <w:ind w:left="1440" w:hanging="360"/>
      </w:pPr>
      <w:rPr>
        <w:rFonts w:ascii="Wingdings" w:hAnsi="Wingdings"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5">
    <w:nsid w:val="4EFF5826"/>
    <w:multiLevelType w:val="multilevel"/>
    <w:tmpl w:val="EC82BF3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4F8A30C5"/>
    <w:multiLevelType w:val="hybridMultilevel"/>
    <w:tmpl w:val="EE8C2336"/>
    <w:lvl w:ilvl="0" w:tplc="041A0017">
      <w:start w:val="1"/>
      <w:numFmt w:val="lowerLetter"/>
      <w:lvlText w:val="%1)"/>
      <w:lvlJc w:val="left"/>
      <w:pPr>
        <w:tabs>
          <w:tab w:val="num" w:pos="360"/>
        </w:tabs>
        <w:ind w:left="360" w:hanging="360"/>
      </w:pPr>
      <w:rPr>
        <w:rFonts w:hint="default"/>
      </w:rPr>
    </w:lvl>
    <w:lvl w:ilvl="1" w:tplc="041A0019">
      <w:start w:val="1"/>
      <w:numFmt w:val="lowerLetter"/>
      <w:lvlText w:val="%2."/>
      <w:lvlJc w:val="left"/>
      <w:pPr>
        <w:tabs>
          <w:tab w:val="num" w:pos="1080"/>
        </w:tabs>
        <w:ind w:left="1080" w:hanging="360"/>
      </w:p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27">
    <w:nsid w:val="55B84824"/>
    <w:multiLevelType w:val="hybridMultilevel"/>
    <w:tmpl w:val="37D8AEE6"/>
    <w:lvl w:ilvl="0" w:tplc="491E575E">
      <w:start w:val="1"/>
      <w:numFmt w:val="decimal"/>
      <w:lvlText w:val="(%1)"/>
      <w:lvlJc w:val="left"/>
      <w:pPr>
        <w:tabs>
          <w:tab w:val="num" w:pos="420"/>
        </w:tabs>
        <w:ind w:left="420" w:hanging="360"/>
      </w:pPr>
      <w:rPr>
        <w:rFonts w:hint="default"/>
      </w:rPr>
    </w:lvl>
    <w:lvl w:ilvl="1" w:tplc="041A0019" w:tentative="1">
      <w:start w:val="1"/>
      <w:numFmt w:val="lowerLetter"/>
      <w:lvlText w:val="%2."/>
      <w:lvlJc w:val="left"/>
      <w:pPr>
        <w:tabs>
          <w:tab w:val="num" w:pos="1140"/>
        </w:tabs>
        <w:ind w:left="1140" w:hanging="360"/>
      </w:pPr>
    </w:lvl>
    <w:lvl w:ilvl="2" w:tplc="041A001B" w:tentative="1">
      <w:start w:val="1"/>
      <w:numFmt w:val="lowerRoman"/>
      <w:lvlText w:val="%3."/>
      <w:lvlJc w:val="right"/>
      <w:pPr>
        <w:tabs>
          <w:tab w:val="num" w:pos="1860"/>
        </w:tabs>
        <w:ind w:left="1860" w:hanging="180"/>
      </w:pPr>
    </w:lvl>
    <w:lvl w:ilvl="3" w:tplc="041A000F" w:tentative="1">
      <w:start w:val="1"/>
      <w:numFmt w:val="decimal"/>
      <w:lvlText w:val="%4."/>
      <w:lvlJc w:val="left"/>
      <w:pPr>
        <w:tabs>
          <w:tab w:val="num" w:pos="2580"/>
        </w:tabs>
        <w:ind w:left="2580" w:hanging="360"/>
      </w:pPr>
    </w:lvl>
    <w:lvl w:ilvl="4" w:tplc="041A0019" w:tentative="1">
      <w:start w:val="1"/>
      <w:numFmt w:val="lowerLetter"/>
      <w:lvlText w:val="%5."/>
      <w:lvlJc w:val="left"/>
      <w:pPr>
        <w:tabs>
          <w:tab w:val="num" w:pos="3300"/>
        </w:tabs>
        <w:ind w:left="3300" w:hanging="360"/>
      </w:pPr>
    </w:lvl>
    <w:lvl w:ilvl="5" w:tplc="041A001B" w:tentative="1">
      <w:start w:val="1"/>
      <w:numFmt w:val="lowerRoman"/>
      <w:lvlText w:val="%6."/>
      <w:lvlJc w:val="right"/>
      <w:pPr>
        <w:tabs>
          <w:tab w:val="num" w:pos="4020"/>
        </w:tabs>
        <w:ind w:left="4020" w:hanging="180"/>
      </w:pPr>
    </w:lvl>
    <w:lvl w:ilvl="6" w:tplc="041A000F" w:tentative="1">
      <w:start w:val="1"/>
      <w:numFmt w:val="decimal"/>
      <w:lvlText w:val="%7."/>
      <w:lvlJc w:val="left"/>
      <w:pPr>
        <w:tabs>
          <w:tab w:val="num" w:pos="4740"/>
        </w:tabs>
        <w:ind w:left="4740" w:hanging="360"/>
      </w:pPr>
    </w:lvl>
    <w:lvl w:ilvl="7" w:tplc="041A0019" w:tentative="1">
      <w:start w:val="1"/>
      <w:numFmt w:val="lowerLetter"/>
      <w:lvlText w:val="%8."/>
      <w:lvlJc w:val="left"/>
      <w:pPr>
        <w:tabs>
          <w:tab w:val="num" w:pos="5460"/>
        </w:tabs>
        <w:ind w:left="5460" w:hanging="360"/>
      </w:pPr>
    </w:lvl>
    <w:lvl w:ilvl="8" w:tplc="041A001B" w:tentative="1">
      <w:start w:val="1"/>
      <w:numFmt w:val="lowerRoman"/>
      <w:lvlText w:val="%9."/>
      <w:lvlJc w:val="right"/>
      <w:pPr>
        <w:tabs>
          <w:tab w:val="num" w:pos="6180"/>
        </w:tabs>
        <w:ind w:left="6180" w:hanging="180"/>
      </w:pPr>
    </w:lvl>
  </w:abstractNum>
  <w:abstractNum w:abstractNumId="28">
    <w:nsid w:val="55E57CCE"/>
    <w:multiLevelType w:val="singleLevel"/>
    <w:tmpl w:val="07DE190E"/>
    <w:lvl w:ilvl="0">
      <w:start w:val="2"/>
      <w:numFmt w:val="bullet"/>
      <w:lvlText w:val="-"/>
      <w:lvlJc w:val="left"/>
      <w:pPr>
        <w:tabs>
          <w:tab w:val="num" w:pos="750"/>
        </w:tabs>
        <w:ind w:left="750" w:hanging="360"/>
      </w:pPr>
      <w:rPr>
        <w:rFonts w:ascii="Times New Roman" w:hAnsi="Times New Roman" w:cs="Times New Roman" w:hint="default"/>
      </w:rPr>
    </w:lvl>
  </w:abstractNum>
  <w:abstractNum w:abstractNumId="29">
    <w:nsid w:val="596B18D5"/>
    <w:multiLevelType w:val="hybridMultilevel"/>
    <w:tmpl w:val="A9A47788"/>
    <w:lvl w:ilvl="0" w:tplc="082020CE">
      <w:start w:val="1"/>
      <w:numFmt w:val="bullet"/>
      <w:lvlText w:val="-"/>
      <w:lvlJc w:val="left"/>
      <w:pPr>
        <w:tabs>
          <w:tab w:val="num" w:pos="360"/>
        </w:tabs>
        <w:ind w:left="360" w:hanging="360"/>
      </w:pPr>
      <w:rPr>
        <w:rFont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0">
    <w:nsid w:val="5B800AAC"/>
    <w:multiLevelType w:val="hybridMultilevel"/>
    <w:tmpl w:val="2C66D38A"/>
    <w:lvl w:ilvl="0" w:tplc="041A000F">
      <w:start w:val="1"/>
      <w:numFmt w:val="decimal"/>
      <w:lvlText w:val="%1."/>
      <w:lvlJc w:val="left"/>
      <w:pPr>
        <w:tabs>
          <w:tab w:val="num" w:pos="300"/>
        </w:tabs>
        <w:ind w:left="300" w:hanging="360"/>
      </w:pPr>
    </w:lvl>
    <w:lvl w:ilvl="1" w:tplc="041A0019" w:tentative="1">
      <w:start w:val="1"/>
      <w:numFmt w:val="lowerLetter"/>
      <w:lvlText w:val="%2."/>
      <w:lvlJc w:val="left"/>
      <w:pPr>
        <w:tabs>
          <w:tab w:val="num" w:pos="1020"/>
        </w:tabs>
        <w:ind w:left="1020" w:hanging="360"/>
      </w:pPr>
    </w:lvl>
    <w:lvl w:ilvl="2" w:tplc="041A001B" w:tentative="1">
      <w:start w:val="1"/>
      <w:numFmt w:val="lowerRoman"/>
      <w:lvlText w:val="%3."/>
      <w:lvlJc w:val="right"/>
      <w:pPr>
        <w:tabs>
          <w:tab w:val="num" w:pos="1740"/>
        </w:tabs>
        <w:ind w:left="1740" w:hanging="180"/>
      </w:pPr>
    </w:lvl>
    <w:lvl w:ilvl="3" w:tplc="041A000F" w:tentative="1">
      <w:start w:val="1"/>
      <w:numFmt w:val="decimal"/>
      <w:lvlText w:val="%4."/>
      <w:lvlJc w:val="left"/>
      <w:pPr>
        <w:tabs>
          <w:tab w:val="num" w:pos="2460"/>
        </w:tabs>
        <w:ind w:left="2460" w:hanging="360"/>
      </w:pPr>
    </w:lvl>
    <w:lvl w:ilvl="4" w:tplc="041A0019" w:tentative="1">
      <w:start w:val="1"/>
      <w:numFmt w:val="lowerLetter"/>
      <w:lvlText w:val="%5."/>
      <w:lvlJc w:val="left"/>
      <w:pPr>
        <w:tabs>
          <w:tab w:val="num" w:pos="3180"/>
        </w:tabs>
        <w:ind w:left="3180" w:hanging="360"/>
      </w:pPr>
    </w:lvl>
    <w:lvl w:ilvl="5" w:tplc="041A001B" w:tentative="1">
      <w:start w:val="1"/>
      <w:numFmt w:val="lowerRoman"/>
      <w:lvlText w:val="%6."/>
      <w:lvlJc w:val="right"/>
      <w:pPr>
        <w:tabs>
          <w:tab w:val="num" w:pos="3900"/>
        </w:tabs>
        <w:ind w:left="3900" w:hanging="180"/>
      </w:pPr>
    </w:lvl>
    <w:lvl w:ilvl="6" w:tplc="041A000F" w:tentative="1">
      <w:start w:val="1"/>
      <w:numFmt w:val="decimal"/>
      <w:lvlText w:val="%7."/>
      <w:lvlJc w:val="left"/>
      <w:pPr>
        <w:tabs>
          <w:tab w:val="num" w:pos="4620"/>
        </w:tabs>
        <w:ind w:left="4620" w:hanging="360"/>
      </w:pPr>
    </w:lvl>
    <w:lvl w:ilvl="7" w:tplc="041A0019" w:tentative="1">
      <w:start w:val="1"/>
      <w:numFmt w:val="lowerLetter"/>
      <w:lvlText w:val="%8."/>
      <w:lvlJc w:val="left"/>
      <w:pPr>
        <w:tabs>
          <w:tab w:val="num" w:pos="5340"/>
        </w:tabs>
        <w:ind w:left="5340" w:hanging="360"/>
      </w:pPr>
    </w:lvl>
    <w:lvl w:ilvl="8" w:tplc="041A001B" w:tentative="1">
      <w:start w:val="1"/>
      <w:numFmt w:val="lowerRoman"/>
      <w:lvlText w:val="%9."/>
      <w:lvlJc w:val="right"/>
      <w:pPr>
        <w:tabs>
          <w:tab w:val="num" w:pos="6060"/>
        </w:tabs>
        <w:ind w:left="6060" w:hanging="180"/>
      </w:pPr>
    </w:lvl>
  </w:abstractNum>
  <w:abstractNum w:abstractNumId="31">
    <w:nsid w:val="5ED7388F"/>
    <w:multiLevelType w:val="hybridMultilevel"/>
    <w:tmpl w:val="111E131E"/>
    <w:lvl w:ilvl="0" w:tplc="810C3192">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2">
    <w:nsid w:val="5F337AE4"/>
    <w:multiLevelType w:val="hybridMultilevel"/>
    <w:tmpl w:val="9A623B4C"/>
    <w:lvl w:ilvl="0" w:tplc="D868AC04">
      <w:start w:val="1"/>
      <w:numFmt w:val="decimal"/>
      <w:lvlText w:val="(%1)"/>
      <w:lvlJc w:val="left"/>
      <w:pPr>
        <w:tabs>
          <w:tab w:val="num" w:pos="840"/>
        </w:tabs>
        <w:ind w:left="840" w:hanging="48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3">
    <w:nsid w:val="624A77A0"/>
    <w:multiLevelType w:val="hybridMultilevel"/>
    <w:tmpl w:val="B664BE1A"/>
    <w:lvl w:ilvl="0" w:tplc="F14A28EE">
      <w:start w:val="1"/>
      <w:numFmt w:val="decimal"/>
      <w:lvlText w:val="(%1)"/>
      <w:lvlJc w:val="left"/>
      <w:pPr>
        <w:tabs>
          <w:tab w:val="num" w:pos="420"/>
        </w:tabs>
        <w:ind w:left="420" w:hanging="420"/>
      </w:pPr>
      <w:rPr>
        <w:rFonts w:hint="default"/>
      </w:rPr>
    </w:lvl>
    <w:lvl w:ilvl="1" w:tplc="041A0019" w:tentative="1">
      <w:start w:val="1"/>
      <w:numFmt w:val="lowerLetter"/>
      <w:lvlText w:val="%2."/>
      <w:lvlJc w:val="left"/>
      <w:pPr>
        <w:tabs>
          <w:tab w:val="num" w:pos="1080"/>
        </w:tabs>
        <w:ind w:left="1080" w:hanging="360"/>
      </w:p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34">
    <w:nsid w:val="62812C19"/>
    <w:multiLevelType w:val="multilevel"/>
    <w:tmpl w:val="D7542AF0"/>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960"/>
        </w:tabs>
        <w:ind w:left="960" w:hanging="600"/>
      </w:pPr>
      <w:rPr>
        <w:rFonts w:hint="default"/>
      </w:rPr>
    </w:lvl>
    <w:lvl w:ilvl="2">
      <w:start w:val="7"/>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5">
    <w:nsid w:val="64030595"/>
    <w:multiLevelType w:val="hybridMultilevel"/>
    <w:tmpl w:val="0584EA74"/>
    <w:lvl w:ilvl="0" w:tplc="041A0017">
      <w:start w:val="1"/>
      <w:numFmt w:val="lowerLetter"/>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6">
    <w:nsid w:val="66FD5583"/>
    <w:multiLevelType w:val="hybridMultilevel"/>
    <w:tmpl w:val="AB98639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7">
    <w:nsid w:val="679A5D83"/>
    <w:multiLevelType w:val="singleLevel"/>
    <w:tmpl w:val="84FE8024"/>
    <w:lvl w:ilvl="0">
      <w:start w:val="1"/>
      <w:numFmt w:val="bullet"/>
      <w:lvlText w:val=""/>
      <w:lvlJc w:val="left"/>
      <w:pPr>
        <w:tabs>
          <w:tab w:val="num" w:pos="360"/>
        </w:tabs>
        <w:ind w:left="284" w:hanging="284"/>
      </w:pPr>
      <w:rPr>
        <w:rFonts w:ascii="Wingdings" w:hAnsi="Wingdings" w:hint="default"/>
      </w:rPr>
    </w:lvl>
  </w:abstractNum>
  <w:abstractNum w:abstractNumId="38">
    <w:nsid w:val="67ED3BF5"/>
    <w:multiLevelType w:val="multilevel"/>
    <w:tmpl w:val="CEC86C12"/>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68B942FF"/>
    <w:multiLevelType w:val="hybridMultilevel"/>
    <w:tmpl w:val="DAB62CFE"/>
    <w:lvl w:ilvl="0" w:tplc="041A0001">
      <w:start w:val="1"/>
      <w:numFmt w:val="bullet"/>
      <w:lvlText w:val=""/>
      <w:lvlJc w:val="left"/>
      <w:pPr>
        <w:tabs>
          <w:tab w:val="num" w:pos="300"/>
        </w:tabs>
        <w:ind w:left="300" w:hanging="360"/>
      </w:pPr>
      <w:rPr>
        <w:rFonts w:ascii="Symbol" w:hAnsi="Symbol" w:hint="default"/>
      </w:rPr>
    </w:lvl>
    <w:lvl w:ilvl="1" w:tplc="041A0019" w:tentative="1">
      <w:start w:val="1"/>
      <w:numFmt w:val="lowerLetter"/>
      <w:lvlText w:val="%2."/>
      <w:lvlJc w:val="left"/>
      <w:pPr>
        <w:tabs>
          <w:tab w:val="num" w:pos="1020"/>
        </w:tabs>
        <w:ind w:left="1020" w:hanging="360"/>
      </w:pPr>
    </w:lvl>
    <w:lvl w:ilvl="2" w:tplc="041A001B" w:tentative="1">
      <w:start w:val="1"/>
      <w:numFmt w:val="lowerRoman"/>
      <w:lvlText w:val="%3."/>
      <w:lvlJc w:val="right"/>
      <w:pPr>
        <w:tabs>
          <w:tab w:val="num" w:pos="1740"/>
        </w:tabs>
        <w:ind w:left="1740" w:hanging="180"/>
      </w:pPr>
    </w:lvl>
    <w:lvl w:ilvl="3" w:tplc="041A000F" w:tentative="1">
      <w:start w:val="1"/>
      <w:numFmt w:val="decimal"/>
      <w:lvlText w:val="%4."/>
      <w:lvlJc w:val="left"/>
      <w:pPr>
        <w:tabs>
          <w:tab w:val="num" w:pos="2460"/>
        </w:tabs>
        <w:ind w:left="2460" w:hanging="360"/>
      </w:pPr>
    </w:lvl>
    <w:lvl w:ilvl="4" w:tplc="041A0019" w:tentative="1">
      <w:start w:val="1"/>
      <w:numFmt w:val="lowerLetter"/>
      <w:lvlText w:val="%5."/>
      <w:lvlJc w:val="left"/>
      <w:pPr>
        <w:tabs>
          <w:tab w:val="num" w:pos="3180"/>
        </w:tabs>
        <w:ind w:left="3180" w:hanging="360"/>
      </w:pPr>
    </w:lvl>
    <w:lvl w:ilvl="5" w:tplc="041A001B" w:tentative="1">
      <w:start w:val="1"/>
      <w:numFmt w:val="lowerRoman"/>
      <w:lvlText w:val="%6."/>
      <w:lvlJc w:val="right"/>
      <w:pPr>
        <w:tabs>
          <w:tab w:val="num" w:pos="3900"/>
        </w:tabs>
        <w:ind w:left="3900" w:hanging="180"/>
      </w:pPr>
    </w:lvl>
    <w:lvl w:ilvl="6" w:tplc="041A000F" w:tentative="1">
      <w:start w:val="1"/>
      <w:numFmt w:val="decimal"/>
      <w:lvlText w:val="%7."/>
      <w:lvlJc w:val="left"/>
      <w:pPr>
        <w:tabs>
          <w:tab w:val="num" w:pos="4620"/>
        </w:tabs>
        <w:ind w:left="4620" w:hanging="360"/>
      </w:pPr>
    </w:lvl>
    <w:lvl w:ilvl="7" w:tplc="041A0019" w:tentative="1">
      <w:start w:val="1"/>
      <w:numFmt w:val="lowerLetter"/>
      <w:lvlText w:val="%8."/>
      <w:lvlJc w:val="left"/>
      <w:pPr>
        <w:tabs>
          <w:tab w:val="num" w:pos="5340"/>
        </w:tabs>
        <w:ind w:left="5340" w:hanging="360"/>
      </w:pPr>
    </w:lvl>
    <w:lvl w:ilvl="8" w:tplc="041A001B" w:tentative="1">
      <w:start w:val="1"/>
      <w:numFmt w:val="lowerRoman"/>
      <w:lvlText w:val="%9."/>
      <w:lvlJc w:val="right"/>
      <w:pPr>
        <w:tabs>
          <w:tab w:val="num" w:pos="6060"/>
        </w:tabs>
        <w:ind w:left="6060" w:hanging="180"/>
      </w:pPr>
    </w:lvl>
  </w:abstractNum>
  <w:abstractNum w:abstractNumId="40">
    <w:nsid w:val="6B5577E1"/>
    <w:multiLevelType w:val="multilevel"/>
    <w:tmpl w:val="239C8720"/>
    <w:lvl w:ilvl="0">
      <w:start w:val="1"/>
      <w:numFmt w:val="decimal"/>
      <w:lvlText w:val="%1."/>
      <w:lvlJc w:val="left"/>
      <w:pPr>
        <w:tabs>
          <w:tab w:val="num" w:pos="360"/>
        </w:tabs>
        <w:ind w:left="360" w:hanging="360"/>
      </w:pPr>
      <w:rPr>
        <w:rFonts w:hint="default"/>
      </w:rPr>
    </w:lvl>
    <w:lvl w:ilvl="1">
      <w:start w:val="2"/>
      <w:numFmt w:val="decimal"/>
      <w:pStyle w:val="Normal"/>
      <w:isLgl/>
      <w:lvlText w:val="%1.%2."/>
      <w:lvlJc w:val="left"/>
      <w:pPr>
        <w:tabs>
          <w:tab w:val="num" w:pos="600"/>
        </w:tabs>
        <w:ind w:left="600" w:hanging="600"/>
      </w:pPr>
      <w:rPr>
        <w:rFonts w:hint="default"/>
      </w:rPr>
    </w:lvl>
    <w:lvl w:ilvl="2">
      <w:start w:val="2"/>
      <w:numFmt w:val="decimal"/>
      <w:pStyle w:val="Normal"/>
      <w:isLgl/>
      <w:lvlText w:val="%1.%2.%3."/>
      <w:lvlJc w:val="left"/>
      <w:pPr>
        <w:tabs>
          <w:tab w:val="num" w:pos="720"/>
        </w:tabs>
        <w:ind w:left="720" w:hanging="720"/>
      </w:pPr>
      <w:rPr>
        <w:rFonts w:hint="default"/>
      </w:rPr>
    </w:lvl>
    <w:lvl w:ilvl="3">
      <w:start w:val="1"/>
      <w:numFmt w:val="decimal"/>
      <w:pStyle w:val="Normal"/>
      <w:isLgl/>
      <w:lvlText w:val="%1.%2.%3.%4."/>
      <w:lvlJc w:val="left"/>
      <w:pPr>
        <w:tabs>
          <w:tab w:val="num" w:pos="720"/>
        </w:tabs>
        <w:ind w:left="720" w:hanging="720"/>
      </w:pPr>
      <w:rPr>
        <w:rFonts w:hint="default"/>
      </w:rPr>
    </w:lvl>
    <w:lvl w:ilvl="4">
      <w:start w:val="1"/>
      <w:numFmt w:val="decimal"/>
      <w:pStyle w:val="Normal"/>
      <w:isLgl/>
      <w:lvlText w:val="%1.%2.%3.%4.%5."/>
      <w:lvlJc w:val="left"/>
      <w:pPr>
        <w:tabs>
          <w:tab w:val="num" w:pos="1080"/>
        </w:tabs>
        <w:ind w:left="1080" w:hanging="1080"/>
      </w:pPr>
      <w:rPr>
        <w:rFonts w:hint="default"/>
      </w:rPr>
    </w:lvl>
    <w:lvl w:ilvl="5">
      <w:start w:val="1"/>
      <w:numFmt w:val="decimal"/>
      <w:pStyle w:val="Normal"/>
      <w:isLgl/>
      <w:lvlText w:val="%1.%2.%3.%4.%5.%6."/>
      <w:lvlJc w:val="left"/>
      <w:pPr>
        <w:tabs>
          <w:tab w:val="num" w:pos="1080"/>
        </w:tabs>
        <w:ind w:left="1080" w:hanging="1080"/>
      </w:pPr>
      <w:rPr>
        <w:rFonts w:hint="default"/>
      </w:rPr>
    </w:lvl>
    <w:lvl w:ilvl="6">
      <w:start w:val="1"/>
      <w:numFmt w:val="decimal"/>
      <w:pStyle w:val="Normal"/>
      <w:isLgl/>
      <w:lvlText w:val="%1.%2.%3.%4.%5.%6.%7."/>
      <w:lvlJc w:val="left"/>
      <w:pPr>
        <w:tabs>
          <w:tab w:val="num" w:pos="1440"/>
        </w:tabs>
        <w:ind w:left="1440" w:hanging="1440"/>
      </w:pPr>
      <w:rPr>
        <w:rFonts w:hint="default"/>
      </w:rPr>
    </w:lvl>
    <w:lvl w:ilvl="7">
      <w:start w:val="1"/>
      <w:numFmt w:val="decimal"/>
      <w:pStyle w:val="Normal"/>
      <w:isLgl/>
      <w:lvlText w:val="%1.%2.%3.%4.%5.%6.%7.%8."/>
      <w:lvlJc w:val="left"/>
      <w:pPr>
        <w:tabs>
          <w:tab w:val="num" w:pos="1440"/>
        </w:tabs>
        <w:ind w:left="1440" w:hanging="1440"/>
      </w:pPr>
      <w:rPr>
        <w:rFonts w:hint="default"/>
      </w:rPr>
    </w:lvl>
    <w:lvl w:ilvl="8">
      <w:start w:val="1"/>
      <w:numFmt w:val="decimal"/>
      <w:pStyle w:val="Normal"/>
      <w:isLgl/>
      <w:lvlText w:val="%1.%2.%3.%4.%5.%6.%7.%8.%9."/>
      <w:lvlJc w:val="left"/>
      <w:pPr>
        <w:tabs>
          <w:tab w:val="num" w:pos="1800"/>
        </w:tabs>
        <w:ind w:left="1800" w:hanging="1800"/>
      </w:pPr>
      <w:rPr>
        <w:rFonts w:hint="default"/>
      </w:rPr>
    </w:lvl>
  </w:abstractNum>
  <w:abstractNum w:abstractNumId="41">
    <w:nsid w:val="7374029F"/>
    <w:multiLevelType w:val="hybridMultilevel"/>
    <w:tmpl w:val="D3FAACD6"/>
    <w:lvl w:ilvl="0" w:tplc="872E9224">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2">
    <w:nsid w:val="7474556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3">
    <w:nsid w:val="7ADE6A37"/>
    <w:multiLevelType w:val="singleLevel"/>
    <w:tmpl w:val="5434AF4C"/>
    <w:lvl w:ilvl="0">
      <w:start w:val="2"/>
      <w:numFmt w:val="bullet"/>
      <w:lvlText w:val="-"/>
      <w:lvlJc w:val="left"/>
      <w:pPr>
        <w:tabs>
          <w:tab w:val="num" w:pos="360"/>
        </w:tabs>
        <w:ind w:left="360" w:hanging="360"/>
      </w:pPr>
      <w:rPr>
        <w:rFonts w:hint="default"/>
      </w:rPr>
    </w:lvl>
  </w:abstractNum>
  <w:abstractNum w:abstractNumId="44">
    <w:nsid w:val="7B5B3673"/>
    <w:multiLevelType w:val="multilevel"/>
    <w:tmpl w:val="02BC38F6"/>
    <w:lvl w:ilvl="0">
      <w:start w:val="48"/>
      <w:numFmt w:val="bullet"/>
      <w:lvlText w:val="-"/>
      <w:lvlJc w:val="left"/>
      <w:pPr>
        <w:tabs>
          <w:tab w:val="num" w:pos="300"/>
        </w:tabs>
        <w:ind w:left="300" w:hanging="360"/>
      </w:pPr>
      <w:rPr>
        <w:rFonts w:ascii="Times New Roman" w:eastAsia="Times New Roman" w:hAnsi="Times New Roman" w:cs="Times New Roman" w:hint="default"/>
      </w:rPr>
    </w:lvl>
    <w:lvl w:ilvl="1">
      <w:start w:val="1"/>
      <w:numFmt w:val="decimal"/>
      <w:lvlText w:val="%2."/>
      <w:lvlJc w:val="left"/>
      <w:pPr>
        <w:tabs>
          <w:tab w:val="num" w:pos="1020"/>
        </w:tabs>
        <w:ind w:left="1020" w:hanging="360"/>
      </w:pPr>
      <w:rPr>
        <w:rFonts w:hint="default"/>
      </w:rPr>
    </w:lvl>
    <w:lvl w:ilvl="2">
      <w:start w:val="1"/>
      <w:numFmt w:val="lowerRoman"/>
      <w:lvlText w:val="%3."/>
      <w:lvlJc w:val="right"/>
      <w:pPr>
        <w:tabs>
          <w:tab w:val="num" w:pos="1740"/>
        </w:tabs>
        <w:ind w:left="1740" w:hanging="180"/>
      </w:pPr>
    </w:lvl>
    <w:lvl w:ilvl="3">
      <w:start w:val="1"/>
      <w:numFmt w:val="decimal"/>
      <w:lvlText w:val="%4."/>
      <w:lvlJc w:val="left"/>
      <w:pPr>
        <w:tabs>
          <w:tab w:val="num" w:pos="2460"/>
        </w:tabs>
        <w:ind w:left="2460" w:hanging="360"/>
      </w:pPr>
    </w:lvl>
    <w:lvl w:ilvl="4">
      <w:start w:val="1"/>
      <w:numFmt w:val="lowerLetter"/>
      <w:lvlText w:val="%5."/>
      <w:lvlJc w:val="left"/>
      <w:pPr>
        <w:tabs>
          <w:tab w:val="num" w:pos="3180"/>
        </w:tabs>
        <w:ind w:left="3180" w:hanging="360"/>
      </w:pPr>
    </w:lvl>
    <w:lvl w:ilvl="5">
      <w:start w:val="1"/>
      <w:numFmt w:val="lowerRoman"/>
      <w:lvlText w:val="%6."/>
      <w:lvlJc w:val="right"/>
      <w:pPr>
        <w:tabs>
          <w:tab w:val="num" w:pos="3900"/>
        </w:tabs>
        <w:ind w:left="3900" w:hanging="180"/>
      </w:pPr>
    </w:lvl>
    <w:lvl w:ilvl="6">
      <w:start w:val="1"/>
      <w:numFmt w:val="decimal"/>
      <w:lvlText w:val="%7."/>
      <w:lvlJc w:val="left"/>
      <w:pPr>
        <w:tabs>
          <w:tab w:val="num" w:pos="4620"/>
        </w:tabs>
        <w:ind w:left="4620" w:hanging="360"/>
      </w:pPr>
    </w:lvl>
    <w:lvl w:ilvl="7">
      <w:start w:val="1"/>
      <w:numFmt w:val="lowerLetter"/>
      <w:lvlText w:val="%8."/>
      <w:lvlJc w:val="left"/>
      <w:pPr>
        <w:tabs>
          <w:tab w:val="num" w:pos="5340"/>
        </w:tabs>
        <w:ind w:left="5340" w:hanging="360"/>
      </w:pPr>
    </w:lvl>
    <w:lvl w:ilvl="8">
      <w:start w:val="1"/>
      <w:numFmt w:val="lowerRoman"/>
      <w:lvlText w:val="%9."/>
      <w:lvlJc w:val="right"/>
      <w:pPr>
        <w:tabs>
          <w:tab w:val="num" w:pos="6060"/>
        </w:tabs>
        <w:ind w:left="6060" w:hanging="180"/>
      </w:pPr>
    </w:lvl>
  </w:abstractNum>
  <w:abstractNum w:abstractNumId="45">
    <w:nsid w:val="7D1012E6"/>
    <w:multiLevelType w:val="multilevel"/>
    <w:tmpl w:val="DAB62CFE"/>
    <w:lvl w:ilvl="0">
      <w:start w:val="1"/>
      <w:numFmt w:val="bullet"/>
      <w:lvlText w:val=""/>
      <w:lvlJc w:val="left"/>
      <w:pPr>
        <w:tabs>
          <w:tab w:val="num" w:pos="300"/>
        </w:tabs>
        <w:ind w:left="300" w:hanging="360"/>
      </w:pPr>
      <w:rPr>
        <w:rFonts w:ascii="Symbol" w:hAnsi="Symbol" w:hint="default"/>
      </w:rPr>
    </w:lvl>
    <w:lvl w:ilvl="1">
      <w:start w:val="1"/>
      <w:numFmt w:val="lowerLetter"/>
      <w:lvlText w:val="%2."/>
      <w:lvlJc w:val="left"/>
      <w:pPr>
        <w:tabs>
          <w:tab w:val="num" w:pos="1020"/>
        </w:tabs>
        <w:ind w:left="1020" w:hanging="360"/>
      </w:pPr>
    </w:lvl>
    <w:lvl w:ilvl="2">
      <w:start w:val="1"/>
      <w:numFmt w:val="lowerRoman"/>
      <w:lvlText w:val="%3."/>
      <w:lvlJc w:val="right"/>
      <w:pPr>
        <w:tabs>
          <w:tab w:val="num" w:pos="1740"/>
        </w:tabs>
        <w:ind w:left="1740" w:hanging="180"/>
      </w:pPr>
    </w:lvl>
    <w:lvl w:ilvl="3">
      <w:start w:val="1"/>
      <w:numFmt w:val="decimal"/>
      <w:lvlText w:val="%4."/>
      <w:lvlJc w:val="left"/>
      <w:pPr>
        <w:tabs>
          <w:tab w:val="num" w:pos="2460"/>
        </w:tabs>
        <w:ind w:left="2460" w:hanging="360"/>
      </w:pPr>
    </w:lvl>
    <w:lvl w:ilvl="4">
      <w:start w:val="1"/>
      <w:numFmt w:val="lowerLetter"/>
      <w:lvlText w:val="%5."/>
      <w:lvlJc w:val="left"/>
      <w:pPr>
        <w:tabs>
          <w:tab w:val="num" w:pos="3180"/>
        </w:tabs>
        <w:ind w:left="3180" w:hanging="360"/>
      </w:pPr>
    </w:lvl>
    <w:lvl w:ilvl="5">
      <w:start w:val="1"/>
      <w:numFmt w:val="lowerRoman"/>
      <w:lvlText w:val="%6."/>
      <w:lvlJc w:val="right"/>
      <w:pPr>
        <w:tabs>
          <w:tab w:val="num" w:pos="3900"/>
        </w:tabs>
        <w:ind w:left="3900" w:hanging="180"/>
      </w:pPr>
    </w:lvl>
    <w:lvl w:ilvl="6">
      <w:start w:val="1"/>
      <w:numFmt w:val="decimal"/>
      <w:lvlText w:val="%7."/>
      <w:lvlJc w:val="left"/>
      <w:pPr>
        <w:tabs>
          <w:tab w:val="num" w:pos="4620"/>
        </w:tabs>
        <w:ind w:left="4620" w:hanging="360"/>
      </w:pPr>
    </w:lvl>
    <w:lvl w:ilvl="7">
      <w:start w:val="1"/>
      <w:numFmt w:val="lowerLetter"/>
      <w:lvlText w:val="%8."/>
      <w:lvlJc w:val="left"/>
      <w:pPr>
        <w:tabs>
          <w:tab w:val="num" w:pos="5340"/>
        </w:tabs>
        <w:ind w:left="5340" w:hanging="360"/>
      </w:pPr>
    </w:lvl>
    <w:lvl w:ilvl="8">
      <w:start w:val="1"/>
      <w:numFmt w:val="lowerRoman"/>
      <w:lvlText w:val="%9."/>
      <w:lvlJc w:val="right"/>
      <w:pPr>
        <w:tabs>
          <w:tab w:val="num" w:pos="6060"/>
        </w:tabs>
        <w:ind w:left="6060" w:hanging="180"/>
      </w:pPr>
    </w:lvl>
  </w:abstractNum>
  <w:abstractNum w:abstractNumId="46">
    <w:nsid w:val="7DFE4255"/>
    <w:multiLevelType w:val="multilevel"/>
    <w:tmpl w:val="6A281A1A"/>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6"/>
  </w:num>
  <w:num w:numId="4">
    <w:abstractNumId w:val="9"/>
  </w:num>
  <w:num w:numId="5">
    <w:abstractNumId w:val="29"/>
  </w:num>
  <w:num w:numId="6">
    <w:abstractNumId w:val="4"/>
  </w:num>
  <w:num w:numId="7">
    <w:abstractNumId w:val="12"/>
  </w:num>
  <w:num w:numId="8">
    <w:abstractNumId w:val="22"/>
  </w:num>
  <w:num w:numId="9">
    <w:abstractNumId w:val="28"/>
  </w:num>
  <w:num w:numId="10">
    <w:abstractNumId w:val="42"/>
  </w:num>
  <w:num w:numId="11">
    <w:abstractNumId w:val="6"/>
  </w:num>
  <w:num w:numId="12">
    <w:abstractNumId w:val="36"/>
  </w:num>
  <w:num w:numId="13">
    <w:abstractNumId w:val="20"/>
  </w:num>
  <w:num w:numId="14">
    <w:abstractNumId w:val="43"/>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lvlOverride w:ilvl="0"/>
  </w:num>
  <w:num w:numId="17">
    <w:abstractNumId w:val="25"/>
  </w:num>
  <w:num w:numId="18">
    <w:abstractNumId w:val="41"/>
  </w:num>
  <w:num w:numId="19">
    <w:abstractNumId w:val="31"/>
  </w:num>
  <w:num w:numId="20">
    <w:abstractNumId w:val="23"/>
  </w:num>
  <w:num w:numId="21">
    <w:abstractNumId w:val="37"/>
  </w:num>
  <w:num w:numId="22">
    <w:abstractNumId w:val="0"/>
    <w:lvlOverride w:ilvl="0">
      <w:lvl w:ilvl="0">
        <w:start w:val="1"/>
        <w:numFmt w:val="bullet"/>
        <w:lvlText w:val="-"/>
        <w:legacy w:legacy="1" w:legacySpace="0" w:legacyIndent="283"/>
        <w:lvlJc w:val="left"/>
        <w:pPr>
          <w:ind w:left="1712" w:hanging="283"/>
        </w:pPr>
        <w:rPr>
          <w:rFonts w:ascii="Arial" w:hAnsi="Arial" w:cs="Arial" w:hint="default"/>
          <w:sz w:val="20"/>
        </w:rPr>
      </w:lvl>
    </w:lvlOverride>
  </w:num>
  <w:num w:numId="23">
    <w:abstractNumId w:val="11"/>
  </w:num>
  <w:num w:numId="24">
    <w:abstractNumId w:val="15"/>
  </w:num>
  <w:num w:numId="25">
    <w:abstractNumId w:val="0"/>
    <w:lvlOverride w:ilvl="0">
      <w:lvl w:ilvl="0">
        <w:start w:val="1"/>
        <w:numFmt w:val="bullet"/>
        <w:lvlText w:val=""/>
        <w:legacy w:legacy="1" w:legacySpace="0" w:legacyIndent="0"/>
        <w:lvlJc w:val="left"/>
        <w:pPr>
          <w:ind w:left="0" w:firstLine="0"/>
        </w:pPr>
        <w:rPr>
          <w:rFonts w:ascii="Symbol" w:hAnsi="Symbol" w:hint="default"/>
          <w:sz w:val="2"/>
        </w:rPr>
      </w:lvl>
    </w:lvlOverride>
  </w:num>
  <w:num w:numId="26">
    <w:abstractNumId w:val="13"/>
  </w:num>
  <w:num w:numId="27">
    <w:abstractNumId w:val="17"/>
  </w:num>
  <w:num w:numId="28">
    <w:abstractNumId w:val="40"/>
  </w:num>
  <w:num w:numId="29">
    <w:abstractNumId w:val="46"/>
  </w:num>
  <w:num w:numId="3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10"/>
  </w:num>
  <w:num w:numId="33">
    <w:abstractNumId w:val="35"/>
  </w:num>
  <w:num w:numId="34">
    <w:abstractNumId w:val="1"/>
  </w:num>
  <w:num w:numId="35">
    <w:abstractNumId w:val="24"/>
  </w:num>
  <w:num w:numId="36">
    <w:abstractNumId w:val="34"/>
  </w:num>
  <w:num w:numId="37">
    <w:abstractNumId w:val="18"/>
  </w:num>
  <w:num w:numId="38">
    <w:abstractNumId w:val="16"/>
  </w:num>
  <w:num w:numId="39">
    <w:abstractNumId w:val="21"/>
  </w:num>
  <w:num w:numId="40">
    <w:abstractNumId w:val="38"/>
  </w:num>
  <w:num w:numId="41">
    <w:abstractNumId w:val="33"/>
  </w:num>
  <w:num w:numId="42">
    <w:abstractNumId w:val="27"/>
  </w:num>
  <w:num w:numId="43">
    <w:abstractNumId w:val="30"/>
  </w:num>
  <w:num w:numId="44">
    <w:abstractNumId w:val="14"/>
  </w:num>
  <w:num w:numId="45">
    <w:abstractNumId w:val="39"/>
  </w:num>
  <w:num w:numId="46">
    <w:abstractNumId w:val="45"/>
  </w:num>
  <w:num w:numId="47">
    <w:abstractNumId w:val="19"/>
  </w:num>
  <w:num w:numId="48">
    <w:abstractNumId w:val="44"/>
  </w:num>
  <w:num w:numId="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1D5"/>
    <w:rsid w:val="00007AAB"/>
    <w:rsid w:val="00012172"/>
    <w:rsid w:val="00021CD9"/>
    <w:rsid w:val="000305B6"/>
    <w:rsid w:val="0003329F"/>
    <w:rsid w:val="00046FDC"/>
    <w:rsid w:val="00052FA2"/>
    <w:rsid w:val="00061681"/>
    <w:rsid w:val="00063F35"/>
    <w:rsid w:val="000767C0"/>
    <w:rsid w:val="00087CF6"/>
    <w:rsid w:val="000A0C3F"/>
    <w:rsid w:val="000A1F1E"/>
    <w:rsid w:val="000A72E7"/>
    <w:rsid w:val="000C1D15"/>
    <w:rsid w:val="000C678A"/>
    <w:rsid w:val="000F6ACD"/>
    <w:rsid w:val="00106D95"/>
    <w:rsid w:val="00117C01"/>
    <w:rsid w:val="0012288D"/>
    <w:rsid w:val="0013484B"/>
    <w:rsid w:val="00141BF2"/>
    <w:rsid w:val="0016060B"/>
    <w:rsid w:val="00165BAC"/>
    <w:rsid w:val="00170AE6"/>
    <w:rsid w:val="001716DB"/>
    <w:rsid w:val="001B3305"/>
    <w:rsid w:val="001C57F3"/>
    <w:rsid w:val="001E174C"/>
    <w:rsid w:val="00204469"/>
    <w:rsid w:val="002103B2"/>
    <w:rsid w:val="00213657"/>
    <w:rsid w:val="00225369"/>
    <w:rsid w:val="00226C69"/>
    <w:rsid w:val="00242015"/>
    <w:rsid w:val="00247A7F"/>
    <w:rsid w:val="00247D23"/>
    <w:rsid w:val="00252025"/>
    <w:rsid w:val="00257D68"/>
    <w:rsid w:val="002718D6"/>
    <w:rsid w:val="00273875"/>
    <w:rsid w:val="00285B5B"/>
    <w:rsid w:val="00297CAE"/>
    <w:rsid w:val="002B1815"/>
    <w:rsid w:val="002B2E98"/>
    <w:rsid w:val="002B3299"/>
    <w:rsid w:val="002B4042"/>
    <w:rsid w:val="002B57F7"/>
    <w:rsid w:val="002C36C4"/>
    <w:rsid w:val="002D232F"/>
    <w:rsid w:val="002D6CD9"/>
    <w:rsid w:val="002E7491"/>
    <w:rsid w:val="00301BF7"/>
    <w:rsid w:val="00306BCD"/>
    <w:rsid w:val="003202A3"/>
    <w:rsid w:val="00323E05"/>
    <w:rsid w:val="0032577D"/>
    <w:rsid w:val="0032757B"/>
    <w:rsid w:val="00332460"/>
    <w:rsid w:val="00354C13"/>
    <w:rsid w:val="00365E4A"/>
    <w:rsid w:val="003714E4"/>
    <w:rsid w:val="003722FA"/>
    <w:rsid w:val="00375A50"/>
    <w:rsid w:val="00380151"/>
    <w:rsid w:val="003C0CC7"/>
    <w:rsid w:val="003C27EA"/>
    <w:rsid w:val="003C5A3F"/>
    <w:rsid w:val="003D2B8C"/>
    <w:rsid w:val="003E6926"/>
    <w:rsid w:val="00411AD8"/>
    <w:rsid w:val="0042599D"/>
    <w:rsid w:val="00434400"/>
    <w:rsid w:val="00437D6C"/>
    <w:rsid w:val="0046237A"/>
    <w:rsid w:val="004640B3"/>
    <w:rsid w:val="004A6C7E"/>
    <w:rsid w:val="004B0466"/>
    <w:rsid w:val="004B5DA3"/>
    <w:rsid w:val="004C746B"/>
    <w:rsid w:val="004D14A3"/>
    <w:rsid w:val="004E22B5"/>
    <w:rsid w:val="004F521E"/>
    <w:rsid w:val="00514426"/>
    <w:rsid w:val="00515186"/>
    <w:rsid w:val="005623E3"/>
    <w:rsid w:val="005710D8"/>
    <w:rsid w:val="005B7DC3"/>
    <w:rsid w:val="005C1E50"/>
    <w:rsid w:val="005E637C"/>
    <w:rsid w:val="005F0CFB"/>
    <w:rsid w:val="00617096"/>
    <w:rsid w:val="006216F2"/>
    <w:rsid w:val="00623F55"/>
    <w:rsid w:val="00627B58"/>
    <w:rsid w:val="00632419"/>
    <w:rsid w:val="00640D9A"/>
    <w:rsid w:val="0064110D"/>
    <w:rsid w:val="006527CB"/>
    <w:rsid w:val="00652887"/>
    <w:rsid w:val="00654B1C"/>
    <w:rsid w:val="00667C49"/>
    <w:rsid w:val="0067261B"/>
    <w:rsid w:val="006A0269"/>
    <w:rsid w:val="006B4FC0"/>
    <w:rsid w:val="006C0EE1"/>
    <w:rsid w:val="006C239A"/>
    <w:rsid w:val="006D1773"/>
    <w:rsid w:val="006E53BD"/>
    <w:rsid w:val="00700686"/>
    <w:rsid w:val="00704E40"/>
    <w:rsid w:val="00716606"/>
    <w:rsid w:val="00725F6F"/>
    <w:rsid w:val="00733344"/>
    <w:rsid w:val="00741008"/>
    <w:rsid w:val="00742D1C"/>
    <w:rsid w:val="007445F0"/>
    <w:rsid w:val="007455AD"/>
    <w:rsid w:val="00753D67"/>
    <w:rsid w:val="007607BD"/>
    <w:rsid w:val="00760B01"/>
    <w:rsid w:val="00762B98"/>
    <w:rsid w:val="00772FD4"/>
    <w:rsid w:val="007909A9"/>
    <w:rsid w:val="007A26AD"/>
    <w:rsid w:val="007B170B"/>
    <w:rsid w:val="007C5863"/>
    <w:rsid w:val="007E5C81"/>
    <w:rsid w:val="007E7AF5"/>
    <w:rsid w:val="00807C5D"/>
    <w:rsid w:val="00812505"/>
    <w:rsid w:val="00851EE7"/>
    <w:rsid w:val="008641E2"/>
    <w:rsid w:val="00866241"/>
    <w:rsid w:val="00875361"/>
    <w:rsid w:val="0089067D"/>
    <w:rsid w:val="0089144D"/>
    <w:rsid w:val="008A0CDB"/>
    <w:rsid w:val="008C63AE"/>
    <w:rsid w:val="008C72A6"/>
    <w:rsid w:val="008F0A5D"/>
    <w:rsid w:val="008F0E21"/>
    <w:rsid w:val="008F6679"/>
    <w:rsid w:val="009054C3"/>
    <w:rsid w:val="00911679"/>
    <w:rsid w:val="0092702B"/>
    <w:rsid w:val="0093228E"/>
    <w:rsid w:val="009339EF"/>
    <w:rsid w:val="00963862"/>
    <w:rsid w:val="0096582B"/>
    <w:rsid w:val="00982F4A"/>
    <w:rsid w:val="00990761"/>
    <w:rsid w:val="00994909"/>
    <w:rsid w:val="009A1682"/>
    <w:rsid w:val="009A60CD"/>
    <w:rsid w:val="009D20CA"/>
    <w:rsid w:val="009E0D18"/>
    <w:rsid w:val="009E486B"/>
    <w:rsid w:val="009E5861"/>
    <w:rsid w:val="009F2F9F"/>
    <w:rsid w:val="00A011C6"/>
    <w:rsid w:val="00A06D07"/>
    <w:rsid w:val="00A100D8"/>
    <w:rsid w:val="00A245F1"/>
    <w:rsid w:val="00A44CC2"/>
    <w:rsid w:val="00A53E7E"/>
    <w:rsid w:val="00A61C21"/>
    <w:rsid w:val="00A67F54"/>
    <w:rsid w:val="00A74645"/>
    <w:rsid w:val="00AA4C26"/>
    <w:rsid w:val="00AC32C5"/>
    <w:rsid w:val="00AC5C24"/>
    <w:rsid w:val="00AD2F47"/>
    <w:rsid w:val="00AD5299"/>
    <w:rsid w:val="00AE0FC0"/>
    <w:rsid w:val="00AE72A2"/>
    <w:rsid w:val="00AF7F87"/>
    <w:rsid w:val="00B23D6D"/>
    <w:rsid w:val="00B4503D"/>
    <w:rsid w:val="00B770C5"/>
    <w:rsid w:val="00B86761"/>
    <w:rsid w:val="00B867EE"/>
    <w:rsid w:val="00BA1A8A"/>
    <w:rsid w:val="00BA741D"/>
    <w:rsid w:val="00BB0950"/>
    <w:rsid w:val="00BC2A4D"/>
    <w:rsid w:val="00BC311F"/>
    <w:rsid w:val="00BD04E2"/>
    <w:rsid w:val="00BD169F"/>
    <w:rsid w:val="00BF1904"/>
    <w:rsid w:val="00C116A9"/>
    <w:rsid w:val="00C1271B"/>
    <w:rsid w:val="00C15C90"/>
    <w:rsid w:val="00C15CFE"/>
    <w:rsid w:val="00CB4C49"/>
    <w:rsid w:val="00CC0DEE"/>
    <w:rsid w:val="00CE3AB7"/>
    <w:rsid w:val="00CF55D7"/>
    <w:rsid w:val="00D14A4E"/>
    <w:rsid w:val="00D15F48"/>
    <w:rsid w:val="00D20120"/>
    <w:rsid w:val="00D3405A"/>
    <w:rsid w:val="00D42612"/>
    <w:rsid w:val="00D52A72"/>
    <w:rsid w:val="00D611BD"/>
    <w:rsid w:val="00D73EB6"/>
    <w:rsid w:val="00DB57EA"/>
    <w:rsid w:val="00DC2B81"/>
    <w:rsid w:val="00DC7A09"/>
    <w:rsid w:val="00DD08C6"/>
    <w:rsid w:val="00DD285D"/>
    <w:rsid w:val="00DE239B"/>
    <w:rsid w:val="00DF1808"/>
    <w:rsid w:val="00E10A8B"/>
    <w:rsid w:val="00E73218"/>
    <w:rsid w:val="00E75E08"/>
    <w:rsid w:val="00E82910"/>
    <w:rsid w:val="00E92024"/>
    <w:rsid w:val="00EA7D62"/>
    <w:rsid w:val="00EB066D"/>
    <w:rsid w:val="00EB241C"/>
    <w:rsid w:val="00EC21D5"/>
    <w:rsid w:val="00EF5BCB"/>
    <w:rsid w:val="00F02C68"/>
    <w:rsid w:val="00F0650A"/>
    <w:rsid w:val="00F1779F"/>
    <w:rsid w:val="00F237BF"/>
    <w:rsid w:val="00F30AE6"/>
    <w:rsid w:val="00F64D29"/>
    <w:rsid w:val="00F8122C"/>
    <w:rsid w:val="00F8431B"/>
    <w:rsid w:val="00F94EC1"/>
    <w:rsid w:val="00FB0E3A"/>
    <w:rsid w:val="00FC10DE"/>
    <w:rsid w:val="00FD1525"/>
    <w:rsid w:val="00FE427C"/>
    <w:rsid w:val="00FF2DB1"/>
    <w:rsid w:val="00FF441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4042"/>
    <w:rPr>
      <w:sz w:val="24"/>
      <w:szCs w:val="24"/>
    </w:rPr>
  </w:style>
  <w:style w:type="paragraph" w:styleId="Naslov1">
    <w:name w:val="heading 1"/>
    <w:basedOn w:val="Normal"/>
    <w:next w:val="Normal"/>
    <w:qFormat/>
    <w:pPr>
      <w:keepNext/>
      <w:spacing w:before="240" w:after="60"/>
      <w:outlineLvl w:val="0"/>
    </w:pPr>
    <w:rPr>
      <w:rFonts w:ascii="Arial" w:hAnsi="Arial" w:cs="Arial"/>
      <w:b/>
      <w:bCs/>
      <w:kern w:val="32"/>
      <w:sz w:val="32"/>
      <w:szCs w:val="32"/>
    </w:rPr>
  </w:style>
  <w:style w:type="paragraph" w:styleId="Naslov2">
    <w:name w:val="heading 2"/>
    <w:basedOn w:val="Normal"/>
    <w:next w:val="Normal"/>
    <w:qFormat/>
    <w:pPr>
      <w:keepNext/>
      <w:spacing w:before="240" w:after="60"/>
      <w:outlineLvl w:val="1"/>
    </w:pPr>
    <w:rPr>
      <w:rFonts w:ascii="Arial" w:hAnsi="Arial" w:cs="Arial"/>
      <w:b/>
      <w:bCs/>
      <w:i/>
      <w:iCs/>
      <w:sz w:val="28"/>
      <w:szCs w:val="28"/>
    </w:rPr>
  </w:style>
  <w:style w:type="paragraph" w:styleId="Naslov3">
    <w:name w:val="heading 3"/>
    <w:basedOn w:val="Normal"/>
    <w:next w:val="Normal"/>
    <w:qFormat/>
    <w:pPr>
      <w:keepNext/>
      <w:spacing w:before="240" w:after="60"/>
      <w:outlineLvl w:val="2"/>
    </w:pPr>
    <w:rPr>
      <w:rFonts w:ascii="Arial" w:hAnsi="Arial" w:cs="Arial"/>
      <w:b/>
      <w:bCs/>
      <w:sz w:val="26"/>
      <w:szCs w:val="26"/>
    </w:rPr>
  </w:style>
  <w:style w:type="paragraph" w:styleId="Naslov4">
    <w:name w:val="heading 4"/>
    <w:basedOn w:val="Normal"/>
    <w:next w:val="Normal"/>
    <w:qFormat/>
    <w:pPr>
      <w:keepNext/>
      <w:spacing w:before="240" w:after="60"/>
      <w:outlineLvl w:val="3"/>
    </w:pPr>
    <w:rPr>
      <w:rFonts w:ascii="Arial" w:hAnsi="Arial"/>
      <w:b/>
      <w:szCs w:val="20"/>
      <w:lang w:val="en-AU"/>
    </w:rPr>
  </w:style>
  <w:style w:type="paragraph" w:styleId="Naslov5">
    <w:name w:val="heading 5"/>
    <w:basedOn w:val="Normal"/>
    <w:next w:val="Normal"/>
    <w:qFormat/>
    <w:pPr>
      <w:keepNext/>
      <w:jc w:val="center"/>
      <w:outlineLvl w:val="4"/>
    </w:pPr>
    <w:rPr>
      <w:rFonts w:ascii="Arial" w:hAnsi="Arial" w:cs="Arial"/>
      <w:b/>
      <w:bCs/>
      <w:sz w:val="20"/>
      <w:szCs w:val="20"/>
    </w:rPr>
  </w:style>
  <w:style w:type="paragraph" w:styleId="Naslov6">
    <w:name w:val="heading 6"/>
    <w:basedOn w:val="Normal"/>
    <w:next w:val="Normal"/>
    <w:qFormat/>
    <w:pPr>
      <w:keepNext/>
      <w:outlineLvl w:val="5"/>
    </w:pPr>
    <w:rPr>
      <w:rFonts w:ascii="Arial" w:hAnsi="Arial"/>
      <w:b/>
      <w:bCs/>
      <w:sz w:val="22"/>
    </w:rPr>
  </w:style>
  <w:style w:type="paragraph" w:styleId="Naslov7">
    <w:name w:val="heading 7"/>
    <w:basedOn w:val="Normal"/>
    <w:next w:val="Normal"/>
    <w:qFormat/>
    <w:pPr>
      <w:keepNext/>
      <w:jc w:val="both"/>
      <w:outlineLvl w:val="6"/>
    </w:pPr>
    <w:rPr>
      <w:rFonts w:ascii="Arial" w:hAnsi="Arial"/>
      <w:b/>
      <w:sz w:val="22"/>
      <w:szCs w:val="22"/>
    </w:rPr>
  </w:style>
  <w:style w:type="paragraph" w:styleId="Naslov8">
    <w:name w:val="heading 8"/>
    <w:basedOn w:val="Normal"/>
    <w:next w:val="Normal"/>
    <w:qFormat/>
    <w:pPr>
      <w:keepNext/>
      <w:spacing w:line="360" w:lineRule="auto"/>
      <w:jc w:val="center"/>
      <w:outlineLvl w:val="7"/>
    </w:pPr>
    <w:rPr>
      <w:b/>
      <w:sz w:val="32"/>
      <w:szCs w:val="32"/>
    </w:rPr>
  </w:style>
  <w:style w:type="paragraph" w:styleId="Naslov9">
    <w:name w:val="heading 9"/>
    <w:basedOn w:val="Normal"/>
    <w:next w:val="Normal"/>
    <w:qFormat/>
    <w:pPr>
      <w:keepNext/>
      <w:jc w:val="both"/>
      <w:outlineLvl w:val="8"/>
    </w:pPr>
    <w:rPr>
      <w:rFonts w:ascii="Arial" w:hAnsi="Arial" w:cs="Arial"/>
      <w:sz w:val="22"/>
      <w:szCs w:val="22"/>
      <w:u w:val="single"/>
    </w:rPr>
  </w:style>
  <w:style w:type="character" w:default="1" w:styleId="Zadanifontodlomka">
    <w:name w:val="Default Paragraph Font"/>
    <w:semiHidden/>
  </w:style>
  <w:style w:type="table" w:default="1" w:styleId="Obinatablica">
    <w:name w:val="Normal Table"/>
    <w:semiHidden/>
    <w:tblPr>
      <w:tblInd w:w="0" w:type="dxa"/>
      <w:tblCellMar>
        <w:top w:w="0" w:type="dxa"/>
        <w:left w:w="108" w:type="dxa"/>
        <w:bottom w:w="0" w:type="dxa"/>
        <w:right w:w="108" w:type="dxa"/>
      </w:tblCellMar>
    </w:tblPr>
  </w:style>
  <w:style w:type="numbering" w:default="1" w:styleId="Bezpopisa">
    <w:name w:val="No List"/>
    <w:semiHidden/>
  </w:style>
  <w:style w:type="paragraph" w:styleId="StandardWeb">
    <w:name w:val="Normal (Web)"/>
    <w:basedOn w:val="Normal"/>
    <w:pPr>
      <w:spacing w:before="100" w:beforeAutospacing="1" w:after="100" w:afterAutospacing="1"/>
    </w:pPr>
  </w:style>
  <w:style w:type="paragraph" w:styleId="Naslov">
    <w:name w:val="Title"/>
    <w:basedOn w:val="Normal"/>
    <w:qFormat/>
    <w:pPr>
      <w:jc w:val="center"/>
    </w:pPr>
    <w:rPr>
      <w:b/>
      <w:bCs/>
      <w:sz w:val="28"/>
    </w:rPr>
  </w:style>
  <w:style w:type="paragraph" w:styleId="Podnoje">
    <w:name w:val="footer"/>
    <w:basedOn w:val="Normal"/>
    <w:pPr>
      <w:tabs>
        <w:tab w:val="center" w:pos="4536"/>
        <w:tab w:val="right" w:pos="9072"/>
      </w:tabs>
    </w:pPr>
  </w:style>
  <w:style w:type="character" w:styleId="Brojstranice">
    <w:name w:val="page number"/>
    <w:basedOn w:val="Zadanifontodlomka"/>
  </w:style>
  <w:style w:type="paragraph" w:styleId="Zaglavlje">
    <w:name w:val="header"/>
    <w:basedOn w:val="Normal"/>
    <w:pPr>
      <w:tabs>
        <w:tab w:val="center" w:pos="4536"/>
        <w:tab w:val="right" w:pos="9072"/>
      </w:tabs>
    </w:pPr>
  </w:style>
  <w:style w:type="paragraph" w:styleId="Tijeloteksta2">
    <w:name w:val="Body Text 2"/>
    <w:basedOn w:val="Normal"/>
    <w:pPr>
      <w:ind w:left="567" w:hanging="567"/>
      <w:jc w:val="both"/>
    </w:pPr>
    <w:rPr>
      <w:rFonts w:ascii="Arial" w:hAnsi="Arial"/>
      <w:szCs w:val="20"/>
    </w:rPr>
  </w:style>
  <w:style w:type="paragraph" w:customStyle="1" w:styleId="Tekst">
    <w:name w:val="Tekst"/>
    <w:basedOn w:val="Normal"/>
    <w:pPr>
      <w:spacing w:line="300" w:lineRule="exact"/>
      <w:jc w:val="both"/>
    </w:pPr>
    <w:rPr>
      <w:rFonts w:ascii="Trebuchet MS" w:hAnsi="Trebuchet MS"/>
      <w:sz w:val="20"/>
      <w:szCs w:val="20"/>
      <w:lang w:val="en-GB"/>
    </w:rPr>
  </w:style>
  <w:style w:type="paragraph" w:styleId="Sadraj1">
    <w:name w:val="toc 1"/>
    <w:basedOn w:val="Normal"/>
    <w:next w:val="Normal"/>
    <w:autoRedefine/>
    <w:semiHidden/>
    <w:rPr>
      <w:b/>
      <w:bCs/>
    </w:rPr>
  </w:style>
  <w:style w:type="paragraph" w:styleId="Sadraj3">
    <w:name w:val="toc 3"/>
    <w:basedOn w:val="Normal"/>
    <w:next w:val="Normal"/>
    <w:autoRedefine/>
    <w:semiHidden/>
    <w:pPr>
      <w:ind w:left="480"/>
    </w:pPr>
  </w:style>
  <w:style w:type="character" w:styleId="Hiperveza">
    <w:name w:val="Hyperlink"/>
    <w:basedOn w:val="Zadanifontodlomka"/>
    <w:rPr>
      <w:color w:val="0000FF"/>
      <w:u w:val="single"/>
    </w:rPr>
  </w:style>
  <w:style w:type="paragraph" w:styleId="Tijeloteksta">
    <w:name w:val="Body Text"/>
    <w:aliases w:val=" uvlaka 3,uvlaka 2,uvlaka 3, uvlaka 31"/>
    <w:basedOn w:val="Normal"/>
    <w:pPr>
      <w:spacing w:after="120"/>
    </w:pPr>
  </w:style>
  <w:style w:type="paragraph" w:customStyle="1" w:styleId="clanak">
    <w:name w:val="clanak"/>
    <w:basedOn w:val="Tekst"/>
    <w:pPr>
      <w:tabs>
        <w:tab w:val="left" w:pos="426"/>
      </w:tabs>
    </w:pPr>
    <w:rPr>
      <w:lang w:val="en-AU"/>
    </w:rPr>
  </w:style>
  <w:style w:type="paragraph" w:styleId="Opisslike">
    <w:name w:val="caption"/>
    <w:basedOn w:val="Normal"/>
    <w:next w:val="Normal"/>
    <w:qFormat/>
    <w:rPr>
      <w:rFonts w:ascii="Arial" w:hAnsi="Arial" w:cs="Arial"/>
      <w:bCs/>
      <w:sz w:val="20"/>
      <w:szCs w:val="20"/>
    </w:rPr>
  </w:style>
  <w:style w:type="paragraph" w:styleId="Sadraj2">
    <w:name w:val="toc 2"/>
    <w:basedOn w:val="Normal"/>
    <w:next w:val="Normal"/>
    <w:autoRedefine/>
    <w:semiHidden/>
    <w:pPr>
      <w:ind w:left="240"/>
    </w:pPr>
  </w:style>
  <w:style w:type="paragraph" w:styleId="Tijeloteksta3">
    <w:name w:val="Body Text 3"/>
    <w:basedOn w:val="Normal"/>
    <w:pPr>
      <w:spacing w:after="120"/>
    </w:pPr>
    <w:rPr>
      <w:sz w:val="16"/>
      <w:szCs w:val="16"/>
    </w:rPr>
  </w:style>
  <w:style w:type="paragraph" w:styleId="Uvuenotijeloteksta">
    <w:name w:val="Body Text Indent"/>
    <w:basedOn w:val="Normal"/>
    <w:pPr>
      <w:spacing w:after="120"/>
      <w:ind w:left="360"/>
    </w:pPr>
  </w:style>
  <w:style w:type="paragraph" w:styleId="Tijeloteksta-uvlaka2">
    <w:name w:val="Body Text Indent 2"/>
    <w:aliases w:val="  uvlaka 2"/>
    <w:basedOn w:val="Normal"/>
    <w:pPr>
      <w:spacing w:after="120" w:line="480" w:lineRule="auto"/>
      <w:ind w:left="360"/>
    </w:pPr>
  </w:style>
  <w:style w:type="character" w:customStyle="1" w:styleId="Heading1Char">
    <w:name w:val="Heading 1 Char"/>
    <w:basedOn w:val="Zadanifontodlomka"/>
    <w:rPr>
      <w:rFonts w:ascii="Arial" w:hAnsi="Arial" w:cs="Arial"/>
      <w:b/>
      <w:bCs/>
      <w:kern w:val="32"/>
      <w:sz w:val="32"/>
      <w:szCs w:val="32"/>
      <w:lang w:val="hr-HR" w:eastAsia="hr-HR" w:bidi="ar-SA"/>
    </w:rPr>
  </w:style>
  <w:style w:type="character" w:styleId="Referencafusnote">
    <w:name w:val="footnote reference"/>
    <w:basedOn w:val="Zadanifontodlomka"/>
    <w:semiHidden/>
    <w:rPr>
      <w:vertAlign w:val="superscript"/>
    </w:rPr>
  </w:style>
  <w:style w:type="paragraph" w:styleId="Tekstfusnote">
    <w:name w:val="footnote text"/>
    <w:basedOn w:val="Normal"/>
    <w:semiHidden/>
    <w:pPr>
      <w:keepNext/>
      <w:jc w:val="both"/>
    </w:pPr>
    <w:rPr>
      <w:rFonts w:ascii="Arial" w:hAnsi="Arial"/>
      <w:i/>
      <w:sz w:val="18"/>
      <w:szCs w:val="20"/>
      <w:lang w:val="en-GB"/>
    </w:rPr>
  </w:style>
  <w:style w:type="paragraph" w:styleId="Kartadokumenta">
    <w:name w:val="Document Map"/>
    <w:basedOn w:val="Normal"/>
    <w:semiHidden/>
    <w:pPr>
      <w:shd w:val="clear" w:color="auto" w:fill="000080"/>
    </w:pPr>
    <w:rPr>
      <w:rFonts w:ascii="Tahoma" w:hAnsi="Tahoma" w:cs="Tahoma"/>
    </w:rPr>
  </w:style>
  <w:style w:type="paragraph" w:customStyle="1" w:styleId="naslovplavi">
    <w:name w:val="naslov_plavi"/>
    <w:basedOn w:val="Normal"/>
    <w:pPr>
      <w:spacing w:before="100" w:beforeAutospacing="1" w:after="100" w:afterAutospacing="1"/>
    </w:pPr>
    <w:rPr>
      <w:rFonts w:ascii="Arial" w:eastAsia="Arial Unicode MS" w:hAnsi="Arial" w:cs="Arial"/>
      <w:b/>
      <w:bCs/>
      <w:color w:val="003399"/>
    </w:rPr>
  </w:style>
  <w:style w:type="paragraph" w:customStyle="1" w:styleId="glavnitekst">
    <w:name w:val="glavni_tekst"/>
    <w:basedOn w:val="Normal"/>
    <w:pPr>
      <w:spacing w:before="100" w:beforeAutospacing="1" w:after="100" w:afterAutospacing="1"/>
    </w:pPr>
    <w:rPr>
      <w:rFonts w:ascii="Arial" w:eastAsia="Arial Unicode MS" w:hAnsi="Arial" w:cs="Arial"/>
      <w:b/>
      <w:bCs/>
      <w:color w:val="01567E"/>
      <w:sz w:val="20"/>
      <w:szCs w:val="20"/>
    </w:rPr>
  </w:style>
  <w:style w:type="paragraph" w:styleId="Tablicaslika">
    <w:name w:val="table of figures"/>
    <w:aliases w:val="Grafikon"/>
    <w:basedOn w:val="Normal"/>
    <w:next w:val="Normal"/>
    <w:semiHidden/>
    <w:pPr>
      <w:ind w:left="480" w:hanging="480"/>
    </w:pPr>
  </w:style>
  <w:style w:type="paragraph" w:customStyle="1" w:styleId="xl24">
    <w:name w:val="xl24"/>
    <w:basedOn w:val="Normal"/>
    <w:pPr>
      <w:pBdr>
        <w:top w:val="single" w:sz="12" w:space="0" w:color="auto"/>
        <w:left w:val="single" w:sz="12" w:space="0" w:color="auto"/>
      </w:pBdr>
      <w:spacing w:before="100" w:beforeAutospacing="1" w:after="100" w:afterAutospacing="1"/>
    </w:pPr>
    <w:rPr>
      <w:rFonts w:ascii="Arial Unicode MS" w:hAnsi="Arial Unicode MS"/>
    </w:rPr>
  </w:style>
  <w:style w:type="paragraph" w:customStyle="1" w:styleId="xl25">
    <w:name w:val="xl25"/>
    <w:basedOn w:val="Normal"/>
    <w:pPr>
      <w:pBdr>
        <w:top w:val="single" w:sz="12" w:space="0" w:color="auto"/>
        <w:left w:val="single" w:sz="8" w:space="0" w:color="auto"/>
        <w:right w:val="single" w:sz="8" w:space="0" w:color="auto"/>
      </w:pBdr>
      <w:spacing w:before="100" w:beforeAutospacing="1" w:after="100" w:afterAutospacing="1"/>
      <w:jc w:val="center"/>
    </w:pPr>
    <w:rPr>
      <w:rFonts w:ascii="Arial Unicode MS" w:hAnsi="Arial Unicode MS"/>
    </w:rPr>
  </w:style>
  <w:style w:type="paragraph" w:customStyle="1" w:styleId="xl26">
    <w:name w:val="xl26"/>
    <w:basedOn w:val="Normal"/>
    <w:pPr>
      <w:pBdr>
        <w:top w:val="single" w:sz="12" w:space="0" w:color="auto"/>
        <w:right w:val="single" w:sz="8" w:space="0" w:color="auto"/>
      </w:pBdr>
      <w:spacing w:before="100" w:beforeAutospacing="1" w:after="100" w:afterAutospacing="1"/>
      <w:jc w:val="center"/>
    </w:pPr>
    <w:rPr>
      <w:rFonts w:ascii="Arial Unicode MS" w:hAnsi="Arial Unicode MS"/>
    </w:rPr>
  </w:style>
  <w:style w:type="paragraph" w:customStyle="1" w:styleId="xl27">
    <w:name w:val="xl27"/>
    <w:basedOn w:val="Normal"/>
    <w:pPr>
      <w:pBdr>
        <w:top w:val="single" w:sz="12" w:space="0" w:color="auto"/>
        <w:left w:val="single" w:sz="4" w:space="0" w:color="auto"/>
        <w:bottom w:val="single" w:sz="8" w:space="0" w:color="auto"/>
      </w:pBdr>
      <w:spacing w:before="100" w:beforeAutospacing="1" w:after="100" w:afterAutospacing="1"/>
    </w:pPr>
    <w:rPr>
      <w:rFonts w:ascii="Arial Unicode MS" w:hAnsi="Arial Unicode MS"/>
    </w:rPr>
  </w:style>
  <w:style w:type="paragraph" w:customStyle="1" w:styleId="xl28">
    <w:name w:val="xl28"/>
    <w:basedOn w:val="Normal"/>
    <w:pPr>
      <w:pBdr>
        <w:top w:val="single" w:sz="12" w:space="0" w:color="auto"/>
        <w:bottom w:val="single" w:sz="8" w:space="0" w:color="auto"/>
      </w:pBdr>
      <w:spacing w:before="100" w:beforeAutospacing="1" w:after="100" w:afterAutospacing="1"/>
    </w:pPr>
    <w:rPr>
      <w:rFonts w:ascii="Arial Unicode MS" w:hAnsi="Arial Unicode MS"/>
    </w:rPr>
  </w:style>
  <w:style w:type="paragraph" w:customStyle="1" w:styleId="xl29">
    <w:name w:val="xl29"/>
    <w:basedOn w:val="Normal"/>
    <w:pPr>
      <w:pBdr>
        <w:top w:val="single" w:sz="12" w:space="0" w:color="auto"/>
        <w:left w:val="single" w:sz="8" w:space="0" w:color="auto"/>
      </w:pBdr>
      <w:spacing w:before="100" w:beforeAutospacing="1" w:after="100" w:afterAutospacing="1"/>
    </w:pPr>
    <w:rPr>
      <w:rFonts w:ascii="Arial Unicode MS" w:hAnsi="Arial Unicode MS"/>
    </w:rPr>
  </w:style>
  <w:style w:type="paragraph" w:customStyle="1" w:styleId="xl30">
    <w:name w:val="xl30"/>
    <w:basedOn w:val="Normal"/>
    <w:pPr>
      <w:pBdr>
        <w:left w:val="single" w:sz="12" w:space="0" w:color="auto"/>
        <w:bottom w:val="single" w:sz="8" w:space="0" w:color="auto"/>
      </w:pBdr>
      <w:spacing w:before="100" w:beforeAutospacing="1" w:after="100" w:afterAutospacing="1"/>
      <w:jc w:val="center"/>
    </w:pPr>
    <w:rPr>
      <w:rFonts w:ascii="Arial Unicode MS" w:hAnsi="Arial Unicode MS"/>
    </w:rPr>
  </w:style>
  <w:style w:type="paragraph" w:customStyle="1" w:styleId="xl31">
    <w:name w:val="xl31"/>
    <w:basedOn w:val="Normal"/>
    <w:pPr>
      <w:pBdr>
        <w:left w:val="single" w:sz="8" w:space="0" w:color="auto"/>
        <w:bottom w:val="single" w:sz="8" w:space="0" w:color="auto"/>
        <w:right w:val="single" w:sz="8" w:space="0" w:color="auto"/>
      </w:pBdr>
      <w:spacing w:before="100" w:beforeAutospacing="1" w:after="100" w:afterAutospacing="1"/>
      <w:jc w:val="center"/>
    </w:pPr>
    <w:rPr>
      <w:rFonts w:ascii="Arial Unicode MS" w:hAnsi="Arial Unicode MS"/>
    </w:rPr>
  </w:style>
  <w:style w:type="paragraph" w:customStyle="1" w:styleId="xl32">
    <w:name w:val="xl32"/>
    <w:basedOn w:val="Normal"/>
    <w:pPr>
      <w:pBdr>
        <w:bottom w:val="single" w:sz="8" w:space="0" w:color="auto"/>
        <w:right w:val="single" w:sz="8" w:space="0" w:color="auto"/>
      </w:pBdr>
      <w:spacing w:before="100" w:beforeAutospacing="1" w:after="100" w:afterAutospacing="1"/>
      <w:jc w:val="center"/>
    </w:pPr>
    <w:rPr>
      <w:rFonts w:ascii="Arial Unicode MS" w:hAnsi="Arial Unicode MS"/>
    </w:rPr>
  </w:style>
  <w:style w:type="paragraph" w:customStyle="1" w:styleId="xl33">
    <w:name w:val="xl33"/>
    <w:basedOn w:val="Normal"/>
    <w:pPr>
      <w:pBdr>
        <w:left w:val="single" w:sz="4" w:space="0" w:color="auto"/>
        <w:bottom w:val="single" w:sz="8" w:space="0" w:color="auto"/>
        <w:right w:val="single" w:sz="4" w:space="0" w:color="auto"/>
      </w:pBdr>
      <w:spacing w:before="100" w:beforeAutospacing="1" w:after="100" w:afterAutospacing="1"/>
    </w:pPr>
    <w:rPr>
      <w:rFonts w:ascii="Arial Unicode MS" w:hAnsi="Arial Unicode MS"/>
    </w:rPr>
  </w:style>
  <w:style w:type="paragraph" w:customStyle="1" w:styleId="xl34">
    <w:name w:val="xl34"/>
    <w:basedOn w:val="Normal"/>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Unicode MS" w:hAnsi="Arial Unicode MS"/>
    </w:rPr>
  </w:style>
  <w:style w:type="paragraph" w:customStyle="1" w:styleId="xl35">
    <w:name w:val="xl35"/>
    <w:basedOn w:val="Normal"/>
    <w:pPr>
      <w:pBdr>
        <w:left w:val="single" w:sz="12" w:space="0" w:color="auto"/>
        <w:right w:val="single" w:sz="8" w:space="0" w:color="auto"/>
      </w:pBdr>
      <w:spacing w:before="100" w:beforeAutospacing="1" w:after="100" w:afterAutospacing="1"/>
      <w:jc w:val="center"/>
    </w:pPr>
    <w:rPr>
      <w:rFonts w:ascii="Arial Unicode MS" w:hAnsi="Arial Unicode MS"/>
    </w:rPr>
  </w:style>
  <w:style w:type="paragraph" w:customStyle="1" w:styleId="xl36">
    <w:name w:val="xl36"/>
    <w:basedOn w:val="Normal"/>
    <w:pPr>
      <w:pBdr>
        <w:left w:val="single" w:sz="4" w:space="0" w:color="auto"/>
        <w:right w:val="single" w:sz="4" w:space="0" w:color="auto"/>
      </w:pBdr>
      <w:spacing w:before="100" w:beforeAutospacing="1" w:after="100" w:afterAutospacing="1"/>
    </w:pPr>
    <w:rPr>
      <w:rFonts w:ascii="Arial Unicode MS" w:hAnsi="Arial Unicode MS"/>
    </w:rPr>
  </w:style>
  <w:style w:type="paragraph" w:customStyle="1" w:styleId="xl37">
    <w:name w:val="xl37"/>
    <w:basedOn w:val="Normal"/>
    <w:pPr>
      <w:pBdr>
        <w:top w:val="single" w:sz="4" w:space="0" w:color="auto"/>
        <w:left w:val="single" w:sz="12" w:space="0" w:color="auto"/>
        <w:bottom w:val="single" w:sz="4" w:space="0" w:color="auto"/>
        <w:right w:val="single" w:sz="8" w:space="0" w:color="auto"/>
      </w:pBdr>
      <w:spacing w:before="100" w:beforeAutospacing="1" w:after="100" w:afterAutospacing="1"/>
      <w:jc w:val="center"/>
    </w:pPr>
    <w:rPr>
      <w:rFonts w:ascii="Arial Unicode MS" w:hAnsi="Arial Unicode MS"/>
    </w:rPr>
  </w:style>
  <w:style w:type="paragraph" w:customStyle="1" w:styleId="xl38">
    <w:name w:val="xl3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hAnsi="Arial Unicode MS"/>
    </w:rPr>
  </w:style>
  <w:style w:type="paragraph" w:customStyle="1" w:styleId="xl39">
    <w:name w:val="xl39"/>
    <w:basedOn w:val="Normal"/>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Unicode MS" w:hAnsi="Arial Unicode MS"/>
    </w:rPr>
  </w:style>
  <w:style w:type="paragraph" w:customStyle="1" w:styleId="xl40">
    <w:name w:val="xl40"/>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hAnsi="Arial Unicode MS"/>
    </w:rPr>
  </w:style>
  <w:style w:type="paragraph" w:customStyle="1" w:styleId="xl41">
    <w:name w:val="xl41"/>
    <w:basedOn w:val="Normal"/>
    <w:pPr>
      <w:pBdr>
        <w:top w:val="single" w:sz="4" w:space="0" w:color="auto"/>
        <w:left w:val="single" w:sz="8" w:space="0" w:color="auto"/>
        <w:bottom w:val="single" w:sz="4" w:space="0" w:color="auto"/>
        <w:right w:val="single" w:sz="8" w:space="0" w:color="auto"/>
      </w:pBdr>
      <w:spacing w:before="100" w:beforeAutospacing="1" w:after="100" w:afterAutospacing="1"/>
      <w:jc w:val="right"/>
    </w:pPr>
    <w:rPr>
      <w:rFonts w:ascii="Arial Unicode MS" w:hAnsi="Arial Unicode MS"/>
    </w:rPr>
  </w:style>
  <w:style w:type="paragraph" w:customStyle="1" w:styleId="xl42">
    <w:name w:val="xl4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hAnsi="Arial Unicode MS"/>
    </w:rPr>
  </w:style>
  <w:style w:type="paragraph" w:customStyle="1" w:styleId="xl43">
    <w:name w:val="xl43"/>
    <w:basedOn w:val="Normal"/>
    <w:pPr>
      <w:pBdr>
        <w:left w:val="single" w:sz="8" w:space="0" w:color="auto"/>
        <w:bottom w:val="single" w:sz="12" w:space="0" w:color="auto"/>
        <w:right w:val="single" w:sz="8" w:space="0" w:color="auto"/>
      </w:pBdr>
      <w:spacing w:before="100" w:beforeAutospacing="1" w:after="100" w:afterAutospacing="1"/>
    </w:pPr>
    <w:rPr>
      <w:rFonts w:ascii="Arial Unicode MS" w:hAnsi="Arial Unicode MS"/>
    </w:rPr>
  </w:style>
  <w:style w:type="paragraph" w:customStyle="1" w:styleId="xl44">
    <w:name w:val="xl44"/>
    <w:basedOn w:val="Normal"/>
    <w:pPr>
      <w:pBdr>
        <w:left w:val="single" w:sz="4" w:space="0" w:color="auto"/>
        <w:bottom w:val="single" w:sz="12" w:space="0" w:color="auto"/>
        <w:right w:val="single" w:sz="4" w:space="0" w:color="auto"/>
      </w:pBdr>
      <w:spacing w:before="100" w:beforeAutospacing="1" w:after="100" w:afterAutospacing="1"/>
    </w:pPr>
    <w:rPr>
      <w:rFonts w:ascii="Arial Unicode MS" w:hAnsi="Arial Unicode MS"/>
    </w:rPr>
  </w:style>
  <w:style w:type="paragraph" w:customStyle="1" w:styleId="xl45">
    <w:name w:val="xl45"/>
    <w:basedOn w:val="Normal"/>
    <w:pPr>
      <w:pBdr>
        <w:left w:val="single" w:sz="12" w:space="0" w:color="auto"/>
      </w:pBdr>
      <w:spacing w:before="100" w:beforeAutospacing="1" w:after="100" w:afterAutospacing="1"/>
      <w:jc w:val="center"/>
    </w:pPr>
    <w:rPr>
      <w:rFonts w:ascii="Arial Unicode MS" w:hAnsi="Arial Unicode MS"/>
    </w:rPr>
  </w:style>
  <w:style w:type="paragraph" w:customStyle="1" w:styleId="xl46">
    <w:name w:val="xl46"/>
    <w:basedOn w:val="Normal"/>
    <w:pPr>
      <w:pBdr>
        <w:right w:val="single" w:sz="8" w:space="0" w:color="auto"/>
      </w:pBdr>
      <w:spacing w:before="100" w:beforeAutospacing="1" w:after="100" w:afterAutospacing="1"/>
      <w:jc w:val="center"/>
    </w:pPr>
    <w:rPr>
      <w:rFonts w:ascii="Arial Unicode MS" w:hAnsi="Arial Unicode MS"/>
    </w:rPr>
  </w:style>
  <w:style w:type="paragraph" w:customStyle="1" w:styleId="xl47">
    <w:name w:val="xl47"/>
    <w:basedOn w:val="Normal"/>
    <w:pPr>
      <w:pBdr>
        <w:left w:val="single" w:sz="8" w:space="0" w:color="auto"/>
        <w:right w:val="single" w:sz="8" w:space="0" w:color="auto"/>
      </w:pBdr>
      <w:spacing w:before="100" w:beforeAutospacing="1" w:after="100" w:afterAutospacing="1"/>
      <w:jc w:val="center"/>
    </w:pPr>
    <w:rPr>
      <w:rFonts w:ascii="Arial Unicode MS" w:hAnsi="Arial Unicode MS"/>
    </w:rPr>
  </w:style>
  <w:style w:type="paragraph" w:customStyle="1" w:styleId="xl48">
    <w:name w:val="xl48"/>
    <w:basedOn w:val="Normal"/>
    <w:pPr>
      <w:pBdr>
        <w:right w:val="single" w:sz="4" w:space="0" w:color="auto"/>
      </w:pBdr>
      <w:spacing w:before="100" w:beforeAutospacing="1" w:after="100" w:afterAutospacing="1"/>
      <w:jc w:val="center"/>
    </w:pPr>
    <w:rPr>
      <w:rFonts w:ascii="Arial Unicode MS" w:hAnsi="Arial Unicode MS"/>
    </w:rPr>
  </w:style>
  <w:style w:type="paragraph" w:customStyle="1" w:styleId="xl49">
    <w:name w:val="xl49"/>
    <w:basedOn w:val="Normal"/>
    <w:pPr>
      <w:pBdr>
        <w:top w:val="single" w:sz="8" w:space="0" w:color="auto"/>
        <w:left w:val="single" w:sz="8" w:space="0" w:color="auto"/>
        <w:right w:val="single" w:sz="8" w:space="0" w:color="auto"/>
      </w:pBdr>
      <w:spacing w:before="100" w:beforeAutospacing="1" w:after="100" w:afterAutospacing="1"/>
      <w:jc w:val="right"/>
    </w:pPr>
    <w:rPr>
      <w:rFonts w:ascii="Arial Unicode MS" w:hAnsi="Arial Unicode MS"/>
    </w:rPr>
  </w:style>
  <w:style w:type="paragraph" w:customStyle="1" w:styleId="xl50">
    <w:name w:val="xl50"/>
    <w:basedOn w:val="Normal"/>
    <w:pPr>
      <w:pBdr>
        <w:left w:val="single" w:sz="8" w:space="0" w:color="auto"/>
        <w:right w:val="single" w:sz="12" w:space="0" w:color="auto"/>
      </w:pBdr>
      <w:spacing w:before="100" w:beforeAutospacing="1" w:after="100" w:afterAutospacing="1"/>
      <w:jc w:val="center"/>
    </w:pPr>
    <w:rPr>
      <w:rFonts w:ascii="Arial Unicode MS" w:hAnsi="Arial Unicode MS"/>
    </w:rPr>
  </w:style>
  <w:style w:type="paragraph" w:customStyle="1" w:styleId="xl51">
    <w:name w:val="xl51"/>
    <w:basedOn w:val="Normal"/>
    <w:pPr>
      <w:pBdr>
        <w:top w:val="single" w:sz="4" w:space="0" w:color="auto"/>
        <w:left w:val="single" w:sz="12" w:space="0" w:color="auto"/>
      </w:pBdr>
      <w:spacing w:before="100" w:beforeAutospacing="1" w:after="100" w:afterAutospacing="1"/>
      <w:jc w:val="center"/>
    </w:pPr>
    <w:rPr>
      <w:rFonts w:ascii="Arial Unicode MS" w:hAnsi="Arial Unicode MS"/>
    </w:rPr>
  </w:style>
  <w:style w:type="paragraph" w:customStyle="1" w:styleId="xl52">
    <w:name w:val="xl52"/>
    <w:basedOn w:val="Normal"/>
    <w:pPr>
      <w:pBdr>
        <w:top w:val="single" w:sz="4" w:space="0" w:color="auto"/>
        <w:left w:val="single" w:sz="8" w:space="0" w:color="auto"/>
        <w:right w:val="single" w:sz="8" w:space="0" w:color="auto"/>
      </w:pBdr>
      <w:spacing w:before="100" w:beforeAutospacing="1" w:after="100" w:afterAutospacing="1"/>
      <w:jc w:val="right"/>
    </w:pPr>
    <w:rPr>
      <w:rFonts w:ascii="Arial Unicode MS" w:hAnsi="Arial Unicode MS"/>
    </w:rPr>
  </w:style>
  <w:style w:type="paragraph" w:customStyle="1" w:styleId="xl53">
    <w:name w:val="xl53"/>
    <w:basedOn w:val="Normal"/>
    <w:pPr>
      <w:pBdr>
        <w:top w:val="single" w:sz="4" w:space="0" w:color="auto"/>
        <w:right w:val="single" w:sz="8" w:space="0" w:color="auto"/>
      </w:pBdr>
      <w:spacing w:before="100" w:beforeAutospacing="1" w:after="100" w:afterAutospacing="1"/>
      <w:jc w:val="right"/>
    </w:pPr>
    <w:rPr>
      <w:rFonts w:ascii="Arial Unicode MS" w:hAnsi="Arial Unicode MS"/>
    </w:rPr>
  </w:style>
  <w:style w:type="paragraph" w:customStyle="1" w:styleId="xl54">
    <w:name w:val="xl54"/>
    <w:basedOn w:val="Normal"/>
    <w:pPr>
      <w:pBdr>
        <w:top w:val="single" w:sz="4" w:space="0" w:color="auto"/>
        <w:left w:val="single" w:sz="4" w:space="0" w:color="auto"/>
        <w:right w:val="single" w:sz="4" w:space="0" w:color="auto"/>
      </w:pBdr>
      <w:spacing w:before="100" w:beforeAutospacing="1" w:after="100" w:afterAutospacing="1"/>
    </w:pPr>
    <w:rPr>
      <w:rFonts w:ascii="Arial Unicode MS" w:hAnsi="Arial Unicode MS"/>
    </w:rPr>
  </w:style>
  <w:style w:type="paragraph" w:customStyle="1" w:styleId="xl55">
    <w:name w:val="xl55"/>
    <w:basedOn w:val="Normal"/>
    <w:pPr>
      <w:pBdr>
        <w:top w:val="single" w:sz="4" w:space="0" w:color="auto"/>
        <w:left w:val="single" w:sz="8" w:space="0" w:color="auto"/>
        <w:right w:val="single" w:sz="8" w:space="0" w:color="auto"/>
      </w:pBdr>
      <w:spacing w:before="100" w:beforeAutospacing="1" w:after="100" w:afterAutospacing="1"/>
      <w:jc w:val="right"/>
    </w:pPr>
    <w:rPr>
      <w:rFonts w:ascii="Arial Unicode MS" w:hAnsi="Arial Unicode MS"/>
    </w:rPr>
  </w:style>
  <w:style w:type="paragraph" w:customStyle="1" w:styleId="xl56">
    <w:name w:val="xl56"/>
    <w:basedOn w:val="Normal"/>
    <w:pPr>
      <w:pBdr>
        <w:top w:val="single" w:sz="4" w:space="0" w:color="auto"/>
        <w:right w:val="single" w:sz="4" w:space="0" w:color="auto"/>
      </w:pBdr>
      <w:spacing w:before="100" w:beforeAutospacing="1" w:after="100" w:afterAutospacing="1"/>
      <w:jc w:val="right"/>
    </w:pPr>
    <w:rPr>
      <w:rFonts w:ascii="Arial Unicode MS" w:hAnsi="Arial Unicode MS"/>
    </w:rPr>
  </w:style>
  <w:style w:type="paragraph" w:customStyle="1" w:styleId="xl57">
    <w:name w:val="xl57"/>
    <w:basedOn w:val="Normal"/>
    <w:pPr>
      <w:pBdr>
        <w:top w:val="single" w:sz="4" w:space="0" w:color="auto"/>
        <w:left w:val="single" w:sz="8" w:space="0" w:color="auto"/>
        <w:right w:val="single" w:sz="12" w:space="0" w:color="auto"/>
      </w:pBdr>
      <w:spacing w:before="100" w:beforeAutospacing="1" w:after="100" w:afterAutospacing="1"/>
      <w:jc w:val="right"/>
    </w:pPr>
    <w:rPr>
      <w:rFonts w:ascii="Arial Unicode MS" w:hAnsi="Arial Unicode MS"/>
    </w:rPr>
  </w:style>
  <w:style w:type="paragraph" w:customStyle="1" w:styleId="xl58">
    <w:name w:val="xl58"/>
    <w:basedOn w:val="Normal"/>
    <w:pPr>
      <w:pBdr>
        <w:top w:val="single" w:sz="4" w:space="0" w:color="auto"/>
        <w:left w:val="single" w:sz="12" w:space="0" w:color="auto"/>
        <w:bottom w:val="single" w:sz="4" w:space="0" w:color="auto"/>
      </w:pBdr>
      <w:spacing w:before="100" w:beforeAutospacing="1" w:after="100" w:afterAutospacing="1"/>
      <w:jc w:val="center"/>
    </w:pPr>
    <w:rPr>
      <w:rFonts w:ascii="Arial Unicode MS" w:hAnsi="Arial Unicode MS"/>
    </w:rPr>
  </w:style>
  <w:style w:type="paragraph" w:customStyle="1" w:styleId="xl59">
    <w:name w:val="xl59"/>
    <w:basedOn w:val="Normal"/>
    <w:pPr>
      <w:pBdr>
        <w:top w:val="single" w:sz="4" w:space="0" w:color="auto"/>
        <w:left w:val="single" w:sz="8" w:space="0" w:color="auto"/>
        <w:bottom w:val="single" w:sz="4" w:space="0" w:color="auto"/>
        <w:right w:val="single" w:sz="8" w:space="0" w:color="auto"/>
      </w:pBdr>
      <w:spacing w:before="100" w:beforeAutospacing="1" w:after="100" w:afterAutospacing="1"/>
      <w:jc w:val="right"/>
    </w:pPr>
    <w:rPr>
      <w:rFonts w:ascii="Arial Unicode MS" w:hAnsi="Arial Unicode MS"/>
    </w:rPr>
  </w:style>
  <w:style w:type="paragraph" w:customStyle="1" w:styleId="xl60">
    <w:name w:val="xl60"/>
    <w:basedOn w:val="Normal"/>
    <w:pPr>
      <w:pBdr>
        <w:top w:val="single" w:sz="4" w:space="0" w:color="auto"/>
        <w:bottom w:val="single" w:sz="4" w:space="0" w:color="auto"/>
        <w:right w:val="single" w:sz="4" w:space="0" w:color="auto"/>
      </w:pBdr>
      <w:spacing w:before="100" w:beforeAutospacing="1" w:after="100" w:afterAutospacing="1"/>
      <w:jc w:val="right"/>
    </w:pPr>
    <w:rPr>
      <w:rFonts w:ascii="Arial Unicode MS" w:hAnsi="Arial Unicode MS"/>
    </w:rPr>
  </w:style>
  <w:style w:type="paragraph" w:customStyle="1" w:styleId="xl61">
    <w:name w:val="xl61"/>
    <w:basedOn w:val="Normal"/>
    <w:pPr>
      <w:pBdr>
        <w:top w:val="single" w:sz="4" w:space="0" w:color="auto"/>
        <w:left w:val="single" w:sz="8" w:space="0" w:color="auto"/>
        <w:bottom w:val="single" w:sz="4" w:space="0" w:color="auto"/>
        <w:right w:val="single" w:sz="12" w:space="0" w:color="auto"/>
      </w:pBdr>
      <w:spacing w:before="100" w:beforeAutospacing="1" w:after="100" w:afterAutospacing="1"/>
      <w:jc w:val="right"/>
    </w:pPr>
    <w:rPr>
      <w:rFonts w:ascii="Arial Unicode MS" w:hAnsi="Arial Unicode MS"/>
    </w:rPr>
  </w:style>
  <w:style w:type="paragraph" w:customStyle="1" w:styleId="xl62">
    <w:name w:val="xl62"/>
    <w:basedOn w:val="Normal"/>
    <w:pPr>
      <w:pBdr>
        <w:top w:val="single" w:sz="4" w:space="0" w:color="auto"/>
        <w:bottom w:val="single" w:sz="4" w:space="0" w:color="auto"/>
        <w:right w:val="single" w:sz="4" w:space="0" w:color="auto"/>
      </w:pBdr>
      <w:spacing w:before="100" w:beforeAutospacing="1" w:after="100" w:afterAutospacing="1"/>
      <w:jc w:val="right"/>
    </w:pPr>
    <w:rPr>
      <w:rFonts w:ascii="Arial Unicode MS" w:hAnsi="Arial Unicode MS"/>
    </w:rPr>
  </w:style>
  <w:style w:type="paragraph" w:customStyle="1" w:styleId="xl63">
    <w:name w:val="xl63"/>
    <w:basedOn w:val="Normal"/>
    <w:pPr>
      <w:pBdr>
        <w:left w:val="single" w:sz="12" w:space="0" w:color="auto"/>
        <w:bottom w:val="single" w:sz="4" w:space="0" w:color="auto"/>
      </w:pBdr>
      <w:spacing w:before="100" w:beforeAutospacing="1" w:after="100" w:afterAutospacing="1"/>
      <w:jc w:val="center"/>
    </w:pPr>
    <w:rPr>
      <w:rFonts w:ascii="Arial Unicode MS" w:hAnsi="Arial Unicode MS"/>
    </w:rPr>
  </w:style>
  <w:style w:type="paragraph" w:customStyle="1" w:styleId="xl64">
    <w:name w:val="xl64"/>
    <w:basedOn w:val="Normal"/>
    <w:pPr>
      <w:pBdr>
        <w:left w:val="single" w:sz="8" w:space="0" w:color="auto"/>
        <w:bottom w:val="single" w:sz="4" w:space="0" w:color="auto"/>
        <w:right w:val="single" w:sz="8" w:space="0" w:color="auto"/>
      </w:pBdr>
      <w:spacing w:before="100" w:beforeAutospacing="1" w:after="100" w:afterAutospacing="1"/>
      <w:jc w:val="right"/>
    </w:pPr>
    <w:rPr>
      <w:rFonts w:ascii="Arial Unicode MS" w:hAnsi="Arial Unicode MS"/>
    </w:rPr>
  </w:style>
  <w:style w:type="paragraph" w:customStyle="1" w:styleId="xl65">
    <w:name w:val="xl65"/>
    <w:basedOn w:val="Normal"/>
    <w:pPr>
      <w:pBdr>
        <w:bottom w:val="single" w:sz="4" w:space="0" w:color="auto"/>
        <w:right w:val="single" w:sz="4" w:space="0" w:color="auto"/>
      </w:pBdr>
      <w:spacing w:before="100" w:beforeAutospacing="1" w:after="100" w:afterAutospacing="1"/>
      <w:jc w:val="right"/>
    </w:pPr>
    <w:rPr>
      <w:rFonts w:ascii="Arial Unicode MS" w:hAnsi="Arial Unicode MS"/>
    </w:rPr>
  </w:style>
  <w:style w:type="paragraph" w:customStyle="1" w:styleId="xl66">
    <w:name w:val="xl66"/>
    <w:basedOn w:val="Normal"/>
    <w:pPr>
      <w:pBdr>
        <w:left w:val="single" w:sz="8" w:space="0" w:color="auto"/>
        <w:bottom w:val="single" w:sz="4" w:space="0" w:color="auto"/>
        <w:right w:val="single" w:sz="12" w:space="0" w:color="auto"/>
      </w:pBdr>
      <w:spacing w:before="100" w:beforeAutospacing="1" w:after="100" w:afterAutospacing="1"/>
      <w:jc w:val="right"/>
    </w:pPr>
    <w:rPr>
      <w:rFonts w:ascii="Arial Unicode MS" w:hAnsi="Arial Unicode MS"/>
    </w:rPr>
  </w:style>
  <w:style w:type="paragraph" w:customStyle="1" w:styleId="xl67">
    <w:name w:val="xl67"/>
    <w:basedOn w:val="Normal"/>
    <w:pPr>
      <w:pBdr>
        <w:left w:val="single" w:sz="4" w:space="0" w:color="auto"/>
      </w:pBdr>
      <w:spacing w:before="100" w:beforeAutospacing="1" w:after="100" w:afterAutospacing="1"/>
      <w:jc w:val="right"/>
    </w:pPr>
    <w:rPr>
      <w:rFonts w:ascii="Arial Unicode MS" w:hAnsi="Arial Unicode MS"/>
    </w:rPr>
  </w:style>
  <w:style w:type="paragraph" w:customStyle="1" w:styleId="xl68">
    <w:name w:val="xl68"/>
    <w:basedOn w:val="Normal"/>
    <w:pPr>
      <w:pBdr>
        <w:left w:val="single" w:sz="4" w:space="0" w:color="auto"/>
        <w:right w:val="single" w:sz="4" w:space="0" w:color="auto"/>
      </w:pBdr>
      <w:spacing w:before="100" w:beforeAutospacing="1" w:after="100" w:afterAutospacing="1"/>
      <w:jc w:val="right"/>
    </w:pPr>
    <w:rPr>
      <w:rFonts w:ascii="Arial Unicode MS" w:hAnsi="Arial Unicode MS"/>
    </w:rPr>
  </w:style>
  <w:style w:type="paragraph" w:customStyle="1" w:styleId="xl69">
    <w:name w:val="xl69"/>
    <w:basedOn w:val="Normal"/>
    <w:pPr>
      <w:pBdr>
        <w:left w:val="single" w:sz="8" w:space="0" w:color="auto"/>
        <w:right w:val="single" w:sz="12" w:space="0" w:color="auto"/>
      </w:pBdr>
      <w:spacing w:before="100" w:beforeAutospacing="1" w:after="100" w:afterAutospacing="1"/>
      <w:jc w:val="right"/>
    </w:pPr>
    <w:rPr>
      <w:rFonts w:ascii="Arial Unicode MS" w:hAnsi="Arial Unicode MS"/>
    </w:rPr>
  </w:style>
  <w:style w:type="paragraph" w:customStyle="1" w:styleId="xl70">
    <w:name w:val="xl70"/>
    <w:basedOn w:val="Normal"/>
    <w:pPr>
      <w:pBdr>
        <w:top w:val="single" w:sz="12" w:space="0" w:color="auto"/>
        <w:left w:val="single" w:sz="12" w:space="0" w:color="auto"/>
        <w:right w:val="single" w:sz="12" w:space="0" w:color="auto"/>
      </w:pBdr>
      <w:spacing w:before="100" w:beforeAutospacing="1" w:after="100" w:afterAutospacing="1"/>
    </w:pPr>
    <w:rPr>
      <w:rFonts w:ascii="Arial Unicode MS" w:hAnsi="Arial Unicode MS"/>
    </w:rPr>
  </w:style>
  <w:style w:type="paragraph" w:customStyle="1" w:styleId="xl71">
    <w:name w:val="xl71"/>
    <w:basedOn w:val="Normal"/>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Arial Unicode MS" w:hAnsi="Arial Unicode MS"/>
    </w:rPr>
  </w:style>
  <w:style w:type="paragraph" w:customStyle="1" w:styleId="xl72">
    <w:name w:val="xl72"/>
    <w:basedOn w:val="Normal"/>
    <w:pPr>
      <w:pBdr>
        <w:left w:val="single" w:sz="12" w:space="0" w:color="auto"/>
        <w:bottom w:val="single" w:sz="12" w:space="0" w:color="auto"/>
        <w:right w:val="single" w:sz="8" w:space="0" w:color="auto"/>
      </w:pBdr>
      <w:spacing w:before="100" w:beforeAutospacing="1" w:after="100" w:afterAutospacing="1"/>
      <w:jc w:val="center"/>
    </w:pPr>
    <w:rPr>
      <w:rFonts w:ascii="Arial Unicode MS" w:hAnsi="Arial Unicode MS"/>
    </w:rPr>
  </w:style>
  <w:style w:type="paragraph" w:customStyle="1" w:styleId="xl73">
    <w:name w:val="xl73"/>
    <w:basedOn w:val="Normal"/>
    <w:pPr>
      <w:pBdr>
        <w:left w:val="single" w:sz="4" w:space="0" w:color="auto"/>
        <w:bottom w:val="single" w:sz="12" w:space="0" w:color="auto"/>
        <w:right w:val="single" w:sz="4" w:space="0" w:color="auto"/>
      </w:pBdr>
      <w:spacing w:before="100" w:beforeAutospacing="1" w:after="100" w:afterAutospacing="1"/>
    </w:pPr>
    <w:rPr>
      <w:rFonts w:ascii="Arial Unicode MS" w:hAnsi="Arial Unicode MS"/>
    </w:rPr>
  </w:style>
  <w:style w:type="paragraph" w:customStyle="1" w:styleId="xl74">
    <w:name w:val="xl74"/>
    <w:basedOn w:val="Normal"/>
    <w:pPr>
      <w:pBdr>
        <w:left w:val="single" w:sz="8" w:space="0" w:color="auto"/>
        <w:bottom w:val="single" w:sz="12" w:space="0" w:color="auto"/>
        <w:right w:val="single" w:sz="8" w:space="0" w:color="auto"/>
      </w:pBdr>
      <w:spacing w:before="100" w:beforeAutospacing="1" w:after="100" w:afterAutospacing="1"/>
      <w:jc w:val="right"/>
    </w:pPr>
    <w:rPr>
      <w:rFonts w:ascii="Arial Unicode MS" w:hAnsi="Arial Unicode MS"/>
    </w:rPr>
  </w:style>
  <w:style w:type="paragraph" w:customStyle="1" w:styleId="xl75">
    <w:name w:val="xl75"/>
    <w:basedOn w:val="Normal"/>
    <w:pPr>
      <w:pBdr>
        <w:left w:val="single" w:sz="4" w:space="0" w:color="auto"/>
        <w:bottom w:val="single" w:sz="12" w:space="0" w:color="auto"/>
        <w:right w:val="single" w:sz="4" w:space="0" w:color="auto"/>
      </w:pBdr>
      <w:spacing w:before="100" w:beforeAutospacing="1" w:after="100" w:afterAutospacing="1"/>
      <w:jc w:val="right"/>
    </w:pPr>
    <w:rPr>
      <w:rFonts w:ascii="Arial Unicode MS" w:hAnsi="Arial Unicode MS"/>
    </w:rPr>
  </w:style>
  <w:style w:type="paragraph" w:customStyle="1" w:styleId="xl76">
    <w:name w:val="xl76"/>
    <w:basedOn w:val="Normal"/>
    <w:pPr>
      <w:pBdr>
        <w:left w:val="single" w:sz="8" w:space="0" w:color="auto"/>
        <w:bottom w:val="single" w:sz="12" w:space="0" w:color="auto"/>
        <w:right w:val="single" w:sz="12" w:space="0" w:color="auto"/>
      </w:pBdr>
      <w:spacing w:before="100" w:beforeAutospacing="1" w:after="100" w:afterAutospacing="1"/>
      <w:jc w:val="right"/>
    </w:pPr>
    <w:rPr>
      <w:rFonts w:ascii="Arial Unicode MS" w:hAnsi="Arial Unicode MS"/>
    </w:rPr>
  </w:style>
  <w:style w:type="paragraph" w:styleId="Tijeloteksta-uvlaka3">
    <w:name w:val="Body Text Indent 3"/>
    <w:aliases w:val=" uvlaka 3"/>
    <w:basedOn w:val="Normal"/>
    <w:pPr>
      <w:ind w:left="708"/>
      <w:jc w:val="both"/>
    </w:pPr>
    <w:rPr>
      <w:rFonts w:ascii="Arial" w:hAnsi="Arial"/>
      <w:sz w:val="22"/>
    </w:rPr>
  </w:style>
  <w:style w:type="paragraph" w:customStyle="1" w:styleId="t-98-2">
    <w:name w:val="t-98-2"/>
    <w:basedOn w:val="Normal"/>
    <w:pPr>
      <w:autoSpaceDE w:val="0"/>
      <w:autoSpaceDN w:val="0"/>
      <w:spacing w:after="43"/>
      <w:ind w:firstLine="342"/>
      <w:jc w:val="both"/>
    </w:pPr>
    <w:rPr>
      <w:rFonts w:ascii="Times-NewRoman" w:hAnsi="Times-NewRoman"/>
      <w:sz w:val="19"/>
      <w:szCs w:val="19"/>
    </w:rPr>
  </w:style>
  <w:style w:type="paragraph" w:customStyle="1" w:styleId="mali-naslov-crni">
    <w:name w:val="mali-naslov-crni"/>
    <w:basedOn w:val="Normal"/>
    <w:pPr>
      <w:spacing w:before="100" w:beforeAutospacing="1" w:after="100" w:afterAutospacing="1"/>
    </w:pPr>
    <w:rPr>
      <w:rFonts w:ascii="Arial" w:eastAsia="Arial Unicode MS" w:hAnsi="Arial"/>
      <w:b/>
      <w:bCs/>
      <w:color w:val="000000"/>
      <w:sz w:val="18"/>
      <w:szCs w:val="18"/>
    </w:rPr>
  </w:style>
  <w:style w:type="character" w:customStyle="1" w:styleId="glavnitekst1">
    <w:name w:val="glavni_tekst1"/>
    <w:basedOn w:val="Zadanifontodlomka"/>
    <w:rPr>
      <w:rFonts w:ascii="Arial" w:hAnsi="Arial" w:cs="Arial" w:hint="default"/>
      <w:b/>
      <w:bCs/>
      <w:color w:val="01567E"/>
      <w:sz w:val="20"/>
      <w:szCs w:val="20"/>
    </w:rPr>
  </w:style>
  <w:style w:type="character" w:styleId="SlijeenaHiperveza">
    <w:name w:val="FollowedHyperlink"/>
    <w:basedOn w:val="Zadanifontodlomka"/>
    <w:rPr>
      <w:color w:val="800080"/>
      <w:u w:val="single"/>
    </w:rPr>
  </w:style>
  <w:style w:type="paragraph" w:customStyle="1" w:styleId="GLAVALIJEVA">
    <w:name w:val="GLAVA LIJEVA"/>
    <w:pPr>
      <w:widowControl w:val="0"/>
    </w:pPr>
    <w:rPr>
      <w:rFonts w:ascii="Courier" w:hAnsi="Courier"/>
      <w:snapToGrid w:val="0"/>
      <w:sz w:val="24"/>
      <w:lang w:val="en-US" w:eastAsia="en-US"/>
    </w:rPr>
  </w:style>
  <w:style w:type="table" w:styleId="Reetkatablice">
    <w:name w:val="Table Grid"/>
    <w:basedOn w:val="Obinatablica"/>
    <w:rsid w:val="006726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krajnjebiljeke">
    <w:name w:val="endnote text"/>
    <w:basedOn w:val="Normal"/>
    <w:semiHidden/>
    <w:rsid w:val="0067261B"/>
    <w:pPr>
      <w:widowControl w:val="0"/>
    </w:pPr>
    <w:rPr>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4042"/>
    <w:rPr>
      <w:sz w:val="24"/>
      <w:szCs w:val="24"/>
    </w:rPr>
  </w:style>
  <w:style w:type="paragraph" w:styleId="Naslov1">
    <w:name w:val="heading 1"/>
    <w:basedOn w:val="Normal"/>
    <w:next w:val="Normal"/>
    <w:qFormat/>
    <w:pPr>
      <w:keepNext/>
      <w:spacing w:before="240" w:after="60"/>
      <w:outlineLvl w:val="0"/>
    </w:pPr>
    <w:rPr>
      <w:rFonts w:ascii="Arial" w:hAnsi="Arial" w:cs="Arial"/>
      <w:b/>
      <w:bCs/>
      <w:kern w:val="32"/>
      <w:sz w:val="32"/>
      <w:szCs w:val="32"/>
    </w:rPr>
  </w:style>
  <w:style w:type="paragraph" w:styleId="Naslov2">
    <w:name w:val="heading 2"/>
    <w:basedOn w:val="Normal"/>
    <w:next w:val="Normal"/>
    <w:qFormat/>
    <w:pPr>
      <w:keepNext/>
      <w:spacing w:before="240" w:after="60"/>
      <w:outlineLvl w:val="1"/>
    </w:pPr>
    <w:rPr>
      <w:rFonts w:ascii="Arial" w:hAnsi="Arial" w:cs="Arial"/>
      <w:b/>
      <w:bCs/>
      <w:i/>
      <w:iCs/>
      <w:sz w:val="28"/>
      <w:szCs w:val="28"/>
    </w:rPr>
  </w:style>
  <w:style w:type="paragraph" w:styleId="Naslov3">
    <w:name w:val="heading 3"/>
    <w:basedOn w:val="Normal"/>
    <w:next w:val="Normal"/>
    <w:qFormat/>
    <w:pPr>
      <w:keepNext/>
      <w:spacing w:before="240" w:after="60"/>
      <w:outlineLvl w:val="2"/>
    </w:pPr>
    <w:rPr>
      <w:rFonts w:ascii="Arial" w:hAnsi="Arial" w:cs="Arial"/>
      <w:b/>
      <w:bCs/>
      <w:sz w:val="26"/>
      <w:szCs w:val="26"/>
    </w:rPr>
  </w:style>
  <w:style w:type="paragraph" w:styleId="Naslov4">
    <w:name w:val="heading 4"/>
    <w:basedOn w:val="Normal"/>
    <w:next w:val="Normal"/>
    <w:qFormat/>
    <w:pPr>
      <w:keepNext/>
      <w:spacing w:before="240" w:after="60"/>
      <w:outlineLvl w:val="3"/>
    </w:pPr>
    <w:rPr>
      <w:rFonts w:ascii="Arial" w:hAnsi="Arial"/>
      <w:b/>
      <w:szCs w:val="20"/>
      <w:lang w:val="en-AU"/>
    </w:rPr>
  </w:style>
  <w:style w:type="paragraph" w:styleId="Naslov5">
    <w:name w:val="heading 5"/>
    <w:basedOn w:val="Normal"/>
    <w:next w:val="Normal"/>
    <w:qFormat/>
    <w:pPr>
      <w:keepNext/>
      <w:jc w:val="center"/>
      <w:outlineLvl w:val="4"/>
    </w:pPr>
    <w:rPr>
      <w:rFonts w:ascii="Arial" w:hAnsi="Arial" w:cs="Arial"/>
      <w:b/>
      <w:bCs/>
      <w:sz w:val="20"/>
      <w:szCs w:val="20"/>
    </w:rPr>
  </w:style>
  <w:style w:type="paragraph" w:styleId="Naslov6">
    <w:name w:val="heading 6"/>
    <w:basedOn w:val="Normal"/>
    <w:next w:val="Normal"/>
    <w:qFormat/>
    <w:pPr>
      <w:keepNext/>
      <w:outlineLvl w:val="5"/>
    </w:pPr>
    <w:rPr>
      <w:rFonts w:ascii="Arial" w:hAnsi="Arial"/>
      <w:b/>
      <w:bCs/>
      <w:sz w:val="22"/>
    </w:rPr>
  </w:style>
  <w:style w:type="paragraph" w:styleId="Naslov7">
    <w:name w:val="heading 7"/>
    <w:basedOn w:val="Normal"/>
    <w:next w:val="Normal"/>
    <w:qFormat/>
    <w:pPr>
      <w:keepNext/>
      <w:jc w:val="both"/>
      <w:outlineLvl w:val="6"/>
    </w:pPr>
    <w:rPr>
      <w:rFonts w:ascii="Arial" w:hAnsi="Arial"/>
      <w:b/>
      <w:sz w:val="22"/>
      <w:szCs w:val="22"/>
    </w:rPr>
  </w:style>
  <w:style w:type="paragraph" w:styleId="Naslov8">
    <w:name w:val="heading 8"/>
    <w:basedOn w:val="Normal"/>
    <w:next w:val="Normal"/>
    <w:qFormat/>
    <w:pPr>
      <w:keepNext/>
      <w:spacing w:line="360" w:lineRule="auto"/>
      <w:jc w:val="center"/>
      <w:outlineLvl w:val="7"/>
    </w:pPr>
    <w:rPr>
      <w:b/>
      <w:sz w:val="32"/>
      <w:szCs w:val="32"/>
    </w:rPr>
  </w:style>
  <w:style w:type="paragraph" w:styleId="Naslov9">
    <w:name w:val="heading 9"/>
    <w:basedOn w:val="Normal"/>
    <w:next w:val="Normal"/>
    <w:qFormat/>
    <w:pPr>
      <w:keepNext/>
      <w:jc w:val="both"/>
      <w:outlineLvl w:val="8"/>
    </w:pPr>
    <w:rPr>
      <w:rFonts w:ascii="Arial" w:hAnsi="Arial" w:cs="Arial"/>
      <w:sz w:val="22"/>
      <w:szCs w:val="22"/>
      <w:u w:val="single"/>
    </w:rPr>
  </w:style>
  <w:style w:type="character" w:default="1" w:styleId="Zadanifontodlomka">
    <w:name w:val="Default Paragraph Font"/>
    <w:semiHidden/>
  </w:style>
  <w:style w:type="table" w:default="1" w:styleId="Obinatablica">
    <w:name w:val="Normal Table"/>
    <w:semiHidden/>
    <w:tblPr>
      <w:tblInd w:w="0" w:type="dxa"/>
      <w:tblCellMar>
        <w:top w:w="0" w:type="dxa"/>
        <w:left w:w="108" w:type="dxa"/>
        <w:bottom w:w="0" w:type="dxa"/>
        <w:right w:w="108" w:type="dxa"/>
      </w:tblCellMar>
    </w:tblPr>
  </w:style>
  <w:style w:type="numbering" w:default="1" w:styleId="Bezpopisa">
    <w:name w:val="No List"/>
    <w:semiHidden/>
  </w:style>
  <w:style w:type="paragraph" w:styleId="StandardWeb">
    <w:name w:val="Normal (Web)"/>
    <w:basedOn w:val="Normal"/>
    <w:pPr>
      <w:spacing w:before="100" w:beforeAutospacing="1" w:after="100" w:afterAutospacing="1"/>
    </w:pPr>
  </w:style>
  <w:style w:type="paragraph" w:styleId="Naslov">
    <w:name w:val="Title"/>
    <w:basedOn w:val="Normal"/>
    <w:qFormat/>
    <w:pPr>
      <w:jc w:val="center"/>
    </w:pPr>
    <w:rPr>
      <w:b/>
      <w:bCs/>
      <w:sz w:val="28"/>
    </w:rPr>
  </w:style>
  <w:style w:type="paragraph" w:styleId="Podnoje">
    <w:name w:val="footer"/>
    <w:basedOn w:val="Normal"/>
    <w:pPr>
      <w:tabs>
        <w:tab w:val="center" w:pos="4536"/>
        <w:tab w:val="right" w:pos="9072"/>
      </w:tabs>
    </w:pPr>
  </w:style>
  <w:style w:type="character" w:styleId="Brojstranice">
    <w:name w:val="page number"/>
    <w:basedOn w:val="Zadanifontodlomka"/>
  </w:style>
  <w:style w:type="paragraph" w:styleId="Zaglavlje">
    <w:name w:val="header"/>
    <w:basedOn w:val="Normal"/>
    <w:pPr>
      <w:tabs>
        <w:tab w:val="center" w:pos="4536"/>
        <w:tab w:val="right" w:pos="9072"/>
      </w:tabs>
    </w:pPr>
  </w:style>
  <w:style w:type="paragraph" w:styleId="Tijeloteksta2">
    <w:name w:val="Body Text 2"/>
    <w:basedOn w:val="Normal"/>
    <w:pPr>
      <w:ind w:left="567" w:hanging="567"/>
      <w:jc w:val="both"/>
    </w:pPr>
    <w:rPr>
      <w:rFonts w:ascii="Arial" w:hAnsi="Arial"/>
      <w:szCs w:val="20"/>
    </w:rPr>
  </w:style>
  <w:style w:type="paragraph" w:customStyle="1" w:styleId="Tekst">
    <w:name w:val="Tekst"/>
    <w:basedOn w:val="Normal"/>
    <w:pPr>
      <w:spacing w:line="300" w:lineRule="exact"/>
      <w:jc w:val="both"/>
    </w:pPr>
    <w:rPr>
      <w:rFonts w:ascii="Trebuchet MS" w:hAnsi="Trebuchet MS"/>
      <w:sz w:val="20"/>
      <w:szCs w:val="20"/>
      <w:lang w:val="en-GB"/>
    </w:rPr>
  </w:style>
  <w:style w:type="paragraph" w:styleId="Sadraj1">
    <w:name w:val="toc 1"/>
    <w:basedOn w:val="Normal"/>
    <w:next w:val="Normal"/>
    <w:autoRedefine/>
    <w:semiHidden/>
    <w:rPr>
      <w:b/>
      <w:bCs/>
    </w:rPr>
  </w:style>
  <w:style w:type="paragraph" w:styleId="Sadraj3">
    <w:name w:val="toc 3"/>
    <w:basedOn w:val="Normal"/>
    <w:next w:val="Normal"/>
    <w:autoRedefine/>
    <w:semiHidden/>
    <w:pPr>
      <w:ind w:left="480"/>
    </w:pPr>
  </w:style>
  <w:style w:type="character" w:styleId="Hiperveza">
    <w:name w:val="Hyperlink"/>
    <w:basedOn w:val="Zadanifontodlomka"/>
    <w:rPr>
      <w:color w:val="0000FF"/>
      <w:u w:val="single"/>
    </w:rPr>
  </w:style>
  <w:style w:type="paragraph" w:styleId="Tijeloteksta">
    <w:name w:val="Body Text"/>
    <w:aliases w:val=" uvlaka 3,uvlaka 2,uvlaka 3, uvlaka 31"/>
    <w:basedOn w:val="Normal"/>
    <w:pPr>
      <w:spacing w:after="120"/>
    </w:pPr>
  </w:style>
  <w:style w:type="paragraph" w:customStyle="1" w:styleId="clanak">
    <w:name w:val="clanak"/>
    <w:basedOn w:val="Tekst"/>
    <w:pPr>
      <w:tabs>
        <w:tab w:val="left" w:pos="426"/>
      </w:tabs>
    </w:pPr>
    <w:rPr>
      <w:lang w:val="en-AU"/>
    </w:rPr>
  </w:style>
  <w:style w:type="paragraph" w:styleId="Opisslike">
    <w:name w:val="caption"/>
    <w:basedOn w:val="Normal"/>
    <w:next w:val="Normal"/>
    <w:qFormat/>
    <w:rPr>
      <w:rFonts w:ascii="Arial" w:hAnsi="Arial" w:cs="Arial"/>
      <w:bCs/>
      <w:sz w:val="20"/>
      <w:szCs w:val="20"/>
    </w:rPr>
  </w:style>
  <w:style w:type="paragraph" w:styleId="Sadraj2">
    <w:name w:val="toc 2"/>
    <w:basedOn w:val="Normal"/>
    <w:next w:val="Normal"/>
    <w:autoRedefine/>
    <w:semiHidden/>
    <w:pPr>
      <w:ind w:left="240"/>
    </w:pPr>
  </w:style>
  <w:style w:type="paragraph" w:styleId="Tijeloteksta3">
    <w:name w:val="Body Text 3"/>
    <w:basedOn w:val="Normal"/>
    <w:pPr>
      <w:spacing w:after="120"/>
    </w:pPr>
    <w:rPr>
      <w:sz w:val="16"/>
      <w:szCs w:val="16"/>
    </w:rPr>
  </w:style>
  <w:style w:type="paragraph" w:styleId="Uvuenotijeloteksta">
    <w:name w:val="Body Text Indent"/>
    <w:basedOn w:val="Normal"/>
    <w:pPr>
      <w:spacing w:after="120"/>
      <w:ind w:left="360"/>
    </w:pPr>
  </w:style>
  <w:style w:type="paragraph" w:styleId="Tijeloteksta-uvlaka2">
    <w:name w:val="Body Text Indent 2"/>
    <w:aliases w:val="  uvlaka 2"/>
    <w:basedOn w:val="Normal"/>
    <w:pPr>
      <w:spacing w:after="120" w:line="480" w:lineRule="auto"/>
      <w:ind w:left="360"/>
    </w:pPr>
  </w:style>
  <w:style w:type="character" w:customStyle="1" w:styleId="Heading1Char">
    <w:name w:val="Heading 1 Char"/>
    <w:basedOn w:val="Zadanifontodlomka"/>
    <w:rPr>
      <w:rFonts w:ascii="Arial" w:hAnsi="Arial" w:cs="Arial"/>
      <w:b/>
      <w:bCs/>
      <w:kern w:val="32"/>
      <w:sz w:val="32"/>
      <w:szCs w:val="32"/>
      <w:lang w:val="hr-HR" w:eastAsia="hr-HR" w:bidi="ar-SA"/>
    </w:rPr>
  </w:style>
  <w:style w:type="character" w:styleId="Referencafusnote">
    <w:name w:val="footnote reference"/>
    <w:basedOn w:val="Zadanifontodlomka"/>
    <w:semiHidden/>
    <w:rPr>
      <w:vertAlign w:val="superscript"/>
    </w:rPr>
  </w:style>
  <w:style w:type="paragraph" w:styleId="Tekstfusnote">
    <w:name w:val="footnote text"/>
    <w:basedOn w:val="Normal"/>
    <w:semiHidden/>
    <w:pPr>
      <w:keepNext/>
      <w:jc w:val="both"/>
    </w:pPr>
    <w:rPr>
      <w:rFonts w:ascii="Arial" w:hAnsi="Arial"/>
      <w:i/>
      <w:sz w:val="18"/>
      <w:szCs w:val="20"/>
      <w:lang w:val="en-GB"/>
    </w:rPr>
  </w:style>
  <w:style w:type="paragraph" w:styleId="Kartadokumenta">
    <w:name w:val="Document Map"/>
    <w:basedOn w:val="Normal"/>
    <w:semiHidden/>
    <w:pPr>
      <w:shd w:val="clear" w:color="auto" w:fill="000080"/>
    </w:pPr>
    <w:rPr>
      <w:rFonts w:ascii="Tahoma" w:hAnsi="Tahoma" w:cs="Tahoma"/>
    </w:rPr>
  </w:style>
  <w:style w:type="paragraph" w:customStyle="1" w:styleId="naslovplavi">
    <w:name w:val="naslov_plavi"/>
    <w:basedOn w:val="Normal"/>
    <w:pPr>
      <w:spacing w:before="100" w:beforeAutospacing="1" w:after="100" w:afterAutospacing="1"/>
    </w:pPr>
    <w:rPr>
      <w:rFonts w:ascii="Arial" w:eastAsia="Arial Unicode MS" w:hAnsi="Arial" w:cs="Arial"/>
      <w:b/>
      <w:bCs/>
      <w:color w:val="003399"/>
    </w:rPr>
  </w:style>
  <w:style w:type="paragraph" w:customStyle="1" w:styleId="glavnitekst">
    <w:name w:val="glavni_tekst"/>
    <w:basedOn w:val="Normal"/>
    <w:pPr>
      <w:spacing w:before="100" w:beforeAutospacing="1" w:after="100" w:afterAutospacing="1"/>
    </w:pPr>
    <w:rPr>
      <w:rFonts w:ascii="Arial" w:eastAsia="Arial Unicode MS" w:hAnsi="Arial" w:cs="Arial"/>
      <w:b/>
      <w:bCs/>
      <w:color w:val="01567E"/>
      <w:sz w:val="20"/>
      <w:szCs w:val="20"/>
    </w:rPr>
  </w:style>
  <w:style w:type="paragraph" w:styleId="Tablicaslika">
    <w:name w:val="table of figures"/>
    <w:aliases w:val="Grafikon"/>
    <w:basedOn w:val="Normal"/>
    <w:next w:val="Normal"/>
    <w:semiHidden/>
    <w:pPr>
      <w:ind w:left="480" w:hanging="480"/>
    </w:pPr>
  </w:style>
  <w:style w:type="paragraph" w:customStyle="1" w:styleId="xl24">
    <w:name w:val="xl24"/>
    <w:basedOn w:val="Normal"/>
    <w:pPr>
      <w:pBdr>
        <w:top w:val="single" w:sz="12" w:space="0" w:color="auto"/>
        <w:left w:val="single" w:sz="12" w:space="0" w:color="auto"/>
      </w:pBdr>
      <w:spacing w:before="100" w:beforeAutospacing="1" w:after="100" w:afterAutospacing="1"/>
    </w:pPr>
    <w:rPr>
      <w:rFonts w:ascii="Arial Unicode MS" w:hAnsi="Arial Unicode MS"/>
    </w:rPr>
  </w:style>
  <w:style w:type="paragraph" w:customStyle="1" w:styleId="xl25">
    <w:name w:val="xl25"/>
    <w:basedOn w:val="Normal"/>
    <w:pPr>
      <w:pBdr>
        <w:top w:val="single" w:sz="12" w:space="0" w:color="auto"/>
        <w:left w:val="single" w:sz="8" w:space="0" w:color="auto"/>
        <w:right w:val="single" w:sz="8" w:space="0" w:color="auto"/>
      </w:pBdr>
      <w:spacing w:before="100" w:beforeAutospacing="1" w:after="100" w:afterAutospacing="1"/>
      <w:jc w:val="center"/>
    </w:pPr>
    <w:rPr>
      <w:rFonts w:ascii="Arial Unicode MS" w:hAnsi="Arial Unicode MS"/>
    </w:rPr>
  </w:style>
  <w:style w:type="paragraph" w:customStyle="1" w:styleId="xl26">
    <w:name w:val="xl26"/>
    <w:basedOn w:val="Normal"/>
    <w:pPr>
      <w:pBdr>
        <w:top w:val="single" w:sz="12" w:space="0" w:color="auto"/>
        <w:right w:val="single" w:sz="8" w:space="0" w:color="auto"/>
      </w:pBdr>
      <w:spacing w:before="100" w:beforeAutospacing="1" w:after="100" w:afterAutospacing="1"/>
      <w:jc w:val="center"/>
    </w:pPr>
    <w:rPr>
      <w:rFonts w:ascii="Arial Unicode MS" w:hAnsi="Arial Unicode MS"/>
    </w:rPr>
  </w:style>
  <w:style w:type="paragraph" w:customStyle="1" w:styleId="xl27">
    <w:name w:val="xl27"/>
    <w:basedOn w:val="Normal"/>
    <w:pPr>
      <w:pBdr>
        <w:top w:val="single" w:sz="12" w:space="0" w:color="auto"/>
        <w:left w:val="single" w:sz="4" w:space="0" w:color="auto"/>
        <w:bottom w:val="single" w:sz="8" w:space="0" w:color="auto"/>
      </w:pBdr>
      <w:spacing w:before="100" w:beforeAutospacing="1" w:after="100" w:afterAutospacing="1"/>
    </w:pPr>
    <w:rPr>
      <w:rFonts w:ascii="Arial Unicode MS" w:hAnsi="Arial Unicode MS"/>
    </w:rPr>
  </w:style>
  <w:style w:type="paragraph" w:customStyle="1" w:styleId="xl28">
    <w:name w:val="xl28"/>
    <w:basedOn w:val="Normal"/>
    <w:pPr>
      <w:pBdr>
        <w:top w:val="single" w:sz="12" w:space="0" w:color="auto"/>
        <w:bottom w:val="single" w:sz="8" w:space="0" w:color="auto"/>
      </w:pBdr>
      <w:spacing w:before="100" w:beforeAutospacing="1" w:after="100" w:afterAutospacing="1"/>
    </w:pPr>
    <w:rPr>
      <w:rFonts w:ascii="Arial Unicode MS" w:hAnsi="Arial Unicode MS"/>
    </w:rPr>
  </w:style>
  <w:style w:type="paragraph" w:customStyle="1" w:styleId="xl29">
    <w:name w:val="xl29"/>
    <w:basedOn w:val="Normal"/>
    <w:pPr>
      <w:pBdr>
        <w:top w:val="single" w:sz="12" w:space="0" w:color="auto"/>
        <w:left w:val="single" w:sz="8" w:space="0" w:color="auto"/>
      </w:pBdr>
      <w:spacing w:before="100" w:beforeAutospacing="1" w:after="100" w:afterAutospacing="1"/>
    </w:pPr>
    <w:rPr>
      <w:rFonts w:ascii="Arial Unicode MS" w:hAnsi="Arial Unicode MS"/>
    </w:rPr>
  </w:style>
  <w:style w:type="paragraph" w:customStyle="1" w:styleId="xl30">
    <w:name w:val="xl30"/>
    <w:basedOn w:val="Normal"/>
    <w:pPr>
      <w:pBdr>
        <w:left w:val="single" w:sz="12" w:space="0" w:color="auto"/>
        <w:bottom w:val="single" w:sz="8" w:space="0" w:color="auto"/>
      </w:pBdr>
      <w:spacing w:before="100" w:beforeAutospacing="1" w:after="100" w:afterAutospacing="1"/>
      <w:jc w:val="center"/>
    </w:pPr>
    <w:rPr>
      <w:rFonts w:ascii="Arial Unicode MS" w:hAnsi="Arial Unicode MS"/>
    </w:rPr>
  </w:style>
  <w:style w:type="paragraph" w:customStyle="1" w:styleId="xl31">
    <w:name w:val="xl31"/>
    <w:basedOn w:val="Normal"/>
    <w:pPr>
      <w:pBdr>
        <w:left w:val="single" w:sz="8" w:space="0" w:color="auto"/>
        <w:bottom w:val="single" w:sz="8" w:space="0" w:color="auto"/>
        <w:right w:val="single" w:sz="8" w:space="0" w:color="auto"/>
      </w:pBdr>
      <w:spacing w:before="100" w:beforeAutospacing="1" w:after="100" w:afterAutospacing="1"/>
      <w:jc w:val="center"/>
    </w:pPr>
    <w:rPr>
      <w:rFonts w:ascii="Arial Unicode MS" w:hAnsi="Arial Unicode MS"/>
    </w:rPr>
  </w:style>
  <w:style w:type="paragraph" w:customStyle="1" w:styleId="xl32">
    <w:name w:val="xl32"/>
    <w:basedOn w:val="Normal"/>
    <w:pPr>
      <w:pBdr>
        <w:bottom w:val="single" w:sz="8" w:space="0" w:color="auto"/>
        <w:right w:val="single" w:sz="8" w:space="0" w:color="auto"/>
      </w:pBdr>
      <w:spacing w:before="100" w:beforeAutospacing="1" w:after="100" w:afterAutospacing="1"/>
      <w:jc w:val="center"/>
    </w:pPr>
    <w:rPr>
      <w:rFonts w:ascii="Arial Unicode MS" w:hAnsi="Arial Unicode MS"/>
    </w:rPr>
  </w:style>
  <w:style w:type="paragraph" w:customStyle="1" w:styleId="xl33">
    <w:name w:val="xl33"/>
    <w:basedOn w:val="Normal"/>
    <w:pPr>
      <w:pBdr>
        <w:left w:val="single" w:sz="4" w:space="0" w:color="auto"/>
        <w:bottom w:val="single" w:sz="8" w:space="0" w:color="auto"/>
        <w:right w:val="single" w:sz="4" w:space="0" w:color="auto"/>
      </w:pBdr>
      <w:spacing w:before="100" w:beforeAutospacing="1" w:after="100" w:afterAutospacing="1"/>
    </w:pPr>
    <w:rPr>
      <w:rFonts w:ascii="Arial Unicode MS" w:hAnsi="Arial Unicode MS"/>
    </w:rPr>
  </w:style>
  <w:style w:type="paragraph" w:customStyle="1" w:styleId="xl34">
    <w:name w:val="xl34"/>
    <w:basedOn w:val="Normal"/>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Unicode MS" w:hAnsi="Arial Unicode MS"/>
    </w:rPr>
  </w:style>
  <w:style w:type="paragraph" w:customStyle="1" w:styleId="xl35">
    <w:name w:val="xl35"/>
    <w:basedOn w:val="Normal"/>
    <w:pPr>
      <w:pBdr>
        <w:left w:val="single" w:sz="12" w:space="0" w:color="auto"/>
        <w:right w:val="single" w:sz="8" w:space="0" w:color="auto"/>
      </w:pBdr>
      <w:spacing w:before="100" w:beforeAutospacing="1" w:after="100" w:afterAutospacing="1"/>
      <w:jc w:val="center"/>
    </w:pPr>
    <w:rPr>
      <w:rFonts w:ascii="Arial Unicode MS" w:hAnsi="Arial Unicode MS"/>
    </w:rPr>
  </w:style>
  <w:style w:type="paragraph" w:customStyle="1" w:styleId="xl36">
    <w:name w:val="xl36"/>
    <w:basedOn w:val="Normal"/>
    <w:pPr>
      <w:pBdr>
        <w:left w:val="single" w:sz="4" w:space="0" w:color="auto"/>
        <w:right w:val="single" w:sz="4" w:space="0" w:color="auto"/>
      </w:pBdr>
      <w:spacing w:before="100" w:beforeAutospacing="1" w:after="100" w:afterAutospacing="1"/>
    </w:pPr>
    <w:rPr>
      <w:rFonts w:ascii="Arial Unicode MS" w:hAnsi="Arial Unicode MS"/>
    </w:rPr>
  </w:style>
  <w:style w:type="paragraph" w:customStyle="1" w:styleId="xl37">
    <w:name w:val="xl37"/>
    <w:basedOn w:val="Normal"/>
    <w:pPr>
      <w:pBdr>
        <w:top w:val="single" w:sz="4" w:space="0" w:color="auto"/>
        <w:left w:val="single" w:sz="12" w:space="0" w:color="auto"/>
        <w:bottom w:val="single" w:sz="4" w:space="0" w:color="auto"/>
        <w:right w:val="single" w:sz="8" w:space="0" w:color="auto"/>
      </w:pBdr>
      <w:spacing w:before="100" w:beforeAutospacing="1" w:after="100" w:afterAutospacing="1"/>
      <w:jc w:val="center"/>
    </w:pPr>
    <w:rPr>
      <w:rFonts w:ascii="Arial Unicode MS" w:hAnsi="Arial Unicode MS"/>
    </w:rPr>
  </w:style>
  <w:style w:type="paragraph" w:customStyle="1" w:styleId="xl38">
    <w:name w:val="xl3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hAnsi="Arial Unicode MS"/>
    </w:rPr>
  </w:style>
  <w:style w:type="paragraph" w:customStyle="1" w:styleId="xl39">
    <w:name w:val="xl39"/>
    <w:basedOn w:val="Normal"/>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Unicode MS" w:hAnsi="Arial Unicode MS"/>
    </w:rPr>
  </w:style>
  <w:style w:type="paragraph" w:customStyle="1" w:styleId="xl40">
    <w:name w:val="xl40"/>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hAnsi="Arial Unicode MS"/>
    </w:rPr>
  </w:style>
  <w:style w:type="paragraph" w:customStyle="1" w:styleId="xl41">
    <w:name w:val="xl41"/>
    <w:basedOn w:val="Normal"/>
    <w:pPr>
      <w:pBdr>
        <w:top w:val="single" w:sz="4" w:space="0" w:color="auto"/>
        <w:left w:val="single" w:sz="8" w:space="0" w:color="auto"/>
        <w:bottom w:val="single" w:sz="4" w:space="0" w:color="auto"/>
        <w:right w:val="single" w:sz="8" w:space="0" w:color="auto"/>
      </w:pBdr>
      <w:spacing w:before="100" w:beforeAutospacing="1" w:after="100" w:afterAutospacing="1"/>
      <w:jc w:val="right"/>
    </w:pPr>
    <w:rPr>
      <w:rFonts w:ascii="Arial Unicode MS" w:hAnsi="Arial Unicode MS"/>
    </w:rPr>
  </w:style>
  <w:style w:type="paragraph" w:customStyle="1" w:styleId="xl42">
    <w:name w:val="xl4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hAnsi="Arial Unicode MS"/>
    </w:rPr>
  </w:style>
  <w:style w:type="paragraph" w:customStyle="1" w:styleId="xl43">
    <w:name w:val="xl43"/>
    <w:basedOn w:val="Normal"/>
    <w:pPr>
      <w:pBdr>
        <w:left w:val="single" w:sz="8" w:space="0" w:color="auto"/>
        <w:bottom w:val="single" w:sz="12" w:space="0" w:color="auto"/>
        <w:right w:val="single" w:sz="8" w:space="0" w:color="auto"/>
      </w:pBdr>
      <w:spacing w:before="100" w:beforeAutospacing="1" w:after="100" w:afterAutospacing="1"/>
    </w:pPr>
    <w:rPr>
      <w:rFonts w:ascii="Arial Unicode MS" w:hAnsi="Arial Unicode MS"/>
    </w:rPr>
  </w:style>
  <w:style w:type="paragraph" w:customStyle="1" w:styleId="xl44">
    <w:name w:val="xl44"/>
    <w:basedOn w:val="Normal"/>
    <w:pPr>
      <w:pBdr>
        <w:left w:val="single" w:sz="4" w:space="0" w:color="auto"/>
        <w:bottom w:val="single" w:sz="12" w:space="0" w:color="auto"/>
        <w:right w:val="single" w:sz="4" w:space="0" w:color="auto"/>
      </w:pBdr>
      <w:spacing w:before="100" w:beforeAutospacing="1" w:after="100" w:afterAutospacing="1"/>
    </w:pPr>
    <w:rPr>
      <w:rFonts w:ascii="Arial Unicode MS" w:hAnsi="Arial Unicode MS"/>
    </w:rPr>
  </w:style>
  <w:style w:type="paragraph" w:customStyle="1" w:styleId="xl45">
    <w:name w:val="xl45"/>
    <w:basedOn w:val="Normal"/>
    <w:pPr>
      <w:pBdr>
        <w:left w:val="single" w:sz="12" w:space="0" w:color="auto"/>
      </w:pBdr>
      <w:spacing w:before="100" w:beforeAutospacing="1" w:after="100" w:afterAutospacing="1"/>
      <w:jc w:val="center"/>
    </w:pPr>
    <w:rPr>
      <w:rFonts w:ascii="Arial Unicode MS" w:hAnsi="Arial Unicode MS"/>
    </w:rPr>
  </w:style>
  <w:style w:type="paragraph" w:customStyle="1" w:styleId="xl46">
    <w:name w:val="xl46"/>
    <w:basedOn w:val="Normal"/>
    <w:pPr>
      <w:pBdr>
        <w:right w:val="single" w:sz="8" w:space="0" w:color="auto"/>
      </w:pBdr>
      <w:spacing w:before="100" w:beforeAutospacing="1" w:after="100" w:afterAutospacing="1"/>
      <w:jc w:val="center"/>
    </w:pPr>
    <w:rPr>
      <w:rFonts w:ascii="Arial Unicode MS" w:hAnsi="Arial Unicode MS"/>
    </w:rPr>
  </w:style>
  <w:style w:type="paragraph" w:customStyle="1" w:styleId="xl47">
    <w:name w:val="xl47"/>
    <w:basedOn w:val="Normal"/>
    <w:pPr>
      <w:pBdr>
        <w:left w:val="single" w:sz="8" w:space="0" w:color="auto"/>
        <w:right w:val="single" w:sz="8" w:space="0" w:color="auto"/>
      </w:pBdr>
      <w:spacing w:before="100" w:beforeAutospacing="1" w:after="100" w:afterAutospacing="1"/>
      <w:jc w:val="center"/>
    </w:pPr>
    <w:rPr>
      <w:rFonts w:ascii="Arial Unicode MS" w:hAnsi="Arial Unicode MS"/>
    </w:rPr>
  </w:style>
  <w:style w:type="paragraph" w:customStyle="1" w:styleId="xl48">
    <w:name w:val="xl48"/>
    <w:basedOn w:val="Normal"/>
    <w:pPr>
      <w:pBdr>
        <w:right w:val="single" w:sz="4" w:space="0" w:color="auto"/>
      </w:pBdr>
      <w:spacing w:before="100" w:beforeAutospacing="1" w:after="100" w:afterAutospacing="1"/>
      <w:jc w:val="center"/>
    </w:pPr>
    <w:rPr>
      <w:rFonts w:ascii="Arial Unicode MS" w:hAnsi="Arial Unicode MS"/>
    </w:rPr>
  </w:style>
  <w:style w:type="paragraph" w:customStyle="1" w:styleId="xl49">
    <w:name w:val="xl49"/>
    <w:basedOn w:val="Normal"/>
    <w:pPr>
      <w:pBdr>
        <w:top w:val="single" w:sz="8" w:space="0" w:color="auto"/>
        <w:left w:val="single" w:sz="8" w:space="0" w:color="auto"/>
        <w:right w:val="single" w:sz="8" w:space="0" w:color="auto"/>
      </w:pBdr>
      <w:spacing w:before="100" w:beforeAutospacing="1" w:after="100" w:afterAutospacing="1"/>
      <w:jc w:val="right"/>
    </w:pPr>
    <w:rPr>
      <w:rFonts w:ascii="Arial Unicode MS" w:hAnsi="Arial Unicode MS"/>
    </w:rPr>
  </w:style>
  <w:style w:type="paragraph" w:customStyle="1" w:styleId="xl50">
    <w:name w:val="xl50"/>
    <w:basedOn w:val="Normal"/>
    <w:pPr>
      <w:pBdr>
        <w:left w:val="single" w:sz="8" w:space="0" w:color="auto"/>
        <w:right w:val="single" w:sz="12" w:space="0" w:color="auto"/>
      </w:pBdr>
      <w:spacing w:before="100" w:beforeAutospacing="1" w:after="100" w:afterAutospacing="1"/>
      <w:jc w:val="center"/>
    </w:pPr>
    <w:rPr>
      <w:rFonts w:ascii="Arial Unicode MS" w:hAnsi="Arial Unicode MS"/>
    </w:rPr>
  </w:style>
  <w:style w:type="paragraph" w:customStyle="1" w:styleId="xl51">
    <w:name w:val="xl51"/>
    <w:basedOn w:val="Normal"/>
    <w:pPr>
      <w:pBdr>
        <w:top w:val="single" w:sz="4" w:space="0" w:color="auto"/>
        <w:left w:val="single" w:sz="12" w:space="0" w:color="auto"/>
      </w:pBdr>
      <w:spacing w:before="100" w:beforeAutospacing="1" w:after="100" w:afterAutospacing="1"/>
      <w:jc w:val="center"/>
    </w:pPr>
    <w:rPr>
      <w:rFonts w:ascii="Arial Unicode MS" w:hAnsi="Arial Unicode MS"/>
    </w:rPr>
  </w:style>
  <w:style w:type="paragraph" w:customStyle="1" w:styleId="xl52">
    <w:name w:val="xl52"/>
    <w:basedOn w:val="Normal"/>
    <w:pPr>
      <w:pBdr>
        <w:top w:val="single" w:sz="4" w:space="0" w:color="auto"/>
        <w:left w:val="single" w:sz="8" w:space="0" w:color="auto"/>
        <w:right w:val="single" w:sz="8" w:space="0" w:color="auto"/>
      </w:pBdr>
      <w:spacing w:before="100" w:beforeAutospacing="1" w:after="100" w:afterAutospacing="1"/>
      <w:jc w:val="right"/>
    </w:pPr>
    <w:rPr>
      <w:rFonts w:ascii="Arial Unicode MS" w:hAnsi="Arial Unicode MS"/>
    </w:rPr>
  </w:style>
  <w:style w:type="paragraph" w:customStyle="1" w:styleId="xl53">
    <w:name w:val="xl53"/>
    <w:basedOn w:val="Normal"/>
    <w:pPr>
      <w:pBdr>
        <w:top w:val="single" w:sz="4" w:space="0" w:color="auto"/>
        <w:right w:val="single" w:sz="8" w:space="0" w:color="auto"/>
      </w:pBdr>
      <w:spacing w:before="100" w:beforeAutospacing="1" w:after="100" w:afterAutospacing="1"/>
      <w:jc w:val="right"/>
    </w:pPr>
    <w:rPr>
      <w:rFonts w:ascii="Arial Unicode MS" w:hAnsi="Arial Unicode MS"/>
    </w:rPr>
  </w:style>
  <w:style w:type="paragraph" w:customStyle="1" w:styleId="xl54">
    <w:name w:val="xl54"/>
    <w:basedOn w:val="Normal"/>
    <w:pPr>
      <w:pBdr>
        <w:top w:val="single" w:sz="4" w:space="0" w:color="auto"/>
        <w:left w:val="single" w:sz="4" w:space="0" w:color="auto"/>
        <w:right w:val="single" w:sz="4" w:space="0" w:color="auto"/>
      </w:pBdr>
      <w:spacing w:before="100" w:beforeAutospacing="1" w:after="100" w:afterAutospacing="1"/>
    </w:pPr>
    <w:rPr>
      <w:rFonts w:ascii="Arial Unicode MS" w:hAnsi="Arial Unicode MS"/>
    </w:rPr>
  </w:style>
  <w:style w:type="paragraph" w:customStyle="1" w:styleId="xl55">
    <w:name w:val="xl55"/>
    <w:basedOn w:val="Normal"/>
    <w:pPr>
      <w:pBdr>
        <w:top w:val="single" w:sz="4" w:space="0" w:color="auto"/>
        <w:left w:val="single" w:sz="8" w:space="0" w:color="auto"/>
        <w:right w:val="single" w:sz="8" w:space="0" w:color="auto"/>
      </w:pBdr>
      <w:spacing w:before="100" w:beforeAutospacing="1" w:after="100" w:afterAutospacing="1"/>
      <w:jc w:val="right"/>
    </w:pPr>
    <w:rPr>
      <w:rFonts w:ascii="Arial Unicode MS" w:hAnsi="Arial Unicode MS"/>
    </w:rPr>
  </w:style>
  <w:style w:type="paragraph" w:customStyle="1" w:styleId="xl56">
    <w:name w:val="xl56"/>
    <w:basedOn w:val="Normal"/>
    <w:pPr>
      <w:pBdr>
        <w:top w:val="single" w:sz="4" w:space="0" w:color="auto"/>
        <w:right w:val="single" w:sz="4" w:space="0" w:color="auto"/>
      </w:pBdr>
      <w:spacing w:before="100" w:beforeAutospacing="1" w:after="100" w:afterAutospacing="1"/>
      <w:jc w:val="right"/>
    </w:pPr>
    <w:rPr>
      <w:rFonts w:ascii="Arial Unicode MS" w:hAnsi="Arial Unicode MS"/>
    </w:rPr>
  </w:style>
  <w:style w:type="paragraph" w:customStyle="1" w:styleId="xl57">
    <w:name w:val="xl57"/>
    <w:basedOn w:val="Normal"/>
    <w:pPr>
      <w:pBdr>
        <w:top w:val="single" w:sz="4" w:space="0" w:color="auto"/>
        <w:left w:val="single" w:sz="8" w:space="0" w:color="auto"/>
        <w:right w:val="single" w:sz="12" w:space="0" w:color="auto"/>
      </w:pBdr>
      <w:spacing w:before="100" w:beforeAutospacing="1" w:after="100" w:afterAutospacing="1"/>
      <w:jc w:val="right"/>
    </w:pPr>
    <w:rPr>
      <w:rFonts w:ascii="Arial Unicode MS" w:hAnsi="Arial Unicode MS"/>
    </w:rPr>
  </w:style>
  <w:style w:type="paragraph" w:customStyle="1" w:styleId="xl58">
    <w:name w:val="xl58"/>
    <w:basedOn w:val="Normal"/>
    <w:pPr>
      <w:pBdr>
        <w:top w:val="single" w:sz="4" w:space="0" w:color="auto"/>
        <w:left w:val="single" w:sz="12" w:space="0" w:color="auto"/>
        <w:bottom w:val="single" w:sz="4" w:space="0" w:color="auto"/>
      </w:pBdr>
      <w:spacing w:before="100" w:beforeAutospacing="1" w:after="100" w:afterAutospacing="1"/>
      <w:jc w:val="center"/>
    </w:pPr>
    <w:rPr>
      <w:rFonts w:ascii="Arial Unicode MS" w:hAnsi="Arial Unicode MS"/>
    </w:rPr>
  </w:style>
  <w:style w:type="paragraph" w:customStyle="1" w:styleId="xl59">
    <w:name w:val="xl59"/>
    <w:basedOn w:val="Normal"/>
    <w:pPr>
      <w:pBdr>
        <w:top w:val="single" w:sz="4" w:space="0" w:color="auto"/>
        <w:left w:val="single" w:sz="8" w:space="0" w:color="auto"/>
        <w:bottom w:val="single" w:sz="4" w:space="0" w:color="auto"/>
        <w:right w:val="single" w:sz="8" w:space="0" w:color="auto"/>
      </w:pBdr>
      <w:spacing w:before="100" w:beforeAutospacing="1" w:after="100" w:afterAutospacing="1"/>
      <w:jc w:val="right"/>
    </w:pPr>
    <w:rPr>
      <w:rFonts w:ascii="Arial Unicode MS" w:hAnsi="Arial Unicode MS"/>
    </w:rPr>
  </w:style>
  <w:style w:type="paragraph" w:customStyle="1" w:styleId="xl60">
    <w:name w:val="xl60"/>
    <w:basedOn w:val="Normal"/>
    <w:pPr>
      <w:pBdr>
        <w:top w:val="single" w:sz="4" w:space="0" w:color="auto"/>
        <w:bottom w:val="single" w:sz="4" w:space="0" w:color="auto"/>
        <w:right w:val="single" w:sz="4" w:space="0" w:color="auto"/>
      </w:pBdr>
      <w:spacing w:before="100" w:beforeAutospacing="1" w:after="100" w:afterAutospacing="1"/>
      <w:jc w:val="right"/>
    </w:pPr>
    <w:rPr>
      <w:rFonts w:ascii="Arial Unicode MS" w:hAnsi="Arial Unicode MS"/>
    </w:rPr>
  </w:style>
  <w:style w:type="paragraph" w:customStyle="1" w:styleId="xl61">
    <w:name w:val="xl61"/>
    <w:basedOn w:val="Normal"/>
    <w:pPr>
      <w:pBdr>
        <w:top w:val="single" w:sz="4" w:space="0" w:color="auto"/>
        <w:left w:val="single" w:sz="8" w:space="0" w:color="auto"/>
        <w:bottom w:val="single" w:sz="4" w:space="0" w:color="auto"/>
        <w:right w:val="single" w:sz="12" w:space="0" w:color="auto"/>
      </w:pBdr>
      <w:spacing w:before="100" w:beforeAutospacing="1" w:after="100" w:afterAutospacing="1"/>
      <w:jc w:val="right"/>
    </w:pPr>
    <w:rPr>
      <w:rFonts w:ascii="Arial Unicode MS" w:hAnsi="Arial Unicode MS"/>
    </w:rPr>
  </w:style>
  <w:style w:type="paragraph" w:customStyle="1" w:styleId="xl62">
    <w:name w:val="xl62"/>
    <w:basedOn w:val="Normal"/>
    <w:pPr>
      <w:pBdr>
        <w:top w:val="single" w:sz="4" w:space="0" w:color="auto"/>
        <w:bottom w:val="single" w:sz="4" w:space="0" w:color="auto"/>
        <w:right w:val="single" w:sz="4" w:space="0" w:color="auto"/>
      </w:pBdr>
      <w:spacing w:before="100" w:beforeAutospacing="1" w:after="100" w:afterAutospacing="1"/>
      <w:jc w:val="right"/>
    </w:pPr>
    <w:rPr>
      <w:rFonts w:ascii="Arial Unicode MS" w:hAnsi="Arial Unicode MS"/>
    </w:rPr>
  </w:style>
  <w:style w:type="paragraph" w:customStyle="1" w:styleId="xl63">
    <w:name w:val="xl63"/>
    <w:basedOn w:val="Normal"/>
    <w:pPr>
      <w:pBdr>
        <w:left w:val="single" w:sz="12" w:space="0" w:color="auto"/>
        <w:bottom w:val="single" w:sz="4" w:space="0" w:color="auto"/>
      </w:pBdr>
      <w:spacing w:before="100" w:beforeAutospacing="1" w:after="100" w:afterAutospacing="1"/>
      <w:jc w:val="center"/>
    </w:pPr>
    <w:rPr>
      <w:rFonts w:ascii="Arial Unicode MS" w:hAnsi="Arial Unicode MS"/>
    </w:rPr>
  </w:style>
  <w:style w:type="paragraph" w:customStyle="1" w:styleId="xl64">
    <w:name w:val="xl64"/>
    <w:basedOn w:val="Normal"/>
    <w:pPr>
      <w:pBdr>
        <w:left w:val="single" w:sz="8" w:space="0" w:color="auto"/>
        <w:bottom w:val="single" w:sz="4" w:space="0" w:color="auto"/>
        <w:right w:val="single" w:sz="8" w:space="0" w:color="auto"/>
      </w:pBdr>
      <w:spacing w:before="100" w:beforeAutospacing="1" w:after="100" w:afterAutospacing="1"/>
      <w:jc w:val="right"/>
    </w:pPr>
    <w:rPr>
      <w:rFonts w:ascii="Arial Unicode MS" w:hAnsi="Arial Unicode MS"/>
    </w:rPr>
  </w:style>
  <w:style w:type="paragraph" w:customStyle="1" w:styleId="xl65">
    <w:name w:val="xl65"/>
    <w:basedOn w:val="Normal"/>
    <w:pPr>
      <w:pBdr>
        <w:bottom w:val="single" w:sz="4" w:space="0" w:color="auto"/>
        <w:right w:val="single" w:sz="4" w:space="0" w:color="auto"/>
      </w:pBdr>
      <w:spacing w:before="100" w:beforeAutospacing="1" w:after="100" w:afterAutospacing="1"/>
      <w:jc w:val="right"/>
    </w:pPr>
    <w:rPr>
      <w:rFonts w:ascii="Arial Unicode MS" w:hAnsi="Arial Unicode MS"/>
    </w:rPr>
  </w:style>
  <w:style w:type="paragraph" w:customStyle="1" w:styleId="xl66">
    <w:name w:val="xl66"/>
    <w:basedOn w:val="Normal"/>
    <w:pPr>
      <w:pBdr>
        <w:left w:val="single" w:sz="8" w:space="0" w:color="auto"/>
        <w:bottom w:val="single" w:sz="4" w:space="0" w:color="auto"/>
        <w:right w:val="single" w:sz="12" w:space="0" w:color="auto"/>
      </w:pBdr>
      <w:spacing w:before="100" w:beforeAutospacing="1" w:after="100" w:afterAutospacing="1"/>
      <w:jc w:val="right"/>
    </w:pPr>
    <w:rPr>
      <w:rFonts w:ascii="Arial Unicode MS" w:hAnsi="Arial Unicode MS"/>
    </w:rPr>
  </w:style>
  <w:style w:type="paragraph" w:customStyle="1" w:styleId="xl67">
    <w:name w:val="xl67"/>
    <w:basedOn w:val="Normal"/>
    <w:pPr>
      <w:pBdr>
        <w:left w:val="single" w:sz="4" w:space="0" w:color="auto"/>
      </w:pBdr>
      <w:spacing w:before="100" w:beforeAutospacing="1" w:after="100" w:afterAutospacing="1"/>
      <w:jc w:val="right"/>
    </w:pPr>
    <w:rPr>
      <w:rFonts w:ascii="Arial Unicode MS" w:hAnsi="Arial Unicode MS"/>
    </w:rPr>
  </w:style>
  <w:style w:type="paragraph" w:customStyle="1" w:styleId="xl68">
    <w:name w:val="xl68"/>
    <w:basedOn w:val="Normal"/>
    <w:pPr>
      <w:pBdr>
        <w:left w:val="single" w:sz="4" w:space="0" w:color="auto"/>
        <w:right w:val="single" w:sz="4" w:space="0" w:color="auto"/>
      </w:pBdr>
      <w:spacing w:before="100" w:beforeAutospacing="1" w:after="100" w:afterAutospacing="1"/>
      <w:jc w:val="right"/>
    </w:pPr>
    <w:rPr>
      <w:rFonts w:ascii="Arial Unicode MS" w:hAnsi="Arial Unicode MS"/>
    </w:rPr>
  </w:style>
  <w:style w:type="paragraph" w:customStyle="1" w:styleId="xl69">
    <w:name w:val="xl69"/>
    <w:basedOn w:val="Normal"/>
    <w:pPr>
      <w:pBdr>
        <w:left w:val="single" w:sz="8" w:space="0" w:color="auto"/>
        <w:right w:val="single" w:sz="12" w:space="0" w:color="auto"/>
      </w:pBdr>
      <w:spacing w:before="100" w:beforeAutospacing="1" w:after="100" w:afterAutospacing="1"/>
      <w:jc w:val="right"/>
    </w:pPr>
    <w:rPr>
      <w:rFonts w:ascii="Arial Unicode MS" w:hAnsi="Arial Unicode MS"/>
    </w:rPr>
  </w:style>
  <w:style w:type="paragraph" w:customStyle="1" w:styleId="xl70">
    <w:name w:val="xl70"/>
    <w:basedOn w:val="Normal"/>
    <w:pPr>
      <w:pBdr>
        <w:top w:val="single" w:sz="12" w:space="0" w:color="auto"/>
        <w:left w:val="single" w:sz="12" w:space="0" w:color="auto"/>
        <w:right w:val="single" w:sz="12" w:space="0" w:color="auto"/>
      </w:pBdr>
      <w:spacing w:before="100" w:beforeAutospacing="1" w:after="100" w:afterAutospacing="1"/>
    </w:pPr>
    <w:rPr>
      <w:rFonts w:ascii="Arial Unicode MS" w:hAnsi="Arial Unicode MS"/>
    </w:rPr>
  </w:style>
  <w:style w:type="paragraph" w:customStyle="1" w:styleId="xl71">
    <w:name w:val="xl71"/>
    <w:basedOn w:val="Normal"/>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Arial Unicode MS" w:hAnsi="Arial Unicode MS"/>
    </w:rPr>
  </w:style>
  <w:style w:type="paragraph" w:customStyle="1" w:styleId="xl72">
    <w:name w:val="xl72"/>
    <w:basedOn w:val="Normal"/>
    <w:pPr>
      <w:pBdr>
        <w:left w:val="single" w:sz="12" w:space="0" w:color="auto"/>
        <w:bottom w:val="single" w:sz="12" w:space="0" w:color="auto"/>
        <w:right w:val="single" w:sz="8" w:space="0" w:color="auto"/>
      </w:pBdr>
      <w:spacing w:before="100" w:beforeAutospacing="1" w:after="100" w:afterAutospacing="1"/>
      <w:jc w:val="center"/>
    </w:pPr>
    <w:rPr>
      <w:rFonts w:ascii="Arial Unicode MS" w:hAnsi="Arial Unicode MS"/>
    </w:rPr>
  </w:style>
  <w:style w:type="paragraph" w:customStyle="1" w:styleId="xl73">
    <w:name w:val="xl73"/>
    <w:basedOn w:val="Normal"/>
    <w:pPr>
      <w:pBdr>
        <w:left w:val="single" w:sz="4" w:space="0" w:color="auto"/>
        <w:bottom w:val="single" w:sz="12" w:space="0" w:color="auto"/>
        <w:right w:val="single" w:sz="4" w:space="0" w:color="auto"/>
      </w:pBdr>
      <w:spacing w:before="100" w:beforeAutospacing="1" w:after="100" w:afterAutospacing="1"/>
    </w:pPr>
    <w:rPr>
      <w:rFonts w:ascii="Arial Unicode MS" w:hAnsi="Arial Unicode MS"/>
    </w:rPr>
  </w:style>
  <w:style w:type="paragraph" w:customStyle="1" w:styleId="xl74">
    <w:name w:val="xl74"/>
    <w:basedOn w:val="Normal"/>
    <w:pPr>
      <w:pBdr>
        <w:left w:val="single" w:sz="8" w:space="0" w:color="auto"/>
        <w:bottom w:val="single" w:sz="12" w:space="0" w:color="auto"/>
        <w:right w:val="single" w:sz="8" w:space="0" w:color="auto"/>
      </w:pBdr>
      <w:spacing w:before="100" w:beforeAutospacing="1" w:after="100" w:afterAutospacing="1"/>
      <w:jc w:val="right"/>
    </w:pPr>
    <w:rPr>
      <w:rFonts w:ascii="Arial Unicode MS" w:hAnsi="Arial Unicode MS"/>
    </w:rPr>
  </w:style>
  <w:style w:type="paragraph" w:customStyle="1" w:styleId="xl75">
    <w:name w:val="xl75"/>
    <w:basedOn w:val="Normal"/>
    <w:pPr>
      <w:pBdr>
        <w:left w:val="single" w:sz="4" w:space="0" w:color="auto"/>
        <w:bottom w:val="single" w:sz="12" w:space="0" w:color="auto"/>
        <w:right w:val="single" w:sz="4" w:space="0" w:color="auto"/>
      </w:pBdr>
      <w:spacing w:before="100" w:beforeAutospacing="1" w:after="100" w:afterAutospacing="1"/>
      <w:jc w:val="right"/>
    </w:pPr>
    <w:rPr>
      <w:rFonts w:ascii="Arial Unicode MS" w:hAnsi="Arial Unicode MS"/>
    </w:rPr>
  </w:style>
  <w:style w:type="paragraph" w:customStyle="1" w:styleId="xl76">
    <w:name w:val="xl76"/>
    <w:basedOn w:val="Normal"/>
    <w:pPr>
      <w:pBdr>
        <w:left w:val="single" w:sz="8" w:space="0" w:color="auto"/>
        <w:bottom w:val="single" w:sz="12" w:space="0" w:color="auto"/>
        <w:right w:val="single" w:sz="12" w:space="0" w:color="auto"/>
      </w:pBdr>
      <w:spacing w:before="100" w:beforeAutospacing="1" w:after="100" w:afterAutospacing="1"/>
      <w:jc w:val="right"/>
    </w:pPr>
    <w:rPr>
      <w:rFonts w:ascii="Arial Unicode MS" w:hAnsi="Arial Unicode MS"/>
    </w:rPr>
  </w:style>
  <w:style w:type="paragraph" w:styleId="Tijeloteksta-uvlaka3">
    <w:name w:val="Body Text Indent 3"/>
    <w:aliases w:val=" uvlaka 3"/>
    <w:basedOn w:val="Normal"/>
    <w:pPr>
      <w:ind w:left="708"/>
      <w:jc w:val="both"/>
    </w:pPr>
    <w:rPr>
      <w:rFonts w:ascii="Arial" w:hAnsi="Arial"/>
      <w:sz w:val="22"/>
    </w:rPr>
  </w:style>
  <w:style w:type="paragraph" w:customStyle="1" w:styleId="t-98-2">
    <w:name w:val="t-98-2"/>
    <w:basedOn w:val="Normal"/>
    <w:pPr>
      <w:autoSpaceDE w:val="0"/>
      <w:autoSpaceDN w:val="0"/>
      <w:spacing w:after="43"/>
      <w:ind w:firstLine="342"/>
      <w:jc w:val="both"/>
    </w:pPr>
    <w:rPr>
      <w:rFonts w:ascii="Times-NewRoman" w:hAnsi="Times-NewRoman"/>
      <w:sz w:val="19"/>
      <w:szCs w:val="19"/>
    </w:rPr>
  </w:style>
  <w:style w:type="paragraph" w:customStyle="1" w:styleId="mali-naslov-crni">
    <w:name w:val="mali-naslov-crni"/>
    <w:basedOn w:val="Normal"/>
    <w:pPr>
      <w:spacing w:before="100" w:beforeAutospacing="1" w:after="100" w:afterAutospacing="1"/>
    </w:pPr>
    <w:rPr>
      <w:rFonts w:ascii="Arial" w:eastAsia="Arial Unicode MS" w:hAnsi="Arial"/>
      <w:b/>
      <w:bCs/>
      <w:color w:val="000000"/>
      <w:sz w:val="18"/>
      <w:szCs w:val="18"/>
    </w:rPr>
  </w:style>
  <w:style w:type="character" w:customStyle="1" w:styleId="glavnitekst1">
    <w:name w:val="glavni_tekst1"/>
    <w:basedOn w:val="Zadanifontodlomka"/>
    <w:rPr>
      <w:rFonts w:ascii="Arial" w:hAnsi="Arial" w:cs="Arial" w:hint="default"/>
      <w:b/>
      <w:bCs/>
      <w:color w:val="01567E"/>
      <w:sz w:val="20"/>
      <w:szCs w:val="20"/>
    </w:rPr>
  </w:style>
  <w:style w:type="character" w:styleId="SlijeenaHiperveza">
    <w:name w:val="FollowedHyperlink"/>
    <w:basedOn w:val="Zadanifontodlomka"/>
    <w:rPr>
      <w:color w:val="800080"/>
      <w:u w:val="single"/>
    </w:rPr>
  </w:style>
  <w:style w:type="paragraph" w:customStyle="1" w:styleId="GLAVALIJEVA">
    <w:name w:val="GLAVA LIJEVA"/>
    <w:pPr>
      <w:widowControl w:val="0"/>
    </w:pPr>
    <w:rPr>
      <w:rFonts w:ascii="Courier" w:hAnsi="Courier"/>
      <w:snapToGrid w:val="0"/>
      <w:sz w:val="24"/>
      <w:lang w:val="en-US" w:eastAsia="en-US"/>
    </w:rPr>
  </w:style>
  <w:style w:type="table" w:styleId="Reetkatablice">
    <w:name w:val="Table Grid"/>
    <w:basedOn w:val="Obinatablica"/>
    <w:rsid w:val="006726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krajnjebiljeke">
    <w:name w:val="endnote text"/>
    <w:basedOn w:val="Normal"/>
    <w:semiHidden/>
    <w:rsid w:val="0067261B"/>
    <w:pPr>
      <w:widowControl w:val="0"/>
    </w:pPr>
    <w:rPr>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www.dzs.hr"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825503355704702E-2"/>
          <c:y val="6.2678062678062682E-2"/>
          <c:w val="0.65771812080536918"/>
          <c:h val="0.7834757834757835"/>
        </c:manualLayout>
      </c:layout>
      <c:lineChart>
        <c:grouping val="standard"/>
        <c:varyColors val="0"/>
        <c:ser>
          <c:idx val="0"/>
          <c:order val="0"/>
          <c:tx>
            <c:strRef>
              <c:f>List1!$A$2</c:f>
              <c:strCache>
                <c:ptCount val="1"/>
                <c:pt idx="0">
                  <c:v>Barlabaševec</c:v>
                </c:pt>
              </c:strCache>
            </c:strRef>
          </c:tx>
          <c:spPr>
            <a:ln w="12712">
              <a:solidFill>
                <a:srgbClr val="000080"/>
              </a:solidFill>
              <a:prstDash val="solid"/>
            </a:ln>
          </c:spPr>
          <c:marker>
            <c:symbol val="diamond"/>
            <c:size val="5"/>
            <c:spPr>
              <a:solidFill>
                <a:srgbClr val="000080"/>
              </a:solidFill>
              <a:ln>
                <a:solidFill>
                  <a:srgbClr val="000080"/>
                </a:solidFill>
                <a:prstDash val="solid"/>
              </a:ln>
            </c:spPr>
          </c:marker>
          <c:cat>
            <c:numRef>
              <c:f>List1!$B$1:$P$1</c:f>
              <c:numCache>
                <c:formatCode>General</c:formatCode>
                <c:ptCount val="15"/>
                <c:pt idx="0">
                  <c:v>1857</c:v>
                </c:pt>
                <c:pt idx="1">
                  <c:v>1869</c:v>
                </c:pt>
                <c:pt idx="2">
                  <c:v>1880</c:v>
                </c:pt>
                <c:pt idx="3">
                  <c:v>1890</c:v>
                </c:pt>
                <c:pt idx="4">
                  <c:v>1900</c:v>
                </c:pt>
                <c:pt idx="5">
                  <c:v>1910</c:v>
                </c:pt>
                <c:pt idx="6">
                  <c:v>1921</c:v>
                </c:pt>
                <c:pt idx="7">
                  <c:v>1931</c:v>
                </c:pt>
                <c:pt idx="8">
                  <c:v>1948</c:v>
                </c:pt>
                <c:pt idx="9">
                  <c:v>1953</c:v>
                </c:pt>
                <c:pt idx="10">
                  <c:v>1961</c:v>
                </c:pt>
                <c:pt idx="11">
                  <c:v>1971</c:v>
                </c:pt>
                <c:pt idx="12">
                  <c:v>1981</c:v>
                </c:pt>
                <c:pt idx="13">
                  <c:v>1991</c:v>
                </c:pt>
                <c:pt idx="14">
                  <c:v>2001</c:v>
                </c:pt>
              </c:numCache>
            </c:numRef>
          </c:cat>
          <c:val>
            <c:numRef>
              <c:f>List1!$B$2:$P$2</c:f>
              <c:numCache>
                <c:formatCode>General</c:formatCode>
                <c:ptCount val="15"/>
                <c:pt idx="0">
                  <c:v>33</c:v>
                </c:pt>
                <c:pt idx="1">
                  <c:v>42</c:v>
                </c:pt>
                <c:pt idx="2">
                  <c:v>33</c:v>
                </c:pt>
                <c:pt idx="3">
                  <c:v>42</c:v>
                </c:pt>
                <c:pt idx="4">
                  <c:v>54</c:v>
                </c:pt>
                <c:pt idx="5">
                  <c:v>59</c:v>
                </c:pt>
                <c:pt idx="6">
                  <c:v>47</c:v>
                </c:pt>
                <c:pt idx="7">
                  <c:v>47</c:v>
                </c:pt>
                <c:pt idx="8">
                  <c:v>48</c:v>
                </c:pt>
                <c:pt idx="9">
                  <c:v>45</c:v>
                </c:pt>
                <c:pt idx="10">
                  <c:v>50</c:v>
                </c:pt>
                <c:pt idx="11">
                  <c:v>41</c:v>
                </c:pt>
                <c:pt idx="12">
                  <c:v>35</c:v>
                </c:pt>
                <c:pt idx="13">
                  <c:v>29</c:v>
                </c:pt>
                <c:pt idx="14">
                  <c:v>22</c:v>
                </c:pt>
              </c:numCache>
            </c:numRef>
          </c:val>
          <c:smooth val="0"/>
        </c:ser>
        <c:ser>
          <c:idx val="1"/>
          <c:order val="1"/>
          <c:tx>
            <c:strRef>
              <c:f>List1!$A$3</c:f>
              <c:strCache>
                <c:ptCount val="1"/>
                <c:pt idx="0">
                  <c:v>Deklešanec</c:v>
                </c:pt>
              </c:strCache>
            </c:strRef>
          </c:tx>
          <c:spPr>
            <a:ln w="12712">
              <a:solidFill>
                <a:srgbClr val="FF00FF"/>
              </a:solidFill>
              <a:prstDash val="solid"/>
            </a:ln>
          </c:spPr>
          <c:marker>
            <c:symbol val="square"/>
            <c:size val="5"/>
            <c:spPr>
              <a:solidFill>
                <a:srgbClr val="FF00FF"/>
              </a:solidFill>
              <a:ln>
                <a:solidFill>
                  <a:srgbClr val="FF00FF"/>
                </a:solidFill>
                <a:prstDash val="solid"/>
              </a:ln>
            </c:spPr>
          </c:marker>
          <c:cat>
            <c:numRef>
              <c:f>List1!$B$1:$P$1</c:f>
              <c:numCache>
                <c:formatCode>General</c:formatCode>
                <c:ptCount val="15"/>
                <c:pt idx="0">
                  <c:v>1857</c:v>
                </c:pt>
                <c:pt idx="1">
                  <c:v>1869</c:v>
                </c:pt>
                <c:pt idx="2">
                  <c:v>1880</c:v>
                </c:pt>
                <c:pt idx="3">
                  <c:v>1890</c:v>
                </c:pt>
                <c:pt idx="4">
                  <c:v>1900</c:v>
                </c:pt>
                <c:pt idx="5">
                  <c:v>1910</c:v>
                </c:pt>
                <c:pt idx="6">
                  <c:v>1921</c:v>
                </c:pt>
                <c:pt idx="7">
                  <c:v>1931</c:v>
                </c:pt>
                <c:pt idx="8">
                  <c:v>1948</c:v>
                </c:pt>
                <c:pt idx="9">
                  <c:v>1953</c:v>
                </c:pt>
                <c:pt idx="10">
                  <c:v>1961</c:v>
                </c:pt>
                <c:pt idx="11">
                  <c:v>1971</c:v>
                </c:pt>
                <c:pt idx="12">
                  <c:v>1981</c:v>
                </c:pt>
                <c:pt idx="13">
                  <c:v>1991</c:v>
                </c:pt>
                <c:pt idx="14">
                  <c:v>2001</c:v>
                </c:pt>
              </c:numCache>
            </c:numRef>
          </c:cat>
          <c:val>
            <c:numRef>
              <c:f>List1!$B$3:$P$3</c:f>
              <c:numCache>
                <c:formatCode>General</c:formatCode>
                <c:ptCount val="15"/>
                <c:pt idx="0">
                  <c:v>172</c:v>
                </c:pt>
                <c:pt idx="1">
                  <c:v>177</c:v>
                </c:pt>
                <c:pt idx="2">
                  <c:v>169</c:v>
                </c:pt>
                <c:pt idx="3">
                  <c:v>198</c:v>
                </c:pt>
                <c:pt idx="4">
                  <c:v>224</c:v>
                </c:pt>
                <c:pt idx="5">
                  <c:v>246</c:v>
                </c:pt>
                <c:pt idx="6">
                  <c:v>234</c:v>
                </c:pt>
                <c:pt idx="7">
                  <c:v>262</c:v>
                </c:pt>
                <c:pt idx="8">
                  <c:v>226</c:v>
                </c:pt>
                <c:pt idx="9">
                  <c:v>213</c:v>
                </c:pt>
                <c:pt idx="10">
                  <c:v>200</c:v>
                </c:pt>
                <c:pt idx="11">
                  <c:v>173</c:v>
                </c:pt>
                <c:pt idx="12">
                  <c:v>167</c:v>
                </c:pt>
                <c:pt idx="13">
                  <c:v>151</c:v>
                </c:pt>
                <c:pt idx="14">
                  <c:v>141</c:v>
                </c:pt>
              </c:numCache>
            </c:numRef>
          </c:val>
          <c:smooth val="0"/>
        </c:ser>
        <c:ser>
          <c:idx val="2"/>
          <c:order val="2"/>
          <c:tx>
            <c:strRef>
              <c:f>List1!$A$4</c:f>
              <c:strCache>
                <c:ptCount val="1"/>
                <c:pt idx="0">
                  <c:v>Donja Rijeka</c:v>
                </c:pt>
              </c:strCache>
            </c:strRef>
          </c:tx>
          <c:spPr>
            <a:ln w="12712">
              <a:solidFill>
                <a:srgbClr val="FFFF00"/>
              </a:solidFill>
              <a:prstDash val="solid"/>
            </a:ln>
          </c:spPr>
          <c:marker>
            <c:symbol val="triangle"/>
            <c:size val="5"/>
            <c:spPr>
              <a:solidFill>
                <a:srgbClr val="FFFF00"/>
              </a:solidFill>
              <a:ln>
                <a:solidFill>
                  <a:srgbClr val="FFFF00"/>
                </a:solidFill>
                <a:prstDash val="solid"/>
              </a:ln>
            </c:spPr>
          </c:marker>
          <c:cat>
            <c:numRef>
              <c:f>List1!$B$1:$P$1</c:f>
              <c:numCache>
                <c:formatCode>General</c:formatCode>
                <c:ptCount val="15"/>
                <c:pt idx="0">
                  <c:v>1857</c:v>
                </c:pt>
                <c:pt idx="1">
                  <c:v>1869</c:v>
                </c:pt>
                <c:pt idx="2">
                  <c:v>1880</c:v>
                </c:pt>
                <c:pt idx="3">
                  <c:v>1890</c:v>
                </c:pt>
                <c:pt idx="4">
                  <c:v>1900</c:v>
                </c:pt>
                <c:pt idx="5">
                  <c:v>1910</c:v>
                </c:pt>
                <c:pt idx="6">
                  <c:v>1921</c:v>
                </c:pt>
                <c:pt idx="7">
                  <c:v>1931</c:v>
                </c:pt>
                <c:pt idx="8">
                  <c:v>1948</c:v>
                </c:pt>
                <c:pt idx="9">
                  <c:v>1953</c:v>
                </c:pt>
                <c:pt idx="10">
                  <c:v>1961</c:v>
                </c:pt>
                <c:pt idx="11">
                  <c:v>1971</c:v>
                </c:pt>
                <c:pt idx="12">
                  <c:v>1981</c:v>
                </c:pt>
                <c:pt idx="13">
                  <c:v>1991</c:v>
                </c:pt>
                <c:pt idx="14">
                  <c:v>2001</c:v>
                </c:pt>
              </c:numCache>
            </c:numRef>
          </c:cat>
          <c:val>
            <c:numRef>
              <c:f>List1!$B$4:$P$4</c:f>
              <c:numCache>
                <c:formatCode>General</c:formatCode>
                <c:ptCount val="15"/>
                <c:pt idx="0">
                  <c:v>270</c:v>
                </c:pt>
                <c:pt idx="1">
                  <c:v>289</c:v>
                </c:pt>
                <c:pt idx="2">
                  <c:v>314</c:v>
                </c:pt>
                <c:pt idx="3">
                  <c:v>357</c:v>
                </c:pt>
                <c:pt idx="4">
                  <c:v>359</c:v>
                </c:pt>
                <c:pt idx="5">
                  <c:v>401</c:v>
                </c:pt>
                <c:pt idx="6">
                  <c:v>400</c:v>
                </c:pt>
                <c:pt idx="7">
                  <c:v>448</c:v>
                </c:pt>
                <c:pt idx="8">
                  <c:v>474</c:v>
                </c:pt>
                <c:pt idx="9">
                  <c:v>479</c:v>
                </c:pt>
                <c:pt idx="10">
                  <c:v>447</c:v>
                </c:pt>
                <c:pt idx="11">
                  <c:v>380</c:v>
                </c:pt>
                <c:pt idx="12">
                  <c:v>313</c:v>
                </c:pt>
                <c:pt idx="13">
                  <c:v>281</c:v>
                </c:pt>
                <c:pt idx="14">
                  <c:v>241</c:v>
                </c:pt>
              </c:numCache>
            </c:numRef>
          </c:val>
          <c:smooth val="0"/>
        </c:ser>
        <c:ser>
          <c:idx val="3"/>
          <c:order val="3"/>
          <c:tx>
            <c:strRef>
              <c:f>List1!$A$5</c:f>
              <c:strCache>
                <c:ptCount val="1"/>
                <c:pt idx="0">
                  <c:v>Dropkovec</c:v>
                </c:pt>
              </c:strCache>
            </c:strRef>
          </c:tx>
          <c:spPr>
            <a:ln w="12712">
              <a:solidFill>
                <a:srgbClr val="00FFFF"/>
              </a:solidFill>
              <a:prstDash val="solid"/>
            </a:ln>
          </c:spPr>
          <c:marker>
            <c:symbol val="x"/>
            <c:size val="5"/>
            <c:spPr>
              <a:noFill/>
              <a:ln>
                <a:solidFill>
                  <a:srgbClr val="00FFFF"/>
                </a:solidFill>
                <a:prstDash val="solid"/>
              </a:ln>
            </c:spPr>
          </c:marker>
          <c:cat>
            <c:numRef>
              <c:f>List1!$B$1:$P$1</c:f>
              <c:numCache>
                <c:formatCode>General</c:formatCode>
                <c:ptCount val="15"/>
                <c:pt idx="0">
                  <c:v>1857</c:v>
                </c:pt>
                <c:pt idx="1">
                  <c:v>1869</c:v>
                </c:pt>
                <c:pt idx="2">
                  <c:v>1880</c:v>
                </c:pt>
                <c:pt idx="3">
                  <c:v>1890</c:v>
                </c:pt>
                <c:pt idx="4">
                  <c:v>1900</c:v>
                </c:pt>
                <c:pt idx="5">
                  <c:v>1910</c:v>
                </c:pt>
                <c:pt idx="6">
                  <c:v>1921</c:v>
                </c:pt>
                <c:pt idx="7">
                  <c:v>1931</c:v>
                </c:pt>
                <c:pt idx="8">
                  <c:v>1948</c:v>
                </c:pt>
                <c:pt idx="9">
                  <c:v>1953</c:v>
                </c:pt>
                <c:pt idx="10">
                  <c:v>1961</c:v>
                </c:pt>
                <c:pt idx="11">
                  <c:v>1971</c:v>
                </c:pt>
                <c:pt idx="12">
                  <c:v>1981</c:v>
                </c:pt>
                <c:pt idx="13">
                  <c:v>1991</c:v>
                </c:pt>
                <c:pt idx="14">
                  <c:v>2001</c:v>
                </c:pt>
              </c:numCache>
            </c:numRef>
          </c:cat>
          <c:val>
            <c:numRef>
              <c:f>List1!$B$5:$P$5</c:f>
              <c:numCache>
                <c:formatCode>General</c:formatCode>
                <c:ptCount val="15"/>
                <c:pt idx="0">
                  <c:v>256</c:v>
                </c:pt>
                <c:pt idx="1">
                  <c:v>273</c:v>
                </c:pt>
                <c:pt idx="2">
                  <c:v>261</c:v>
                </c:pt>
                <c:pt idx="3">
                  <c:v>312</c:v>
                </c:pt>
                <c:pt idx="4">
                  <c:v>319</c:v>
                </c:pt>
                <c:pt idx="5">
                  <c:v>357</c:v>
                </c:pt>
                <c:pt idx="6">
                  <c:v>331</c:v>
                </c:pt>
                <c:pt idx="7">
                  <c:v>334</c:v>
                </c:pt>
                <c:pt idx="8">
                  <c:v>335</c:v>
                </c:pt>
                <c:pt idx="9">
                  <c:v>370</c:v>
                </c:pt>
                <c:pt idx="10">
                  <c:v>358</c:v>
                </c:pt>
                <c:pt idx="11">
                  <c:v>325</c:v>
                </c:pt>
                <c:pt idx="12">
                  <c:v>272</c:v>
                </c:pt>
                <c:pt idx="13">
                  <c:v>222</c:v>
                </c:pt>
                <c:pt idx="14">
                  <c:v>193</c:v>
                </c:pt>
              </c:numCache>
            </c:numRef>
          </c:val>
          <c:smooth val="0"/>
        </c:ser>
        <c:ser>
          <c:idx val="4"/>
          <c:order val="4"/>
          <c:tx>
            <c:strRef>
              <c:f>List1!$A$6</c:f>
              <c:strCache>
                <c:ptCount val="1"/>
                <c:pt idx="0">
                  <c:v>Fajerovec</c:v>
                </c:pt>
              </c:strCache>
            </c:strRef>
          </c:tx>
          <c:spPr>
            <a:ln w="12712">
              <a:solidFill>
                <a:srgbClr val="800080"/>
              </a:solidFill>
              <a:prstDash val="solid"/>
            </a:ln>
          </c:spPr>
          <c:marker>
            <c:symbol val="star"/>
            <c:size val="5"/>
            <c:spPr>
              <a:noFill/>
              <a:ln>
                <a:solidFill>
                  <a:srgbClr val="800080"/>
                </a:solidFill>
                <a:prstDash val="solid"/>
              </a:ln>
            </c:spPr>
          </c:marker>
          <c:cat>
            <c:numRef>
              <c:f>List1!$B$1:$P$1</c:f>
              <c:numCache>
                <c:formatCode>General</c:formatCode>
                <c:ptCount val="15"/>
                <c:pt idx="0">
                  <c:v>1857</c:v>
                </c:pt>
                <c:pt idx="1">
                  <c:v>1869</c:v>
                </c:pt>
                <c:pt idx="2">
                  <c:v>1880</c:v>
                </c:pt>
                <c:pt idx="3">
                  <c:v>1890</c:v>
                </c:pt>
                <c:pt idx="4">
                  <c:v>1900</c:v>
                </c:pt>
                <c:pt idx="5">
                  <c:v>1910</c:v>
                </c:pt>
                <c:pt idx="6">
                  <c:v>1921</c:v>
                </c:pt>
                <c:pt idx="7">
                  <c:v>1931</c:v>
                </c:pt>
                <c:pt idx="8">
                  <c:v>1948</c:v>
                </c:pt>
                <c:pt idx="9">
                  <c:v>1953</c:v>
                </c:pt>
                <c:pt idx="10">
                  <c:v>1961</c:v>
                </c:pt>
                <c:pt idx="11">
                  <c:v>1971</c:v>
                </c:pt>
                <c:pt idx="12">
                  <c:v>1981</c:v>
                </c:pt>
                <c:pt idx="13">
                  <c:v>1991</c:v>
                </c:pt>
                <c:pt idx="14">
                  <c:v>2001</c:v>
                </c:pt>
              </c:numCache>
            </c:numRef>
          </c:cat>
          <c:val>
            <c:numRef>
              <c:f>List1!$B$6:$P$6</c:f>
              <c:numCache>
                <c:formatCode>General</c:formatCode>
                <c:ptCount val="15"/>
                <c:pt idx="0">
                  <c:v>133</c:v>
                </c:pt>
                <c:pt idx="1">
                  <c:v>150</c:v>
                </c:pt>
                <c:pt idx="2">
                  <c:v>151</c:v>
                </c:pt>
                <c:pt idx="3">
                  <c:v>163</c:v>
                </c:pt>
                <c:pt idx="4">
                  <c:v>173</c:v>
                </c:pt>
                <c:pt idx="5">
                  <c:v>186</c:v>
                </c:pt>
                <c:pt idx="6">
                  <c:v>171</c:v>
                </c:pt>
                <c:pt idx="7">
                  <c:v>175</c:v>
                </c:pt>
                <c:pt idx="8">
                  <c:v>172</c:v>
                </c:pt>
                <c:pt idx="9">
                  <c:v>175</c:v>
                </c:pt>
                <c:pt idx="10">
                  <c:v>177</c:v>
                </c:pt>
                <c:pt idx="11">
                  <c:v>153</c:v>
                </c:pt>
                <c:pt idx="12">
                  <c:v>140</c:v>
                </c:pt>
                <c:pt idx="13">
                  <c:v>112</c:v>
                </c:pt>
                <c:pt idx="14">
                  <c:v>100</c:v>
                </c:pt>
              </c:numCache>
            </c:numRef>
          </c:val>
          <c:smooth val="0"/>
        </c:ser>
        <c:ser>
          <c:idx val="5"/>
          <c:order val="5"/>
          <c:tx>
            <c:strRef>
              <c:f>List1!$A$7</c:f>
              <c:strCache>
                <c:ptCount val="1"/>
                <c:pt idx="0">
                  <c:v>Fodrovec Riječki</c:v>
                </c:pt>
              </c:strCache>
            </c:strRef>
          </c:tx>
          <c:spPr>
            <a:ln w="12712">
              <a:solidFill>
                <a:srgbClr val="800000"/>
              </a:solidFill>
              <a:prstDash val="solid"/>
            </a:ln>
          </c:spPr>
          <c:marker>
            <c:symbol val="circle"/>
            <c:size val="5"/>
            <c:spPr>
              <a:solidFill>
                <a:srgbClr val="800000"/>
              </a:solidFill>
              <a:ln>
                <a:solidFill>
                  <a:srgbClr val="800000"/>
                </a:solidFill>
                <a:prstDash val="solid"/>
              </a:ln>
            </c:spPr>
          </c:marker>
          <c:cat>
            <c:numRef>
              <c:f>List1!$B$1:$P$1</c:f>
              <c:numCache>
                <c:formatCode>General</c:formatCode>
                <c:ptCount val="15"/>
                <c:pt idx="0">
                  <c:v>1857</c:v>
                </c:pt>
                <c:pt idx="1">
                  <c:v>1869</c:v>
                </c:pt>
                <c:pt idx="2">
                  <c:v>1880</c:v>
                </c:pt>
                <c:pt idx="3">
                  <c:v>1890</c:v>
                </c:pt>
                <c:pt idx="4">
                  <c:v>1900</c:v>
                </c:pt>
                <c:pt idx="5">
                  <c:v>1910</c:v>
                </c:pt>
                <c:pt idx="6">
                  <c:v>1921</c:v>
                </c:pt>
                <c:pt idx="7">
                  <c:v>1931</c:v>
                </c:pt>
                <c:pt idx="8">
                  <c:v>1948</c:v>
                </c:pt>
                <c:pt idx="9">
                  <c:v>1953</c:v>
                </c:pt>
                <c:pt idx="10">
                  <c:v>1961</c:v>
                </c:pt>
                <c:pt idx="11">
                  <c:v>1971</c:v>
                </c:pt>
                <c:pt idx="12">
                  <c:v>1981</c:v>
                </c:pt>
                <c:pt idx="13">
                  <c:v>1991</c:v>
                </c:pt>
                <c:pt idx="14">
                  <c:v>2001</c:v>
                </c:pt>
              </c:numCache>
            </c:numRef>
          </c:cat>
          <c:val>
            <c:numRef>
              <c:f>List1!$B$7:$P$7</c:f>
              <c:numCache>
                <c:formatCode>General</c:formatCode>
                <c:ptCount val="15"/>
                <c:pt idx="0">
                  <c:v>58</c:v>
                </c:pt>
                <c:pt idx="1">
                  <c:v>66</c:v>
                </c:pt>
                <c:pt idx="2">
                  <c:v>62</c:v>
                </c:pt>
                <c:pt idx="3">
                  <c:v>61</c:v>
                </c:pt>
                <c:pt idx="4">
                  <c:v>73</c:v>
                </c:pt>
                <c:pt idx="5">
                  <c:v>100</c:v>
                </c:pt>
                <c:pt idx="6">
                  <c:v>89</c:v>
                </c:pt>
                <c:pt idx="7">
                  <c:v>114</c:v>
                </c:pt>
                <c:pt idx="8">
                  <c:v>115</c:v>
                </c:pt>
                <c:pt idx="9">
                  <c:v>114</c:v>
                </c:pt>
                <c:pt idx="10">
                  <c:v>110</c:v>
                </c:pt>
                <c:pt idx="11">
                  <c:v>109</c:v>
                </c:pt>
                <c:pt idx="12">
                  <c:v>102</c:v>
                </c:pt>
                <c:pt idx="13">
                  <c:v>91</c:v>
                </c:pt>
                <c:pt idx="14">
                  <c:v>86</c:v>
                </c:pt>
              </c:numCache>
            </c:numRef>
          </c:val>
          <c:smooth val="0"/>
        </c:ser>
        <c:ser>
          <c:idx val="6"/>
          <c:order val="6"/>
          <c:tx>
            <c:strRef>
              <c:f>List1!$A$8</c:f>
              <c:strCache>
                <c:ptCount val="1"/>
                <c:pt idx="0">
                  <c:v>Gornja Rijeka</c:v>
                </c:pt>
              </c:strCache>
            </c:strRef>
          </c:tx>
          <c:spPr>
            <a:ln w="12712">
              <a:solidFill>
                <a:srgbClr val="008080"/>
              </a:solidFill>
              <a:prstDash val="solid"/>
            </a:ln>
          </c:spPr>
          <c:marker>
            <c:symbol val="plus"/>
            <c:size val="5"/>
            <c:spPr>
              <a:noFill/>
              <a:ln>
                <a:solidFill>
                  <a:srgbClr val="008080"/>
                </a:solidFill>
                <a:prstDash val="solid"/>
              </a:ln>
            </c:spPr>
          </c:marker>
          <c:cat>
            <c:numRef>
              <c:f>List1!$B$1:$P$1</c:f>
              <c:numCache>
                <c:formatCode>General</c:formatCode>
                <c:ptCount val="15"/>
                <c:pt idx="0">
                  <c:v>1857</c:v>
                </c:pt>
                <c:pt idx="1">
                  <c:v>1869</c:v>
                </c:pt>
                <c:pt idx="2">
                  <c:v>1880</c:v>
                </c:pt>
                <c:pt idx="3">
                  <c:v>1890</c:v>
                </c:pt>
                <c:pt idx="4">
                  <c:v>1900</c:v>
                </c:pt>
                <c:pt idx="5">
                  <c:v>1910</c:v>
                </c:pt>
                <c:pt idx="6">
                  <c:v>1921</c:v>
                </c:pt>
                <c:pt idx="7">
                  <c:v>1931</c:v>
                </c:pt>
                <c:pt idx="8">
                  <c:v>1948</c:v>
                </c:pt>
                <c:pt idx="9">
                  <c:v>1953</c:v>
                </c:pt>
                <c:pt idx="10">
                  <c:v>1961</c:v>
                </c:pt>
                <c:pt idx="11">
                  <c:v>1971</c:v>
                </c:pt>
                <c:pt idx="12">
                  <c:v>1981</c:v>
                </c:pt>
                <c:pt idx="13">
                  <c:v>1991</c:v>
                </c:pt>
                <c:pt idx="14">
                  <c:v>2001</c:v>
                </c:pt>
              </c:numCache>
            </c:numRef>
          </c:cat>
          <c:val>
            <c:numRef>
              <c:f>List1!$B$8:$P$8</c:f>
              <c:numCache>
                <c:formatCode>General</c:formatCode>
                <c:ptCount val="15"/>
                <c:pt idx="0">
                  <c:v>290</c:v>
                </c:pt>
                <c:pt idx="1">
                  <c:v>317</c:v>
                </c:pt>
                <c:pt idx="2">
                  <c:v>421</c:v>
                </c:pt>
                <c:pt idx="3">
                  <c:v>445</c:v>
                </c:pt>
                <c:pt idx="4">
                  <c:v>531</c:v>
                </c:pt>
                <c:pt idx="5">
                  <c:v>594</c:v>
                </c:pt>
                <c:pt idx="6">
                  <c:v>555</c:v>
                </c:pt>
                <c:pt idx="7">
                  <c:v>636</c:v>
                </c:pt>
                <c:pt idx="8">
                  <c:v>581</c:v>
                </c:pt>
                <c:pt idx="9">
                  <c:v>608</c:v>
                </c:pt>
                <c:pt idx="10">
                  <c:v>577</c:v>
                </c:pt>
                <c:pt idx="11">
                  <c:v>498</c:v>
                </c:pt>
                <c:pt idx="12">
                  <c:v>492</c:v>
                </c:pt>
                <c:pt idx="13">
                  <c:v>450</c:v>
                </c:pt>
                <c:pt idx="14">
                  <c:v>383</c:v>
                </c:pt>
              </c:numCache>
            </c:numRef>
          </c:val>
          <c:smooth val="0"/>
        </c:ser>
        <c:ser>
          <c:idx val="7"/>
          <c:order val="7"/>
          <c:tx>
            <c:strRef>
              <c:f>List1!$A$9</c:f>
              <c:strCache>
                <c:ptCount val="1"/>
                <c:pt idx="0">
                  <c:v>Kolarec</c:v>
                </c:pt>
              </c:strCache>
            </c:strRef>
          </c:tx>
          <c:spPr>
            <a:ln w="12712">
              <a:solidFill>
                <a:srgbClr val="0000FF"/>
              </a:solidFill>
              <a:prstDash val="solid"/>
            </a:ln>
          </c:spPr>
          <c:marker>
            <c:symbol val="dot"/>
            <c:size val="5"/>
            <c:spPr>
              <a:noFill/>
              <a:ln>
                <a:solidFill>
                  <a:srgbClr val="0000FF"/>
                </a:solidFill>
                <a:prstDash val="solid"/>
              </a:ln>
            </c:spPr>
          </c:marker>
          <c:cat>
            <c:numRef>
              <c:f>List1!$B$1:$P$1</c:f>
              <c:numCache>
                <c:formatCode>General</c:formatCode>
                <c:ptCount val="15"/>
                <c:pt idx="0">
                  <c:v>1857</c:v>
                </c:pt>
                <c:pt idx="1">
                  <c:v>1869</c:v>
                </c:pt>
                <c:pt idx="2">
                  <c:v>1880</c:v>
                </c:pt>
                <c:pt idx="3">
                  <c:v>1890</c:v>
                </c:pt>
                <c:pt idx="4">
                  <c:v>1900</c:v>
                </c:pt>
                <c:pt idx="5">
                  <c:v>1910</c:v>
                </c:pt>
                <c:pt idx="6">
                  <c:v>1921</c:v>
                </c:pt>
                <c:pt idx="7">
                  <c:v>1931</c:v>
                </c:pt>
                <c:pt idx="8">
                  <c:v>1948</c:v>
                </c:pt>
                <c:pt idx="9">
                  <c:v>1953</c:v>
                </c:pt>
                <c:pt idx="10">
                  <c:v>1961</c:v>
                </c:pt>
                <c:pt idx="11">
                  <c:v>1971</c:v>
                </c:pt>
                <c:pt idx="12">
                  <c:v>1981</c:v>
                </c:pt>
                <c:pt idx="13">
                  <c:v>1991</c:v>
                </c:pt>
                <c:pt idx="14">
                  <c:v>2001</c:v>
                </c:pt>
              </c:numCache>
            </c:numRef>
          </c:cat>
          <c:val>
            <c:numRef>
              <c:f>List1!$B$9:$P$9</c:f>
              <c:numCache>
                <c:formatCode>General</c:formatCode>
                <c:ptCount val="15"/>
                <c:pt idx="0">
                  <c:v>164</c:v>
                </c:pt>
                <c:pt idx="1">
                  <c:v>192</c:v>
                </c:pt>
                <c:pt idx="2">
                  <c:v>227</c:v>
                </c:pt>
                <c:pt idx="3">
                  <c:v>253</c:v>
                </c:pt>
                <c:pt idx="4">
                  <c:v>292</c:v>
                </c:pt>
                <c:pt idx="5">
                  <c:v>309</c:v>
                </c:pt>
                <c:pt idx="6">
                  <c:v>292</c:v>
                </c:pt>
                <c:pt idx="7">
                  <c:v>346</c:v>
                </c:pt>
                <c:pt idx="8">
                  <c:v>343</c:v>
                </c:pt>
                <c:pt idx="9">
                  <c:v>365</c:v>
                </c:pt>
                <c:pt idx="10">
                  <c:v>335</c:v>
                </c:pt>
                <c:pt idx="11">
                  <c:v>286</c:v>
                </c:pt>
                <c:pt idx="12">
                  <c:v>253</c:v>
                </c:pt>
                <c:pt idx="13">
                  <c:v>219</c:v>
                </c:pt>
                <c:pt idx="14">
                  <c:v>184</c:v>
                </c:pt>
              </c:numCache>
            </c:numRef>
          </c:val>
          <c:smooth val="0"/>
        </c:ser>
        <c:ser>
          <c:idx val="8"/>
          <c:order val="8"/>
          <c:tx>
            <c:strRef>
              <c:f>List1!$A$10</c:f>
              <c:strCache>
                <c:ptCount val="1"/>
                <c:pt idx="0">
                  <c:v>Kostanjevec Riječki</c:v>
                </c:pt>
              </c:strCache>
            </c:strRef>
          </c:tx>
          <c:spPr>
            <a:ln w="12712">
              <a:solidFill>
                <a:srgbClr val="00CCFF"/>
              </a:solidFill>
              <a:prstDash val="solid"/>
            </a:ln>
          </c:spPr>
          <c:marker>
            <c:symbol val="dash"/>
            <c:size val="5"/>
            <c:spPr>
              <a:noFill/>
              <a:ln>
                <a:solidFill>
                  <a:srgbClr val="00CCFF"/>
                </a:solidFill>
                <a:prstDash val="solid"/>
              </a:ln>
            </c:spPr>
          </c:marker>
          <c:cat>
            <c:numRef>
              <c:f>List1!$B$1:$P$1</c:f>
              <c:numCache>
                <c:formatCode>General</c:formatCode>
                <c:ptCount val="15"/>
                <c:pt idx="0">
                  <c:v>1857</c:v>
                </c:pt>
                <c:pt idx="1">
                  <c:v>1869</c:v>
                </c:pt>
                <c:pt idx="2">
                  <c:v>1880</c:v>
                </c:pt>
                <c:pt idx="3">
                  <c:v>1890</c:v>
                </c:pt>
                <c:pt idx="4">
                  <c:v>1900</c:v>
                </c:pt>
                <c:pt idx="5">
                  <c:v>1910</c:v>
                </c:pt>
                <c:pt idx="6">
                  <c:v>1921</c:v>
                </c:pt>
                <c:pt idx="7">
                  <c:v>1931</c:v>
                </c:pt>
                <c:pt idx="8">
                  <c:v>1948</c:v>
                </c:pt>
                <c:pt idx="9">
                  <c:v>1953</c:v>
                </c:pt>
                <c:pt idx="10">
                  <c:v>1961</c:v>
                </c:pt>
                <c:pt idx="11">
                  <c:v>1971</c:v>
                </c:pt>
                <c:pt idx="12">
                  <c:v>1981</c:v>
                </c:pt>
                <c:pt idx="13">
                  <c:v>1991</c:v>
                </c:pt>
                <c:pt idx="14">
                  <c:v>2001</c:v>
                </c:pt>
              </c:numCache>
            </c:numRef>
          </c:cat>
          <c:val>
            <c:numRef>
              <c:f>List1!$B$10:$P$10</c:f>
              <c:numCache>
                <c:formatCode>General</c:formatCode>
                <c:ptCount val="15"/>
                <c:pt idx="0">
                  <c:v>212</c:v>
                </c:pt>
                <c:pt idx="1">
                  <c:v>242</c:v>
                </c:pt>
                <c:pt idx="2">
                  <c:v>228</c:v>
                </c:pt>
                <c:pt idx="3">
                  <c:v>286</c:v>
                </c:pt>
                <c:pt idx="4">
                  <c:v>295</c:v>
                </c:pt>
                <c:pt idx="5">
                  <c:v>373</c:v>
                </c:pt>
                <c:pt idx="6">
                  <c:v>390</c:v>
                </c:pt>
                <c:pt idx="7">
                  <c:v>400</c:v>
                </c:pt>
                <c:pt idx="8">
                  <c:v>431</c:v>
                </c:pt>
                <c:pt idx="9">
                  <c:v>437</c:v>
                </c:pt>
                <c:pt idx="10">
                  <c:v>458</c:v>
                </c:pt>
                <c:pt idx="11">
                  <c:v>372</c:v>
                </c:pt>
                <c:pt idx="12">
                  <c:v>389</c:v>
                </c:pt>
                <c:pt idx="13">
                  <c:v>317</c:v>
                </c:pt>
                <c:pt idx="14">
                  <c:v>285</c:v>
                </c:pt>
              </c:numCache>
            </c:numRef>
          </c:val>
          <c:smooth val="0"/>
        </c:ser>
        <c:ser>
          <c:idx val="9"/>
          <c:order val="9"/>
          <c:tx>
            <c:strRef>
              <c:f>List1!$A$11</c:f>
              <c:strCache>
                <c:ptCount val="1"/>
                <c:pt idx="0">
                  <c:v>Lukačevec</c:v>
                </c:pt>
              </c:strCache>
            </c:strRef>
          </c:tx>
          <c:spPr>
            <a:ln w="12712">
              <a:solidFill>
                <a:srgbClr val="CCFFFF"/>
              </a:solidFill>
              <a:prstDash val="solid"/>
            </a:ln>
          </c:spPr>
          <c:marker>
            <c:symbol val="diamond"/>
            <c:size val="5"/>
            <c:spPr>
              <a:solidFill>
                <a:srgbClr val="CCFFFF"/>
              </a:solidFill>
              <a:ln>
                <a:solidFill>
                  <a:srgbClr val="CCFFFF"/>
                </a:solidFill>
                <a:prstDash val="solid"/>
              </a:ln>
            </c:spPr>
          </c:marker>
          <c:cat>
            <c:numRef>
              <c:f>List1!$B$1:$P$1</c:f>
              <c:numCache>
                <c:formatCode>General</c:formatCode>
                <c:ptCount val="15"/>
                <c:pt idx="0">
                  <c:v>1857</c:v>
                </c:pt>
                <c:pt idx="1">
                  <c:v>1869</c:v>
                </c:pt>
                <c:pt idx="2">
                  <c:v>1880</c:v>
                </c:pt>
                <c:pt idx="3">
                  <c:v>1890</c:v>
                </c:pt>
                <c:pt idx="4">
                  <c:v>1900</c:v>
                </c:pt>
                <c:pt idx="5">
                  <c:v>1910</c:v>
                </c:pt>
                <c:pt idx="6">
                  <c:v>1921</c:v>
                </c:pt>
                <c:pt idx="7">
                  <c:v>1931</c:v>
                </c:pt>
                <c:pt idx="8">
                  <c:v>1948</c:v>
                </c:pt>
                <c:pt idx="9">
                  <c:v>1953</c:v>
                </c:pt>
                <c:pt idx="10">
                  <c:v>1961</c:v>
                </c:pt>
                <c:pt idx="11">
                  <c:v>1971</c:v>
                </c:pt>
                <c:pt idx="12">
                  <c:v>1981</c:v>
                </c:pt>
                <c:pt idx="13">
                  <c:v>1991</c:v>
                </c:pt>
                <c:pt idx="14">
                  <c:v>2001</c:v>
                </c:pt>
              </c:numCache>
            </c:numRef>
          </c:cat>
          <c:val>
            <c:numRef>
              <c:f>List1!$B$11:$P$11</c:f>
              <c:numCache>
                <c:formatCode>General</c:formatCode>
                <c:ptCount val="15"/>
                <c:pt idx="0">
                  <c:v>43</c:v>
                </c:pt>
                <c:pt idx="1">
                  <c:v>43</c:v>
                </c:pt>
                <c:pt idx="2">
                  <c:v>30</c:v>
                </c:pt>
                <c:pt idx="3">
                  <c:v>38</c:v>
                </c:pt>
                <c:pt idx="4">
                  <c:v>46</c:v>
                </c:pt>
                <c:pt idx="5">
                  <c:v>51</c:v>
                </c:pt>
                <c:pt idx="6">
                  <c:v>54</c:v>
                </c:pt>
                <c:pt idx="7">
                  <c:v>62</c:v>
                </c:pt>
                <c:pt idx="8">
                  <c:v>58</c:v>
                </c:pt>
                <c:pt idx="9">
                  <c:v>64</c:v>
                </c:pt>
                <c:pt idx="10">
                  <c:v>64</c:v>
                </c:pt>
                <c:pt idx="11">
                  <c:v>66</c:v>
                </c:pt>
                <c:pt idx="12">
                  <c:v>46</c:v>
                </c:pt>
                <c:pt idx="13">
                  <c:v>33</c:v>
                </c:pt>
                <c:pt idx="14">
                  <c:v>25</c:v>
                </c:pt>
              </c:numCache>
            </c:numRef>
          </c:val>
          <c:smooth val="0"/>
        </c:ser>
        <c:ser>
          <c:idx val="10"/>
          <c:order val="10"/>
          <c:tx>
            <c:strRef>
              <c:f>List1!$A$12</c:f>
              <c:strCache>
                <c:ptCount val="1"/>
                <c:pt idx="0">
                  <c:v>Nemčevec</c:v>
                </c:pt>
              </c:strCache>
            </c:strRef>
          </c:tx>
          <c:spPr>
            <a:ln w="12712">
              <a:solidFill>
                <a:srgbClr val="CCFFCC"/>
              </a:solidFill>
              <a:prstDash val="solid"/>
            </a:ln>
          </c:spPr>
          <c:marker>
            <c:symbol val="square"/>
            <c:size val="5"/>
            <c:spPr>
              <a:solidFill>
                <a:srgbClr val="CCFFCC"/>
              </a:solidFill>
              <a:ln>
                <a:solidFill>
                  <a:srgbClr val="CCFFCC"/>
                </a:solidFill>
                <a:prstDash val="solid"/>
              </a:ln>
            </c:spPr>
          </c:marker>
          <c:cat>
            <c:numRef>
              <c:f>List1!$B$1:$P$1</c:f>
              <c:numCache>
                <c:formatCode>General</c:formatCode>
                <c:ptCount val="15"/>
                <c:pt idx="0">
                  <c:v>1857</c:v>
                </c:pt>
                <c:pt idx="1">
                  <c:v>1869</c:v>
                </c:pt>
                <c:pt idx="2">
                  <c:v>1880</c:v>
                </c:pt>
                <c:pt idx="3">
                  <c:v>1890</c:v>
                </c:pt>
                <c:pt idx="4">
                  <c:v>1900</c:v>
                </c:pt>
                <c:pt idx="5">
                  <c:v>1910</c:v>
                </c:pt>
                <c:pt idx="6">
                  <c:v>1921</c:v>
                </c:pt>
                <c:pt idx="7">
                  <c:v>1931</c:v>
                </c:pt>
                <c:pt idx="8">
                  <c:v>1948</c:v>
                </c:pt>
                <c:pt idx="9">
                  <c:v>1953</c:v>
                </c:pt>
                <c:pt idx="10">
                  <c:v>1961</c:v>
                </c:pt>
                <c:pt idx="11">
                  <c:v>1971</c:v>
                </c:pt>
                <c:pt idx="12">
                  <c:v>1981</c:v>
                </c:pt>
                <c:pt idx="13">
                  <c:v>1991</c:v>
                </c:pt>
                <c:pt idx="14">
                  <c:v>2001</c:v>
                </c:pt>
              </c:numCache>
            </c:numRef>
          </c:cat>
          <c:val>
            <c:numRef>
              <c:f>List1!$B$12:$P$12</c:f>
              <c:numCache>
                <c:formatCode>General</c:formatCode>
                <c:ptCount val="15"/>
                <c:pt idx="0">
                  <c:v>135</c:v>
                </c:pt>
                <c:pt idx="1">
                  <c:v>123</c:v>
                </c:pt>
                <c:pt idx="2">
                  <c:v>126</c:v>
                </c:pt>
                <c:pt idx="3">
                  <c:v>141</c:v>
                </c:pt>
                <c:pt idx="4">
                  <c:v>155</c:v>
                </c:pt>
                <c:pt idx="5">
                  <c:v>186</c:v>
                </c:pt>
                <c:pt idx="6">
                  <c:v>148</c:v>
                </c:pt>
                <c:pt idx="7">
                  <c:v>153</c:v>
                </c:pt>
                <c:pt idx="8">
                  <c:v>132</c:v>
                </c:pt>
                <c:pt idx="9">
                  <c:v>123</c:v>
                </c:pt>
                <c:pt idx="10">
                  <c:v>124</c:v>
                </c:pt>
                <c:pt idx="11">
                  <c:v>105</c:v>
                </c:pt>
                <c:pt idx="12">
                  <c:v>64</c:v>
                </c:pt>
                <c:pt idx="13">
                  <c:v>46</c:v>
                </c:pt>
                <c:pt idx="14">
                  <c:v>29</c:v>
                </c:pt>
              </c:numCache>
            </c:numRef>
          </c:val>
          <c:smooth val="0"/>
        </c:ser>
        <c:ser>
          <c:idx val="11"/>
          <c:order val="11"/>
          <c:tx>
            <c:strRef>
              <c:f>List1!$A$13</c:f>
              <c:strCache>
                <c:ptCount val="1"/>
                <c:pt idx="0">
                  <c:v>Pofuki</c:v>
                </c:pt>
              </c:strCache>
            </c:strRef>
          </c:tx>
          <c:spPr>
            <a:ln w="12712">
              <a:solidFill>
                <a:srgbClr val="FFFF99"/>
              </a:solidFill>
              <a:prstDash val="solid"/>
            </a:ln>
          </c:spPr>
          <c:marker>
            <c:symbol val="triangle"/>
            <c:size val="5"/>
            <c:spPr>
              <a:solidFill>
                <a:srgbClr val="FFFF99"/>
              </a:solidFill>
              <a:ln>
                <a:solidFill>
                  <a:srgbClr val="FFFF99"/>
                </a:solidFill>
                <a:prstDash val="solid"/>
              </a:ln>
            </c:spPr>
          </c:marker>
          <c:cat>
            <c:numRef>
              <c:f>List1!$B$1:$P$1</c:f>
              <c:numCache>
                <c:formatCode>General</c:formatCode>
                <c:ptCount val="15"/>
                <c:pt idx="0">
                  <c:v>1857</c:v>
                </c:pt>
                <c:pt idx="1">
                  <c:v>1869</c:v>
                </c:pt>
                <c:pt idx="2">
                  <c:v>1880</c:v>
                </c:pt>
                <c:pt idx="3">
                  <c:v>1890</c:v>
                </c:pt>
                <c:pt idx="4">
                  <c:v>1900</c:v>
                </c:pt>
                <c:pt idx="5">
                  <c:v>1910</c:v>
                </c:pt>
                <c:pt idx="6">
                  <c:v>1921</c:v>
                </c:pt>
                <c:pt idx="7">
                  <c:v>1931</c:v>
                </c:pt>
                <c:pt idx="8">
                  <c:v>1948</c:v>
                </c:pt>
                <c:pt idx="9">
                  <c:v>1953</c:v>
                </c:pt>
                <c:pt idx="10">
                  <c:v>1961</c:v>
                </c:pt>
                <c:pt idx="11">
                  <c:v>1971</c:v>
                </c:pt>
                <c:pt idx="12">
                  <c:v>1981</c:v>
                </c:pt>
                <c:pt idx="13">
                  <c:v>1991</c:v>
                </c:pt>
                <c:pt idx="14">
                  <c:v>2001</c:v>
                </c:pt>
              </c:numCache>
            </c:numRef>
          </c:cat>
          <c:val>
            <c:numRef>
              <c:f>List1!$B$13:$P$13</c:f>
              <c:numCache>
                <c:formatCode>General</c:formatCode>
                <c:ptCount val="15"/>
                <c:pt idx="0">
                  <c:v>100</c:v>
                </c:pt>
                <c:pt idx="1">
                  <c:v>126</c:v>
                </c:pt>
                <c:pt idx="2">
                  <c:v>143</c:v>
                </c:pt>
                <c:pt idx="3">
                  <c:v>140</c:v>
                </c:pt>
                <c:pt idx="4">
                  <c:v>191</c:v>
                </c:pt>
                <c:pt idx="5">
                  <c:v>234</c:v>
                </c:pt>
                <c:pt idx="6">
                  <c:v>250</c:v>
                </c:pt>
                <c:pt idx="7">
                  <c:v>291</c:v>
                </c:pt>
                <c:pt idx="8">
                  <c:v>343</c:v>
                </c:pt>
                <c:pt idx="9">
                  <c:v>345</c:v>
                </c:pt>
                <c:pt idx="10">
                  <c:v>338</c:v>
                </c:pt>
                <c:pt idx="11">
                  <c:v>282</c:v>
                </c:pt>
                <c:pt idx="12">
                  <c:v>267</c:v>
                </c:pt>
                <c:pt idx="13">
                  <c:v>242</c:v>
                </c:pt>
                <c:pt idx="14">
                  <c:v>221</c:v>
                </c:pt>
              </c:numCache>
            </c:numRef>
          </c:val>
          <c:smooth val="0"/>
        </c:ser>
        <c:ser>
          <c:idx val="12"/>
          <c:order val="12"/>
          <c:tx>
            <c:strRef>
              <c:f>List1!$A$14</c:f>
              <c:strCache>
                <c:ptCount val="1"/>
                <c:pt idx="0">
                  <c:v>Štrigovec</c:v>
                </c:pt>
              </c:strCache>
            </c:strRef>
          </c:tx>
          <c:spPr>
            <a:ln w="12712">
              <a:solidFill>
                <a:srgbClr val="99CCFF"/>
              </a:solidFill>
              <a:prstDash val="solid"/>
            </a:ln>
          </c:spPr>
          <c:marker>
            <c:symbol val="x"/>
            <c:size val="5"/>
            <c:spPr>
              <a:noFill/>
              <a:ln>
                <a:solidFill>
                  <a:srgbClr val="99CCFF"/>
                </a:solidFill>
                <a:prstDash val="solid"/>
              </a:ln>
            </c:spPr>
          </c:marker>
          <c:cat>
            <c:numRef>
              <c:f>List1!$B$1:$P$1</c:f>
              <c:numCache>
                <c:formatCode>General</c:formatCode>
                <c:ptCount val="15"/>
                <c:pt idx="0">
                  <c:v>1857</c:v>
                </c:pt>
                <c:pt idx="1">
                  <c:v>1869</c:v>
                </c:pt>
                <c:pt idx="2">
                  <c:v>1880</c:v>
                </c:pt>
                <c:pt idx="3">
                  <c:v>1890</c:v>
                </c:pt>
                <c:pt idx="4">
                  <c:v>1900</c:v>
                </c:pt>
                <c:pt idx="5">
                  <c:v>1910</c:v>
                </c:pt>
                <c:pt idx="6">
                  <c:v>1921</c:v>
                </c:pt>
                <c:pt idx="7">
                  <c:v>1931</c:v>
                </c:pt>
                <c:pt idx="8">
                  <c:v>1948</c:v>
                </c:pt>
                <c:pt idx="9">
                  <c:v>1953</c:v>
                </c:pt>
                <c:pt idx="10">
                  <c:v>1961</c:v>
                </c:pt>
                <c:pt idx="11">
                  <c:v>1971</c:v>
                </c:pt>
                <c:pt idx="12">
                  <c:v>1981</c:v>
                </c:pt>
                <c:pt idx="13">
                  <c:v>1991</c:v>
                </c:pt>
                <c:pt idx="14">
                  <c:v>2001</c:v>
                </c:pt>
              </c:numCache>
            </c:numRef>
          </c:cat>
          <c:val>
            <c:numRef>
              <c:f>List1!$B$14:$P$14</c:f>
              <c:numCache>
                <c:formatCode>General</c:formatCode>
                <c:ptCount val="15"/>
                <c:pt idx="0">
                  <c:v>29</c:v>
                </c:pt>
                <c:pt idx="1">
                  <c:v>34</c:v>
                </c:pt>
                <c:pt idx="2">
                  <c:v>38</c:v>
                </c:pt>
                <c:pt idx="3">
                  <c:v>46</c:v>
                </c:pt>
                <c:pt idx="4">
                  <c:v>55</c:v>
                </c:pt>
                <c:pt idx="5">
                  <c:v>66</c:v>
                </c:pt>
                <c:pt idx="6">
                  <c:v>58</c:v>
                </c:pt>
                <c:pt idx="7">
                  <c:v>69</c:v>
                </c:pt>
                <c:pt idx="8">
                  <c:v>78</c:v>
                </c:pt>
                <c:pt idx="9">
                  <c:v>63</c:v>
                </c:pt>
                <c:pt idx="10">
                  <c:v>53</c:v>
                </c:pt>
                <c:pt idx="11">
                  <c:v>45</c:v>
                </c:pt>
                <c:pt idx="12">
                  <c:v>60</c:v>
                </c:pt>
                <c:pt idx="13">
                  <c:v>51</c:v>
                </c:pt>
                <c:pt idx="14">
                  <c:v>42</c:v>
                </c:pt>
              </c:numCache>
            </c:numRef>
          </c:val>
          <c:smooth val="0"/>
        </c:ser>
        <c:ser>
          <c:idx val="13"/>
          <c:order val="13"/>
          <c:tx>
            <c:strRef>
              <c:f>List1!$A$15</c:f>
              <c:strCache>
                <c:ptCount val="1"/>
                <c:pt idx="0">
                  <c:v>Vukšinec Riječki</c:v>
                </c:pt>
              </c:strCache>
            </c:strRef>
          </c:tx>
          <c:spPr>
            <a:ln w="12712">
              <a:solidFill>
                <a:srgbClr val="FF99CC"/>
              </a:solidFill>
              <a:prstDash val="solid"/>
            </a:ln>
          </c:spPr>
          <c:marker>
            <c:symbol val="star"/>
            <c:size val="5"/>
            <c:spPr>
              <a:noFill/>
              <a:ln>
                <a:solidFill>
                  <a:srgbClr val="FF99CC"/>
                </a:solidFill>
                <a:prstDash val="solid"/>
              </a:ln>
            </c:spPr>
          </c:marker>
          <c:cat>
            <c:numRef>
              <c:f>List1!$B$1:$P$1</c:f>
              <c:numCache>
                <c:formatCode>General</c:formatCode>
                <c:ptCount val="15"/>
                <c:pt idx="0">
                  <c:v>1857</c:v>
                </c:pt>
                <c:pt idx="1">
                  <c:v>1869</c:v>
                </c:pt>
                <c:pt idx="2">
                  <c:v>1880</c:v>
                </c:pt>
                <c:pt idx="3">
                  <c:v>1890</c:v>
                </c:pt>
                <c:pt idx="4">
                  <c:v>1900</c:v>
                </c:pt>
                <c:pt idx="5">
                  <c:v>1910</c:v>
                </c:pt>
                <c:pt idx="6">
                  <c:v>1921</c:v>
                </c:pt>
                <c:pt idx="7">
                  <c:v>1931</c:v>
                </c:pt>
                <c:pt idx="8">
                  <c:v>1948</c:v>
                </c:pt>
                <c:pt idx="9">
                  <c:v>1953</c:v>
                </c:pt>
                <c:pt idx="10">
                  <c:v>1961</c:v>
                </c:pt>
                <c:pt idx="11">
                  <c:v>1971</c:v>
                </c:pt>
                <c:pt idx="12">
                  <c:v>1981</c:v>
                </c:pt>
                <c:pt idx="13">
                  <c:v>1991</c:v>
                </c:pt>
                <c:pt idx="14">
                  <c:v>2001</c:v>
                </c:pt>
              </c:numCache>
            </c:numRef>
          </c:cat>
          <c:val>
            <c:numRef>
              <c:f>List1!$B$15:$P$15</c:f>
              <c:numCache>
                <c:formatCode>General</c:formatCode>
                <c:ptCount val="15"/>
                <c:pt idx="0">
                  <c:v>35</c:v>
                </c:pt>
                <c:pt idx="1">
                  <c:v>48</c:v>
                </c:pt>
                <c:pt idx="2">
                  <c:v>69</c:v>
                </c:pt>
                <c:pt idx="3">
                  <c:v>49</c:v>
                </c:pt>
                <c:pt idx="4">
                  <c:v>61</c:v>
                </c:pt>
                <c:pt idx="5">
                  <c:v>64</c:v>
                </c:pt>
                <c:pt idx="6">
                  <c:v>76</c:v>
                </c:pt>
                <c:pt idx="7">
                  <c:v>93</c:v>
                </c:pt>
                <c:pt idx="8">
                  <c:v>106</c:v>
                </c:pt>
                <c:pt idx="9">
                  <c:v>112</c:v>
                </c:pt>
                <c:pt idx="10">
                  <c:v>108</c:v>
                </c:pt>
                <c:pt idx="11">
                  <c:v>84</c:v>
                </c:pt>
                <c:pt idx="12">
                  <c:v>84</c:v>
                </c:pt>
                <c:pt idx="13">
                  <c:v>86</c:v>
                </c:pt>
                <c:pt idx="14">
                  <c:v>83</c:v>
                </c:pt>
              </c:numCache>
            </c:numRef>
          </c:val>
          <c:smooth val="0"/>
        </c:ser>
        <c:dLbls>
          <c:showLegendKey val="0"/>
          <c:showVal val="0"/>
          <c:showCatName val="0"/>
          <c:showSerName val="0"/>
          <c:showPercent val="0"/>
          <c:showBubbleSize val="0"/>
        </c:dLbls>
        <c:marker val="1"/>
        <c:smooth val="0"/>
        <c:axId val="209807232"/>
        <c:axId val="209809408"/>
      </c:lineChart>
      <c:catAx>
        <c:axId val="209807232"/>
        <c:scaling>
          <c:orientation val="minMax"/>
        </c:scaling>
        <c:delete val="0"/>
        <c:axPos val="b"/>
        <c:numFmt formatCode="General" sourceLinked="1"/>
        <c:majorTickMark val="out"/>
        <c:minorTickMark val="none"/>
        <c:tickLblPos val="nextTo"/>
        <c:spPr>
          <a:ln w="3178">
            <a:solidFill>
              <a:srgbClr val="000000"/>
            </a:solidFill>
            <a:prstDash val="solid"/>
          </a:ln>
        </c:spPr>
        <c:txPr>
          <a:bodyPr rot="-2700000" vert="horz"/>
          <a:lstStyle/>
          <a:p>
            <a:pPr>
              <a:defRPr sz="901" b="0" i="0" u="none" strike="noStrike" baseline="0">
                <a:solidFill>
                  <a:srgbClr val="000000"/>
                </a:solidFill>
                <a:latin typeface="Arial"/>
                <a:ea typeface="Arial"/>
                <a:cs typeface="Arial"/>
              </a:defRPr>
            </a:pPr>
            <a:endParaRPr lang="sr-Latn-RS"/>
          </a:p>
        </c:txPr>
        <c:crossAx val="209809408"/>
        <c:crosses val="autoZero"/>
        <c:auto val="1"/>
        <c:lblAlgn val="ctr"/>
        <c:lblOffset val="100"/>
        <c:tickLblSkip val="1"/>
        <c:tickMarkSkip val="1"/>
        <c:noMultiLvlLbl val="0"/>
      </c:catAx>
      <c:valAx>
        <c:axId val="209809408"/>
        <c:scaling>
          <c:orientation val="minMax"/>
        </c:scaling>
        <c:delete val="0"/>
        <c:axPos val="l"/>
        <c:majorGridlines>
          <c:spPr>
            <a:ln w="3178">
              <a:solidFill>
                <a:srgbClr val="000000"/>
              </a:solidFill>
              <a:prstDash val="solid"/>
            </a:ln>
          </c:spPr>
        </c:majorGridlines>
        <c:numFmt formatCode="General" sourceLinked="1"/>
        <c:majorTickMark val="out"/>
        <c:minorTickMark val="none"/>
        <c:tickLblPos val="nextTo"/>
        <c:spPr>
          <a:ln w="3178">
            <a:solidFill>
              <a:srgbClr val="000000"/>
            </a:solidFill>
            <a:prstDash val="solid"/>
          </a:ln>
        </c:spPr>
        <c:txPr>
          <a:bodyPr rot="0" vert="horz"/>
          <a:lstStyle/>
          <a:p>
            <a:pPr>
              <a:defRPr sz="901" b="0" i="0" u="none" strike="noStrike" baseline="0">
                <a:solidFill>
                  <a:srgbClr val="000000"/>
                </a:solidFill>
                <a:latin typeface="Arial"/>
                <a:ea typeface="Arial"/>
                <a:cs typeface="Arial"/>
              </a:defRPr>
            </a:pPr>
            <a:endParaRPr lang="sr-Latn-RS"/>
          </a:p>
        </c:txPr>
        <c:crossAx val="209807232"/>
        <c:crosses val="autoZero"/>
        <c:crossBetween val="between"/>
      </c:valAx>
      <c:spPr>
        <a:solidFill>
          <a:srgbClr val="C0C0C0"/>
        </a:solidFill>
        <a:ln w="12712">
          <a:solidFill>
            <a:srgbClr val="808080"/>
          </a:solidFill>
          <a:prstDash val="solid"/>
        </a:ln>
      </c:spPr>
    </c:plotArea>
    <c:legend>
      <c:legendPos val="r"/>
      <c:layout>
        <c:manualLayout>
          <c:xMode val="edge"/>
          <c:yMode val="edge"/>
          <c:x val="0.74832214765100669"/>
          <c:y val="9.9715099715099717E-2"/>
          <c:w val="0.24496644295302014"/>
          <c:h val="0.80056980056980054"/>
        </c:manualLayout>
      </c:layout>
      <c:overlay val="0"/>
      <c:spPr>
        <a:solidFill>
          <a:srgbClr val="FFFFFF"/>
        </a:solidFill>
        <a:ln w="3178">
          <a:solidFill>
            <a:srgbClr val="000000"/>
          </a:solidFill>
          <a:prstDash val="solid"/>
        </a:ln>
      </c:spPr>
      <c:txPr>
        <a:bodyPr/>
        <a:lstStyle/>
        <a:p>
          <a:pPr>
            <a:defRPr sz="826" b="0" i="0" u="none" strike="noStrike" baseline="0">
              <a:solidFill>
                <a:srgbClr val="000000"/>
              </a:solidFill>
              <a:latin typeface="Arial"/>
              <a:ea typeface="Arial"/>
              <a:cs typeface="Arial"/>
            </a:defRPr>
          </a:pPr>
          <a:endParaRPr lang="sr-Latn-RS"/>
        </a:p>
      </c:txPr>
    </c:legend>
    <c:plotVisOnly val="1"/>
    <c:dispBlanksAs val="gap"/>
    <c:showDLblsOverMax val="0"/>
  </c:chart>
  <c:spPr>
    <a:solidFill>
      <a:srgbClr val="FFFFFF"/>
    </a:solidFill>
    <a:ln>
      <a:noFill/>
    </a:ln>
  </c:spPr>
  <c:txPr>
    <a:bodyPr/>
    <a:lstStyle/>
    <a:p>
      <a:pPr>
        <a:defRPr sz="901" b="0" i="0" u="none" strike="noStrike" baseline="0">
          <a:solidFill>
            <a:srgbClr val="000000"/>
          </a:solidFill>
          <a:latin typeface="Arial"/>
          <a:ea typeface="Arial"/>
          <a:cs typeface="Arial"/>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8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4655172413793108E-2"/>
          <c:y val="4.0740740740740744E-2"/>
          <c:w val="0.62068965517241381"/>
          <c:h val="0.77777777777777779"/>
        </c:manualLayout>
      </c:layout>
      <c:bar3DChart>
        <c:barDir val="col"/>
        <c:grouping val="clustered"/>
        <c:varyColors val="0"/>
        <c:ser>
          <c:idx val="0"/>
          <c:order val="0"/>
          <c:tx>
            <c:strRef>
              <c:f>List1!$A$2</c:f>
              <c:strCache>
                <c:ptCount val="1"/>
                <c:pt idx="0">
                  <c:v>Republika Hrvatska</c:v>
                </c:pt>
              </c:strCache>
            </c:strRef>
          </c:tx>
          <c:spPr>
            <a:solidFill>
              <a:srgbClr val="9999FF"/>
            </a:solidFill>
            <a:ln w="12691">
              <a:solidFill>
                <a:srgbClr val="000000"/>
              </a:solidFill>
              <a:prstDash val="solid"/>
            </a:ln>
          </c:spPr>
          <c:invertIfNegative val="0"/>
          <c:cat>
            <c:strRef>
              <c:f>List1!$B$1:$F$1</c:f>
              <c:strCache>
                <c:ptCount val="5"/>
                <c:pt idx="0">
                  <c:v>bez škole</c:v>
                </c:pt>
                <c:pt idx="1">
                  <c:v>nez.
 o. š.</c:v>
                </c:pt>
                <c:pt idx="2">
                  <c:v>OŠ</c:v>
                </c:pt>
                <c:pt idx="3">
                  <c:v>SSS</c:v>
                </c:pt>
                <c:pt idx="4">
                  <c:v>VŠS,VSS</c:v>
                </c:pt>
              </c:strCache>
            </c:strRef>
          </c:cat>
          <c:val>
            <c:numRef>
              <c:f>List1!$B$2:$F$2</c:f>
              <c:numCache>
                <c:formatCode>General</c:formatCode>
                <c:ptCount val="5"/>
                <c:pt idx="0">
                  <c:v>3</c:v>
                </c:pt>
                <c:pt idx="1">
                  <c:v>16</c:v>
                </c:pt>
                <c:pt idx="2">
                  <c:v>22</c:v>
                </c:pt>
                <c:pt idx="3">
                  <c:v>47</c:v>
                </c:pt>
                <c:pt idx="4">
                  <c:v>12</c:v>
                </c:pt>
              </c:numCache>
            </c:numRef>
          </c:val>
        </c:ser>
        <c:ser>
          <c:idx val="1"/>
          <c:order val="1"/>
          <c:tx>
            <c:strRef>
              <c:f>List1!$A$3</c:f>
              <c:strCache>
                <c:ptCount val="1"/>
                <c:pt idx="0">
                  <c:v>općina </c:v>
                </c:pt>
              </c:strCache>
            </c:strRef>
          </c:tx>
          <c:spPr>
            <a:solidFill>
              <a:srgbClr val="993366"/>
            </a:solidFill>
            <a:ln w="12691">
              <a:solidFill>
                <a:srgbClr val="000000"/>
              </a:solidFill>
              <a:prstDash val="solid"/>
            </a:ln>
          </c:spPr>
          <c:invertIfNegative val="0"/>
          <c:cat>
            <c:strRef>
              <c:f>List1!$B$1:$F$1</c:f>
              <c:strCache>
                <c:ptCount val="5"/>
                <c:pt idx="0">
                  <c:v>bez škole</c:v>
                </c:pt>
                <c:pt idx="1">
                  <c:v>nez.
 o. š.</c:v>
                </c:pt>
                <c:pt idx="2">
                  <c:v>OŠ</c:v>
                </c:pt>
                <c:pt idx="3">
                  <c:v>SSS</c:v>
                </c:pt>
                <c:pt idx="4">
                  <c:v>VŠS,VSS</c:v>
                </c:pt>
              </c:strCache>
            </c:strRef>
          </c:cat>
          <c:val>
            <c:numRef>
              <c:f>List1!$B$3:$F$3</c:f>
              <c:numCache>
                <c:formatCode>General</c:formatCode>
                <c:ptCount val="5"/>
                <c:pt idx="0">
                  <c:v>3</c:v>
                </c:pt>
                <c:pt idx="1">
                  <c:v>33</c:v>
                </c:pt>
                <c:pt idx="2">
                  <c:v>30</c:v>
                </c:pt>
                <c:pt idx="3">
                  <c:v>30</c:v>
                </c:pt>
                <c:pt idx="4">
                  <c:v>3</c:v>
                </c:pt>
              </c:numCache>
            </c:numRef>
          </c:val>
        </c:ser>
        <c:dLbls>
          <c:showLegendKey val="0"/>
          <c:showVal val="0"/>
          <c:showCatName val="0"/>
          <c:showSerName val="0"/>
          <c:showPercent val="0"/>
          <c:showBubbleSize val="0"/>
        </c:dLbls>
        <c:gapWidth val="150"/>
        <c:shape val="cylinder"/>
        <c:axId val="169997440"/>
        <c:axId val="169998976"/>
        <c:axId val="0"/>
      </c:bar3DChart>
      <c:catAx>
        <c:axId val="169997440"/>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sr-Latn-RS"/>
          </a:p>
        </c:txPr>
        <c:crossAx val="169998976"/>
        <c:crosses val="autoZero"/>
        <c:auto val="1"/>
        <c:lblAlgn val="ctr"/>
        <c:lblOffset val="100"/>
        <c:tickLblSkip val="2"/>
        <c:tickMarkSkip val="1"/>
        <c:noMultiLvlLbl val="0"/>
      </c:catAx>
      <c:valAx>
        <c:axId val="169998976"/>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sr-Latn-RS"/>
          </a:p>
        </c:txPr>
        <c:crossAx val="169997440"/>
        <c:crosses val="autoZero"/>
        <c:crossBetween val="between"/>
      </c:valAx>
      <c:spPr>
        <a:noFill/>
        <a:ln w="25383">
          <a:noFill/>
        </a:ln>
      </c:spPr>
    </c:plotArea>
    <c:legend>
      <c:legendPos val="r"/>
      <c:layout>
        <c:manualLayout>
          <c:xMode val="edge"/>
          <c:yMode val="edge"/>
          <c:x val="0.70905172413793105"/>
          <c:y val="0.42222222222222222"/>
          <c:w val="0.28232758620689657"/>
          <c:h val="0.15925925925925927"/>
        </c:manualLayout>
      </c:layout>
      <c:overlay val="0"/>
      <c:spPr>
        <a:solidFill>
          <a:srgbClr val="FFFFFF"/>
        </a:solidFill>
        <a:ln w="3173">
          <a:solidFill>
            <a:srgbClr val="000000"/>
          </a:solidFill>
          <a:prstDash val="solid"/>
        </a:ln>
      </c:spPr>
      <c:txPr>
        <a:bodyPr/>
        <a:lstStyle/>
        <a:p>
          <a:pPr>
            <a:defRPr sz="869" b="0" i="0" u="none" strike="noStrike" baseline="0">
              <a:solidFill>
                <a:srgbClr val="000000"/>
              </a:solidFill>
              <a:latin typeface="Arial"/>
              <a:ea typeface="Arial"/>
              <a:cs typeface="Arial"/>
            </a:defRPr>
          </a:pPr>
          <a:endParaRPr lang="sr-Latn-RS"/>
        </a:p>
      </c:txPr>
    </c:legend>
    <c:plotVisOnly val="1"/>
    <c:dispBlanksAs val="gap"/>
    <c:showDLblsOverMax val="0"/>
  </c:chart>
  <c:spPr>
    <a:solidFill>
      <a:srgbClr val="FFFFFF"/>
    </a:solidFill>
    <a:ln w="19050" cap="flat" cmpd="dbl" algn="ctr">
      <a:solidFill>
        <a:srgbClr val="000000"/>
      </a:solidFill>
      <a:prstDash val="solid"/>
      <a:miter lim="800000"/>
      <a:headEnd type="none" w="med" len="med"/>
      <a:tailEnd type="none" w="med" len="med"/>
    </a:ln>
  </c:spPr>
  <c:txPr>
    <a:bodyPr/>
    <a:lstStyle/>
    <a:p>
      <a:pPr>
        <a:defRPr sz="949" b="0" i="0" u="none" strike="noStrike" baseline="0">
          <a:solidFill>
            <a:srgbClr val="000000"/>
          </a:solidFill>
          <a:latin typeface="Arial"/>
          <a:ea typeface="Arial"/>
          <a:cs typeface="Arial"/>
        </a:defRPr>
      </a:pPr>
      <a:endParaRPr lang="sr-Latn-RS"/>
    </a:p>
  </c:txPr>
  <c:externalData r:id="rId1">
    <c:autoUpdate val="0"/>
  </c:externalData>
</c:chartSpac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35647</Words>
  <Characters>203194</Characters>
  <Application>Microsoft Office Word</Application>
  <DocSecurity>0</DocSecurity>
  <Lines>1693</Lines>
  <Paragraphs>476</Paragraphs>
  <ScaleCrop>false</ScaleCrop>
  <HeadingPairs>
    <vt:vector size="2" baseType="variant">
      <vt:variant>
        <vt:lpstr>Naslov</vt:lpstr>
      </vt:variant>
      <vt:variant>
        <vt:i4>1</vt:i4>
      </vt:variant>
    </vt:vector>
  </HeadingPairs>
  <TitlesOfParts>
    <vt:vector size="1" baseType="lpstr">
      <vt:lpstr>I</vt:lpstr>
    </vt:vector>
  </TitlesOfParts>
  <Company>Zavod za prostorno uredenje</Company>
  <LinksUpToDate>false</LinksUpToDate>
  <CharactersWithSpaces>238365</CharactersWithSpaces>
  <SharedDoc>false</SharedDoc>
  <HLinks>
    <vt:vector size="468" baseType="variant">
      <vt:variant>
        <vt:i4>1441847</vt:i4>
      </vt:variant>
      <vt:variant>
        <vt:i4>617</vt:i4>
      </vt:variant>
      <vt:variant>
        <vt:i4>0</vt:i4>
      </vt:variant>
      <vt:variant>
        <vt:i4>5</vt:i4>
      </vt:variant>
      <vt:variant>
        <vt:lpwstr/>
      </vt:variant>
      <vt:variant>
        <vt:lpwstr>_Toc132763263</vt:lpwstr>
      </vt:variant>
      <vt:variant>
        <vt:i4>1441847</vt:i4>
      </vt:variant>
      <vt:variant>
        <vt:i4>611</vt:i4>
      </vt:variant>
      <vt:variant>
        <vt:i4>0</vt:i4>
      </vt:variant>
      <vt:variant>
        <vt:i4>5</vt:i4>
      </vt:variant>
      <vt:variant>
        <vt:lpwstr/>
      </vt:variant>
      <vt:variant>
        <vt:lpwstr>_Toc132763262</vt:lpwstr>
      </vt:variant>
      <vt:variant>
        <vt:i4>1441847</vt:i4>
      </vt:variant>
      <vt:variant>
        <vt:i4>605</vt:i4>
      </vt:variant>
      <vt:variant>
        <vt:i4>0</vt:i4>
      </vt:variant>
      <vt:variant>
        <vt:i4>5</vt:i4>
      </vt:variant>
      <vt:variant>
        <vt:lpwstr/>
      </vt:variant>
      <vt:variant>
        <vt:lpwstr>_Toc132763261</vt:lpwstr>
      </vt:variant>
      <vt:variant>
        <vt:i4>1441847</vt:i4>
      </vt:variant>
      <vt:variant>
        <vt:i4>599</vt:i4>
      </vt:variant>
      <vt:variant>
        <vt:i4>0</vt:i4>
      </vt:variant>
      <vt:variant>
        <vt:i4>5</vt:i4>
      </vt:variant>
      <vt:variant>
        <vt:lpwstr/>
      </vt:variant>
      <vt:variant>
        <vt:lpwstr>_Toc132763260</vt:lpwstr>
      </vt:variant>
      <vt:variant>
        <vt:i4>1376311</vt:i4>
      </vt:variant>
      <vt:variant>
        <vt:i4>593</vt:i4>
      </vt:variant>
      <vt:variant>
        <vt:i4>0</vt:i4>
      </vt:variant>
      <vt:variant>
        <vt:i4>5</vt:i4>
      </vt:variant>
      <vt:variant>
        <vt:lpwstr/>
      </vt:variant>
      <vt:variant>
        <vt:lpwstr>_Toc132763259</vt:lpwstr>
      </vt:variant>
      <vt:variant>
        <vt:i4>1376311</vt:i4>
      </vt:variant>
      <vt:variant>
        <vt:i4>587</vt:i4>
      </vt:variant>
      <vt:variant>
        <vt:i4>0</vt:i4>
      </vt:variant>
      <vt:variant>
        <vt:i4>5</vt:i4>
      </vt:variant>
      <vt:variant>
        <vt:lpwstr/>
      </vt:variant>
      <vt:variant>
        <vt:lpwstr>_Toc132763258</vt:lpwstr>
      </vt:variant>
      <vt:variant>
        <vt:i4>1376311</vt:i4>
      </vt:variant>
      <vt:variant>
        <vt:i4>581</vt:i4>
      </vt:variant>
      <vt:variant>
        <vt:i4>0</vt:i4>
      </vt:variant>
      <vt:variant>
        <vt:i4>5</vt:i4>
      </vt:variant>
      <vt:variant>
        <vt:lpwstr/>
      </vt:variant>
      <vt:variant>
        <vt:lpwstr>_Toc132763257</vt:lpwstr>
      </vt:variant>
      <vt:variant>
        <vt:i4>1376311</vt:i4>
      </vt:variant>
      <vt:variant>
        <vt:i4>575</vt:i4>
      </vt:variant>
      <vt:variant>
        <vt:i4>0</vt:i4>
      </vt:variant>
      <vt:variant>
        <vt:i4>5</vt:i4>
      </vt:variant>
      <vt:variant>
        <vt:lpwstr/>
      </vt:variant>
      <vt:variant>
        <vt:lpwstr>_Toc132763256</vt:lpwstr>
      </vt:variant>
      <vt:variant>
        <vt:i4>1376311</vt:i4>
      </vt:variant>
      <vt:variant>
        <vt:i4>569</vt:i4>
      </vt:variant>
      <vt:variant>
        <vt:i4>0</vt:i4>
      </vt:variant>
      <vt:variant>
        <vt:i4>5</vt:i4>
      </vt:variant>
      <vt:variant>
        <vt:lpwstr/>
      </vt:variant>
      <vt:variant>
        <vt:lpwstr>_Toc132763255</vt:lpwstr>
      </vt:variant>
      <vt:variant>
        <vt:i4>1376311</vt:i4>
      </vt:variant>
      <vt:variant>
        <vt:i4>563</vt:i4>
      </vt:variant>
      <vt:variant>
        <vt:i4>0</vt:i4>
      </vt:variant>
      <vt:variant>
        <vt:i4>5</vt:i4>
      </vt:variant>
      <vt:variant>
        <vt:lpwstr/>
      </vt:variant>
      <vt:variant>
        <vt:lpwstr>_Toc132763254</vt:lpwstr>
      </vt:variant>
      <vt:variant>
        <vt:i4>1376311</vt:i4>
      </vt:variant>
      <vt:variant>
        <vt:i4>557</vt:i4>
      </vt:variant>
      <vt:variant>
        <vt:i4>0</vt:i4>
      </vt:variant>
      <vt:variant>
        <vt:i4>5</vt:i4>
      </vt:variant>
      <vt:variant>
        <vt:lpwstr/>
      </vt:variant>
      <vt:variant>
        <vt:lpwstr>_Toc132763253</vt:lpwstr>
      </vt:variant>
      <vt:variant>
        <vt:i4>1376311</vt:i4>
      </vt:variant>
      <vt:variant>
        <vt:i4>551</vt:i4>
      </vt:variant>
      <vt:variant>
        <vt:i4>0</vt:i4>
      </vt:variant>
      <vt:variant>
        <vt:i4>5</vt:i4>
      </vt:variant>
      <vt:variant>
        <vt:lpwstr/>
      </vt:variant>
      <vt:variant>
        <vt:lpwstr>_Toc132763252</vt:lpwstr>
      </vt:variant>
      <vt:variant>
        <vt:i4>1376311</vt:i4>
      </vt:variant>
      <vt:variant>
        <vt:i4>545</vt:i4>
      </vt:variant>
      <vt:variant>
        <vt:i4>0</vt:i4>
      </vt:variant>
      <vt:variant>
        <vt:i4>5</vt:i4>
      </vt:variant>
      <vt:variant>
        <vt:lpwstr/>
      </vt:variant>
      <vt:variant>
        <vt:lpwstr>_Toc132763251</vt:lpwstr>
      </vt:variant>
      <vt:variant>
        <vt:i4>1179701</vt:i4>
      </vt:variant>
      <vt:variant>
        <vt:i4>536</vt:i4>
      </vt:variant>
      <vt:variant>
        <vt:i4>0</vt:i4>
      </vt:variant>
      <vt:variant>
        <vt:i4>5</vt:i4>
      </vt:variant>
      <vt:variant>
        <vt:lpwstr/>
      </vt:variant>
      <vt:variant>
        <vt:lpwstr>_Toc135185921</vt:lpwstr>
      </vt:variant>
      <vt:variant>
        <vt:i4>1179701</vt:i4>
      </vt:variant>
      <vt:variant>
        <vt:i4>530</vt:i4>
      </vt:variant>
      <vt:variant>
        <vt:i4>0</vt:i4>
      </vt:variant>
      <vt:variant>
        <vt:i4>5</vt:i4>
      </vt:variant>
      <vt:variant>
        <vt:lpwstr/>
      </vt:variant>
      <vt:variant>
        <vt:lpwstr>_Toc135185920</vt:lpwstr>
      </vt:variant>
      <vt:variant>
        <vt:i4>1114165</vt:i4>
      </vt:variant>
      <vt:variant>
        <vt:i4>524</vt:i4>
      </vt:variant>
      <vt:variant>
        <vt:i4>0</vt:i4>
      </vt:variant>
      <vt:variant>
        <vt:i4>5</vt:i4>
      </vt:variant>
      <vt:variant>
        <vt:lpwstr/>
      </vt:variant>
      <vt:variant>
        <vt:lpwstr>_Toc135185919</vt:lpwstr>
      </vt:variant>
      <vt:variant>
        <vt:i4>1114165</vt:i4>
      </vt:variant>
      <vt:variant>
        <vt:i4>518</vt:i4>
      </vt:variant>
      <vt:variant>
        <vt:i4>0</vt:i4>
      </vt:variant>
      <vt:variant>
        <vt:i4>5</vt:i4>
      </vt:variant>
      <vt:variant>
        <vt:lpwstr/>
      </vt:variant>
      <vt:variant>
        <vt:lpwstr>_Toc135185918</vt:lpwstr>
      </vt:variant>
      <vt:variant>
        <vt:i4>1114165</vt:i4>
      </vt:variant>
      <vt:variant>
        <vt:i4>512</vt:i4>
      </vt:variant>
      <vt:variant>
        <vt:i4>0</vt:i4>
      </vt:variant>
      <vt:variant>
        <vt:i4>5</vt:i4>
      </vt:variant>
      <vt:variant>
        <vt:lpwstr/>
      </vt:variant>
      <vt:variant>
        <vt:lpwstr>_Toc135185917</vt:lpwstr>
      </vt:variant>
      <vt:variant>
        <vt:i4>1114165</vt:i4>
      </vt:variant>
      <vt:variant>
        <vt:i4>506</vt:i4>
      </vt:variant>
      <vt:variant>
        <vt:i4>0</vt:i4>
      </vt:variant>
      <vt:variant>
        <vt:i4>5</vt:i4>
      </vt:variant>
      <vt:variant>
        <vt:lpwstr/>
      </vt:variant>
      <vt:variant>
        <vt:lpwstr>_Toc135185916</vt:lpwstr>
      </vt:variant>
      <vt:variant>
        <vt:i4>1114165</vt:i4>
      </vt:variant>
      <vt:variant>
        <vt:i4>500</vt:i4>
      </vt:variant>
      <vt:variant>
        <vt:i4>0</vt:i4>
      </vt:variant>
      <vt:variant>
        <vt:i4>5</vt:i4>
      </vt:variant>
      <vt:variant>
        <vt:lpwstr/>
      </vt:variant>
      <vt:variant>
        <vt:lpwstr>_Toc135185915</vt:lpwstr>
      </vt:variant>
      <vt:variant>
        <vt:i4>1114165</vt:i4>
      </vt:variant>
      <vt:variant>
        <vt:i4>494</vt:i4>
      </vt:variant>
      <vt:variant>
        <vt:i4>0</vt:i4>
      </vt:variant>
      <vt:variant>
        <vt:i4>5</vt:i4>
      </vt:variant>
      <vt:variant>
        <vt:lpwstr/>
      </vt:variant>
      <vt:variant>
        <vt:lpwstr>_Toc135185914</vt:lpwstr>
      </vt:variant>
      <vt:variant>
        <vt:i4>8061046</vt:i4>
      </vt:variant>
      <vt:variant>
        <vt:i4>351</vt:i4>
      </vt:variant>
      <vt:variant>
        <vt:i4>0</vt:i4>
      </vt:variant>
      <vt:variant>
        <vt:i4>5</vt:i4>
      </vt:variant>
      <vt:variant>
        <vt:lpwstr>http://www.dzs.hr/</vt:lpwstr>
      </vt:variant>
      <vt:variant>
        <vt:lpwstr/>
      </vt:variant>
      <vt:variant>
        <vt:i4>1507386</vt:i4>
      </vt:variant>
      <vt:variant>
        <vt:i4>332</vt:i4>
      </vt:variant>
      <vt:variant>
        <vt:i4>0</vt:i4>
      </vt:variant>
      <vt:variant>
        <vt:i4>5</vt:i4>
      </vt:variant>
      <vt:variant>
        <vt:lpwstr/>
      </vt:variant>
      <vt:variant>
        <vt:lpwstr>_Toc95140627</vt:lpwstr>
      </vt:variant>
      <vt:variant>
        <vt:i4>1441850</vt:i4>
      </vt:variant>
      <vt:variant>
        <vt:i4>326</vt:i4>
      </vt:variant>
      <vt:variant>
        <vt:i4>0</vt:i4>
      </vt:variant>
      <vt:variant>
        <vt:i4>5</vt:i4>
      </vt:variant>
      <vt:variant>
        <vt:lpwstr/>
      </vt:variant>
      <vt:variant>
        <vt:lpwstr>_Toc95140626</vt:lpwstr>
      </vt:variant>
      <vt:variant>
        <vt:i4>1376314</vt:i4>
      </vt:variant>
      <vt:variant>
        <vt:i4>320</vt:i4>
      </vt:variant>
      <vt:variant>
        <vt:i4>0</vt:i4>
      </vt:variant>
      <vt:variant>
        <vt:i4>5</vt:i4>
      </vt:variant>
      <vt:variant>
        <vt:lpwstr/>
      </vt:variant>
      <vt:variant>
        <vt:lpwstr>_Toc95140625</vt:lpwstr>
      </vt:variant>
      <vt:variant>
        <vt:i4>1310778</vt:i4>
      </vt:variant>
      <vt:variant>
        <vt:i4>314</vt:i4>
      </vt:variant>
      <vt:variant>
        <vt:i4>0</vt:i4>
      </vt:variant>
      <vt:variant>
        <vt:i4>5</vt:i4>
      </vt:variant>
      <vt:variant>
        <vt:lpwstr/>
      </vt:variant>
      <vt:variant>
        <vt:lpwstr>_Toc95140624</vt:lpwstr>
      </vt:variant>
      <vt:variant>
        <vt:i4>1245242</vt:i4>
      </vt:variant>
      <vt:variant>
        <vt:i4>308</vt:i4>
      </vt:variant>
      <vt:variant>
        <vt:i4>0</vt:i4>
      </vt:variant>
      <vt:variant>
        <vt:i4>5</vt:i4>
      </vt:variant>
      <vt:variant>
        <vt:lpwstr/>
      </vt:variant>
      <vt:variant>
        <vt:lpwstr>_Toc95140623</vt:lpwstr>
      </vt:variant>
      <vt:variant>
        <vt:i4>1179706</vt:i4>
      </vt:variant>
      <vt:variant>
        <vt:i4>302</vt:i4>
      </vt:variant>
      <vt:variant>
        <vt:i4>0</vt:i4>
      </vt:variant>
      <vt:variant>
        <vt:i4>5</vt:i4>
      </vt:variant>
      <vt:variant>
        <vt:lpwstr/>
      </vt:variant>
      <vt:variant>
        <vt:lpwstr>_Toc95140622</vt:lpwstr>
      </vt:variant>
      <vt:variant>
        <vt:i4>1114170</vt:i4>
      </vt:variant>
      <vt:variant>
        <vt:i4>296</vt:i4>
      </vt:variant>
      <vt:variant>
        <vt:i4>0</vt:i4>
      </vt:variant>
      <vt:variant>
        <vt:i4>5</vt:i4>
      </vt:variant>
      <vt:variant>
        <vt:lpwstr/>
      </vt:variant>
      <vt:variant>
        <vt:lpwstr>_Toc95140621</vt:lpwstr>
      </vt:variant>
      <vt:variant>
        <vt:i4>1048634</vt:i4>
      </vt:variant>
      <vt:variant>
        <vt:i4>290</vt:i4>
      </vt:variant>
      <vt:variant>
        <vt:i4>0</vt:i4>
      </vt:variant>
      <vt:variant>
        <vt:i4>5</vt:i4>
      </vt:variant>
      <vt:variant>
        <vt:lpwstr/>
      </vt:variant>
      <vt:variant>
        <vt:lpwstr>_Toc95140620</vt:lpwstr>
      </vt:variant>
      <vt:variant>
        <vt:i4>1638457</vt:i4>
      </vt:variant>
      <vt:variant>
        <vt:i4>284</vt:i4>
      </vt:variant>
      <vt:variant>
        <vt:i4>0</vt:i4>
      </vt:variant>
      <vt:variant>
        <vt:i4>5</vt:i4>
      </vt:variant>
      <vt:variant>
        <vt:lpwstr/>
      </vt:variant>
      <vt:variant>
        <vt:lpwstr>_Toc95140619</vt:lpwstr>
      </vt:variant>
      <vt:variant>
        <vt:i4>1572921</vt:i4>
      </vt:variant>
      <vt:variant>
        <vt:i4>278</vt:i4>
      </vt:variant>
      <vt:variant>
        <vt:i4>0</vt:i4>
      </vt:variant>
      <vt:variant>
        <vt:i4>5</vt:i4>
      </vt:variant>
      <vt:variant>
        <vt:lpwstr/>
      </vt:variant>
      <vt:variant>
        <vt:lpwstr>_Toc95140618</vt:lpwstr>
      </vt:variant>
      <vt:variant>
        <vt:i4>1507385</vt:i4>
      </vt:variant>
      <vt:variant>
        <vt:i4>272</vt:i4>
      </vt:variant>
      <vt:variant>
        <vt:i4>0</vt:i4>
      </vt:variant>
      <vt:variant>
        <vt:i4>5</vt:i4>
      </vt:variant>
      <vt:variant>
        <vt:lpwstr/>
      </vt:variant>
      <vt:variant>
        <vt:lpwstr>_Toc95140617</vt:lpwstr>
      </vt:variant>
      <vt:variant>
        <vt:i4>1441849</vt:i4>
      </vt:variant>
      <vt:variant>
        <vt:i4>266</vt:i4>
      </vt:variant>
      <vt:variant>
        <vt:i4>0</vt:i4>
      </vt:variant>
      <vt:variant>
        <vt:i4>5</vt:i4>
      </vt:variant>
      <vt:variant>
        <vt:lpwstr/>
      </vt:variant>
      <vt:variant>
        <vt:lpwstr>_Toc95140616</vt:lpwstr>
      </vt:variant>
      <vt:variant>
        <vt:i4>1376313</vt:i4>
      </vt:variant>
      <vt:variant>
        <vt:i4>260</vt:i4>
      </vt:variant>
      <vt:variant>
        <vt:i4>0</vt:i4>
      </vt:variant>
      <vt:variant>
        <vt:i4>5</vt:i4>
      </vt:variant>
      <vt:variant>
        <vt:lpwstr/>
      </vt:variant>
      <vt:variant>
        <vt:lpwstr>_Toc95140615</vt:lpwstr>
      </vt:variant>
      <vt:variant>
        <vt:i4>1310777</vt:i4>
      </vt:variant>
      <vt:variant>
        <vt:i4>254</vt:i4>
      </vt:variant>
      <vt:variant>
        <vt:i4>0</vt:i4>
      </vt:variant>
      <vt:variant>
        <vt:i4>5</vt:i4>
      </vt:variant>
      <vt:variant>
        <vt:lpwstr/>
      </vt:variant>
      <vt:variant>
        <vt:lpwstr>_Toc95140614</vt:lpwstr>
      </vt:variant>
      <vt:variant>
        <vt:i4>1245241</vt:i4>
      </vt:variant>
      <vt:variant>
        <vt:i4>248</vt:i4>
      </vt:variant>
      <vt:variant>
        <vt:i4>0</vt:i4>
      </vt:variant>
      <vt:variant>
        <vt:i4>5</vt:i4>
      </vt:variant>
      <vt:variant>
        <vt:lpwstr/>
      </vt:variant>
      <vt:variant>
        <vt:lpwstr>_Toc95140613</vt:lpwstr>
      </vt:variant>
      <vt:variant>
        <vt:i4>1179705</vt:i4>
      </vt:variant>
      <vt:variant>
        <vt:i4>242</vt:i4>
      </vt:variant>
      <vt:variant>
        <vt:i4>0</vt:i4>
      </vt:variant>
      <vt:variant>
        <vt:i4>5</vt:i4>
      </vt:variant>
      <vt:variant>
        <vt:lpwstr/>
      </vt:variant>
      <vt:variant>
        <vt:lpwstr>_Toc95140612</vt:lpwstr>
      </vt:variant>
      <vt:variant>
        <vt:i4>1114169</vt:i4>
      </vt:variant>
      <vt:variant>
        <vt:i4>236</vt:i4>
      </vt:variant>
      <vt:variant>
        <vt:i4>0</vt:i4>
      </vt:variant>
      <vt:variant>
        <vt:i4>5</vt:i4>
      </vt:variant>
      <vt:variant>
        <vt:lpwstr/>
      </vt:variant>
      <vt:variant>
        <vt:lpwstr>_Toc95140611</vt:lpwstr>
      </vt:variant>
      <vt:variant>
        <vt:i4>1048633</vt:i4>
      </vt:variant>
      <vt:variant>
        <vt:i4>230</vt:i4>
      </vt:variant>
      <vt:variant>
        <vt:i4>0</vt:i4>
      </vt:variant>
      <vt:variant>
        <vt:i4>5</vt:i4>
      </vt:variant>
      <vt:variant>
        <vt:lpwstr/>
      </vt:variant>
      <vt:variant>
        <vt:lpwstr>_Toc95140610</vt:lpwstr>
      </vt:variant>
      <vt:variant>
        <vt:i4>1638456</vt:i4>
      </vt:variant>
      <vt:variant>
        <vt:i4>224</vt:i4>
      </vt:variant>
      <vt:variant>
        <vt:i4>0</vt:i4>
      </vt:variant>
      <vt:variant>
        <vt:i4>5</vt:i4>
      </vt:variant>
      <vt:variant>
        <vt:lpwstr/>
      </vt:variant>
      <vt:variant>
        <vt:lpwstr>_Toc95140609</vt:lpwstr>
      </vt:variant>
      <vt:variant>
        <vt:i4>1572920</vt:i4>
      </vt:variant>
      <vt:variant>
        <vt:i4>218</vt:i4>
      </vt:variant>
      <vt:variant>
        <vt:i4>0</vt:i4>
      </vt:variant>
      <vt:variant>
        <vt:i4>5</vt:i4>
      </vt:variant>
      <vt:variant>
        <vt:lpwstr/>
      </vt:variant>
      <vt:variant>
        <vt:lpwstr>_Toc95140608</vt:lpwstr>
      </vt:variant>
      <vt:variant>
        <vt:i4>1507384</vt:i4>
      </vt:variant>
      <vt:variant>
        <vt:i4>212</vt:i4>
      </vt:variant>
      <vt:variant>
        <vt:i4>0</vt:i4>
      </vt:variant>
      <vt:variant>
        <vt:i4>5</vt:i4>
      </vt:variant>
      <vt:variant>
        <vt:lpwstr/>
      </vt:variant>
      <vt:variant>
        <vt:lpwstr>_Toc95140607</vt:lpwstr>
      </vt:variant>
      <vt:variant>
        <vt:i4>1441848</vt:i4>
      </vt:variant>
      <vt:variant>
        <vt:i4>206</vt:i4>
      </vt:variant>
      <vt:variant>
        <vt:i4>0</vt:i4>
      </vt:variant>
      <vt:variant>
        <vt:i4>5</vt:i4>
      </vt:variant>
      <vt:variant>
        <vt:lpwstr/>
      </vt:variant>
      <vt:variant>
        <vt:lpwstr>_Toc95140606</vt:lpwstr>
      </vt:variant>
      <vt:variant>
        <vt:i4>1376312</vt:i4>
      </vt:variant>
      <vt:variant>
        <vt:i4>200</vt:i4>
      </vt:variant>
      <vt:variant>
        <vt:i4>0</vt:i4>
      </vt:variant>
      <vt:variant>
        <vt:i4>5</vt:i4>
      </vt:variant>
      <vt:variant>
        <vt:lpwstr/>
      </vt:variant>
      <vt:variant>
        <vt:lpwstr>_Toc95140605</vt:lpwstr>
      </vt:variant>
      <vt:variant>
        <vt:i4>1310776</vt:i4>
      </vt:variant>
      <vt:variant>
        <vt:i4>194</vt:i4>
      </vt:variant>
      <vt:variant>
        <vt:i4>0</vt:i4>
      </vt:variant>
      <vt:variant>
        <vt:i4>5</vt:i4>
      </vt:variant>
      <vt:variant>
        <vt:lpwstr/>
      </vt:variant>
      <vt:variant>
        <vt:lpwstr>_Toc95140604</vt:lpwstr>
      </vt:variant>
      <vt:variant>
        <vt:i4>1245240</vt:i4>
      </vt:variant>
      <vt:variant>
        <vt:i4>188</vt:i4>
      </vt:variant>
      <vt:variant>
        <vt:i4>0</vt:i4>
      </vt:variant>
      <vt:variant>
        <vt:i4>5</vt:i4>
      </vt:variant>
      <vt:variant>
        <vt:lpwstr/>
      </vt:variant>
      <vt:variant>
        <vt:lpwstr>_Toc95140603</vt:lpwstr>
      </vt:variant>
      <vt:variant>
        <vt:i4>1179704</vt:i4>
      </vt:variant>
      <vt:variant>
        <vt:i4>182</vt:i4>
      </vt:variant>
      <vt:variant>
        <vt:i4>0</vt:i4>
      </vt:variant>
      <vt:variant>
        <vt:i4>5</vt:i4>
      </vt:variant>
      <vt:variant>
        <vt:lpwstr/>
      </vt:variant>
      <vt:variant>
        <vt:lpwstr>_Toc95140602</vt:lpwstr>
      </vt:variant>
      <vt:variant>
        <vt:i4>1114168</vt:i4>
      </vt:variant>
      <vt:variant>
        <vt:i4>176</vt:i4>
      </vt:variant>
      <vt:variant>
        <vt:i4>0</vt:i4>
      </vt:variant>
      <vt:variant>
        <vt:i4>5</vt:i4>
      </vt:variant>
      <vt:variant>
        <vt:lpwstr/>
      </vt:variant>
      <vt:variant>
        <vt:lpwstr>_Toc95140601</vt:lpwstr>
      </vt:variant>
      <vt:variant>
        <vt:i4>1048632</vt:i4>
      </vt:variant>
      <vt:variant>
        <vt:i4>170</vt:i4>
      </vt:variant>
      <vt:variant>
        <vt:i4>0</vt:i4>
      </vt:variant>
      <vt:variant>
        <vt:i4>5</vt:i4>
      </vt:variant>
      <vt:variant>
        <vt:lpwstr/>
      </vt:variant>
      <vt:variant>
        <vt:lpwstr>_Toc95140600</vt:lpwstr>
      </vt:variant>
      <vt:variant>
        <vt:i4>1703985</vt:i4>
      </vt:variant>
      <vt:variant>
        <vt:i4>164</vt:i4>
      </vt:variant>
      <vt:variant>
        <vt:i4>0</vt:i4>
      </vt:variant>
      <vt:variant>
        <vt:i4>5</vt:i4>
      </vt:variant>
      <vt:variant>
        <vt:lpwstr/>
      </vt:variant>
      <vt:variant>
        <vt:lpwstr>_Toc95140599</vt:lpwstr>
      </vt:variant>
      <vt:variant>
        <vt:i4>1769521</vt:i4>
      </vt:variant>
      <vt:variant>
        <vt:i4>158</vt:i4>
      </vt:variant>
      <vt:variant>
        <vt:i4>0</vt:i4>
      </vt:variant>
      <vt:variant>
        <vt:i4>5</vt:i4>
      </vt:variant>
      <vt:variant>
        <vt:lpwstr/>
      </vt:variant>
      <vt:variant>
        <vt:lpwstr>_Toc95140598</vt:lpwstr>
      </vt:variant>
      <vt:variant>
        <vt:i4>1310769</vt:i4>
      </vt:variant>
      <vt:variant>
        <vt:i4>152</vt:i4>
      </vt:variant>
      <vt:variant>
        <vt:i4>0</vt:i4>
      </vt:variant>
      <vt:variant>
        <vt:i4>5</vt:i4>
      </vt:variant>
      <vt:variant>
        <vt:lpwstr/>
      </vt:variant>
      <vt:variant>
        <vt:lpwstr>_Toc95140597</vt:lpwstr>
      </vt:variant>
      <vt:variant>
        <vt:i4>1376305</vt:i4>
      </vt:variant>
      <vt:variant>
        <vt:i4>146</vt:i4>
      </vt:variant>
      <vt:variant>
        <vt:i4>0</vt:i4>
      </vt:variant>
      <vt:variant>
        <vt:i4>5</vt:i4>
      </vt:variant>
      <vt:variant>
        <vt:lpwstr/>
      </vt:variant>
      <vt:variant>
        <vt:lpwstr>_Toc95140596</vt:lpwstr>
      </vt:variant>
      <vt:variant>
        <vt:i4>1441841</vt:i4>
      </vt:variant>
      <vt:variant>
        <vt:i4>140</vt:i4>
      </vt:variant>
      <vt:variant>
        <vt:i4>0</vt:i4>
      </vt:variant>
      <vt:variant>
        <vt:i4>5</vt:i4>
      </vt:variant>
      <vt:variant>
        <vt:lpwstr/>
      </vt:variant>
      <vt:variant>
        <vt:lpwstr>_Toc95140595</vt:lpwstr>
      </vt:variant>
      <vt:variant>
        <vt:i4>1507377</vt:i4>
      </vt:variant>
      <vt:variant>
        <vt:i4>134</vt:i4>
      </vt:variant>
      <vt:variant>
        <vt:i4>0</vt:i4>
      </vt:variant>
      <vt:variant>
        <vt:i4>5</vt:i4>
      </vt:variant>
      <vt:variant>
        <vt:lpwstr/>
      </vt:variant>
      <vt:variant>
        <vt:lpwstr>_Toc95140594</vt:lpwstr>
      </vt:variant>
      <vt:variant>
        <vt:i4>1048625</vt:i4>
      </vt:variant>
      <vt:variant>
        <vt:i4>128</vt:i4>
      </vt:variant>
      <vt:variant>
        <vt:i4>0</vt:i4>
      </vt:variant>
      <vt:variant>
        <vt:i4>5</vt:i4>
      </vt:variant>
      <vt:variant>
        <vt:lpwstr/>
      </vt:variant>
      <vt:variant>
        <vt:lpwstr>_Toc95140593</vt:lpwstr>
      </vt:variant>
      <vt:variant>
        <vt:i4>1114161</vt:i4>
      </vt:variant>
      <vt:variant>
        <vt:i4>122</vt:i4>
      </vt:variant>
      <vt:variant>
        <vt:i4>0</vt:i4>
      </vt:variant>
      <vt:variant>
        <vt:i4>5</vt:i4>
      </vt:variant>
      <vt:variant>
        <vt:lpwstr/>
      </vt:variant>
      <vt:variant>
        <vt:lpwstr>_Toc95140592</vt:lpwstr>
      </vt:variant>
      <vt:variant>
        <vt:i4>1179697</vt:i4>
      </vt:variant>
      <vt:variant>
        <vt:i4>116</vt:i4>
      </vt:variant>
      <vt:variant>
        <vt:i4>0</vt:i4>
      </vt:variant>
      <vt:variant>
        <vt:i4>5</vt:i4>
      </vt:variant>
      <vt:variant>
        <vt:lpwstr/>
      </vt:variant>
      <vt:variant>
        <vt:lpwstr>_Toc95140591</vt:lpwstr>
      </vt:variant>
      <vt:variant>
        <vt:i4>1245233</vt:i4>
      </vt:variant>
      <vt:variant>
        <vt:i4>110</vt:i4>
      </vt:variant>
      <vt:variant>
        <vt:i4>0</vt:i4>
      </vt:variant>
      <vt:variant>
        <vt:i4>5</vt:i4>
      </vt:variant>
      <vt:variant>
        <vt:lpwstr/>
      </vt:variant>
      <vt:variant>
        <vt:lpwstr>_Toc95140590</vt:lpwstr>
      </vt:variant>
      <vt:variant>
        <vt:i4>1703984</vt:i4>
      </vt:variant>
      <vt:variant>
        <vt:i4>104</vt:i4>
      </vt:variant>
      <vt:variant>
        <vt:i4>0</vt:i4>
      </vt:variant>
      <vt:variant>
        <vt:i4>5</vt:i4>
      </vt:variant>
      <vt:variant>
        <vt:lpwstr/>
      </vt:variant>
      <vt:variant>
        <vt:lpwstr>_Toc95140589</vt:lpwstr>
      </vt:variant>
      <vt:variant>
        <vt:i4>1769520</vt:i4>
      </vt:variant>
      <vt:variant>
        <vt:i4>98</vt:i4>
      </vt:variant>
      <vt:variant>
        <vt:i4>0</vt:i4>
      </vt:variant>
      <vt:variant>
        <vt:i4>5</vt:i4>
      </vt:variant>
      <vt:variant>
        <vt:lpwstr/>
      </vt:variant>
      <vt:variant>
        <vt:lpwstr>_Toc95140588</vt:lpwstr>
      </vt:variant>
      <vt:variant>
        <vt:i4>1310768</vt:i4>
      </vt:variant>
      <vt:variant>
        <vt:i4>92</vt:i4>
      </vt:variant>
      <vt:variant>
        <vt:i4>0</vt:i4>
      </vt:variant>
      <vt:variant>
        <vt:i4>5</vt:i4>
      </vt:variant>
      <vt:variant>
        <vt:lpwstr/>
      </vt:variant>
      <vt:variant>
        <vt:lpwstr>_Toc95140587</vt:lpwstr>
      </vt:variant>
      <vt:variant>
        <vt:i4>1376304</vt:i4>
      </vt:variant>
      <vt:variant>
        <vt:i4>86</vt:i4>
      </vt:variant>
      <vt:variant>
        <vt:i4>0</vt:i4>
      </vt:variant>
      <vt:variant>
        <vt:i4>5</vt:i4>
      </vt:variant>
      <vt:variant>
        <vt:lpwstr/>
      </vt:variant>
      <vt:variant>
        <vt:lpwstr>_Toc95140586</vt:lpwstr>
      </vt:variant>
      <vt:variant>
        <vt:i4>1441840</vt:i4>
      </vt:variant>
      <vt:variant>
        <vt:i4>80</vt:i4>
      </vt:variant>
      <vt:variant>
        <vt:i4>0</vt:i4>
      </vt:variant>
      <vt:variant>
        <vt:i4>5</vt:i4>
      </vt:variant>
      <vt:variant>
        <vt:lpwstr/>
      </vt:variant>
      <vt:variant>
        <vt:lpwstr>_Toc95140585</vt:lpwstr>
      </vt:variant>
      <vt:variant>
        <vt:i4>1507376</vt:i4>
      </vt:variant>
      <vt:variant>
        <vt:i4>74</vt:i4>
      </vt:variant>
      <vt:variant>
        <vt:i4>0</vt:i4>
      </vt:variant>
      <vt:variant>
        <vt:i4>5</vt:i4>
      </vt:variant>
      <vt:variant>
        <vt:lpwstr/>
      </vt:variant>
      <vt:variant>
        <vt:lpwstr>_Toc95140584</vt:lpwstr>
      </vt:variant>
      <vt:variant>
        <vt:i4>1048624</vt:i4>
      </vt:variant>
      <vt:variant>
        <vt:i4>68</vt:i4>
      </vt:variant>
      <vt:variant>
        <vt:i4>0</vt:i4>
      </vt:variant>
      <vt:variant>
        <vt:i4>5</vt:i4>
      </vt:variant>
      <vt:variant>
        <vt:lpwstr/>
      </vt:variant>
      <vt:variant>
        <vt:lpwstr>_Toc95140583</vt:lpwstr>
      </vt:variant>
      <vt:variant>
        <vt:i4>1114160</vt:i4>
      </vt:variant>
      <vt:variant>
        <vt:i4>62</vt:i4>
      </vt:variant>
      <vt:variant>
        <vt:i4>0</vt:i4>
      </vt:variant>
      <vt:variant>
        <vt:i4>5</vt:i4>
      </vt:variant>
      <vt:variant>
        <vt:lpwstr/>
      </vt:variant>
      <vt:variant>
        <vt:lpwstr>_Toc95140582</vt:lpwstr>
      </vt:variant>
      <vt:variant>
        <vt:i4>1179696</vt:i4>
      </vt:variant>
      <vt:variant>
        <vt:i4>56</vt:i4>
      </vt:variant>
      <vt:variant>
        <vt:i4>0</vt:i4>
      </vt:variant>
      <vt:variant>
        <vt:i4>5</vt:i4>
      </vt:variant>
      <vt:variant>
        <vt:lpwstr/>
      </vt:variant>
      <vt:variant>
        <vt:lpwstr>_Toc95140581</vt:lpwstr>
      </vt:variant>
      <vt:variant>
        <vt:i4>1245232</vt:i4>
      </vt:variant>
      <vt:variant>
        <vt:i4>50</vt:i4>
      </vt:variant>
      <vt:variant>
        <vt:i4>0</vt:i4>
      </vt:variant>
      <vt:variant>
        <vt:i4>5</vt:i4>
      </vt:variant>
      <vt:variant>
        <vt:lpwstr/>
      </vt:variant>
      <vt:variant>
        <vt:lpwstr>_Toc95140580</vt:lpwstr>
      </vt:variant>
      <vt:variant>
        <vt:i4>1703999</vt:i4>
      </vt:variant>
      <vt:variant>
        <vt:i4>44</vt:i4>
      </vt:variant>
      <vt:variant>
        <vt:i4>0</vt:i4>
      </vt:variant>
      <vt:variant>
        <vt:i4>5</vt:i4>
      </vt:variant>
      <vt:variant>
        <vt:lpwstr/>
      </vt:variant>
      <vt:variant>
        <vt:lpwstr>_Toc95140579</vt:lpwstr>
      </vt:variant>
      <vt:variant>
        <vt:i4>1769535</vt:i4>
      </vt:variant>
      <vt:variant>
        <vt:i4>38</vt:i4>
      </vt:variant>
      <vt:variant>
        <vt:i4>0</vt:i4>
      </vt:variant>
      <vt:variant>
        <vt:i4>5</vt:i4>
      </vt:variant>
      <vt:variant>
        <vt:lpwstr/>
      </vt:variant>
      <vt:variant>
        <vt:lpwstr>_Toc95140578</vt:lpwstr>
      </vt:variant>
      <vt:variant>
        <vt:i4>1310783</vt:i4>
      </vt:variant>
      <vt:variant>
        <vt:i4>32</vt:i4>
      </vt:variant>
      <vt:variant>
        <vt:i4>0</vt:i4>
      </vt:variant>
      <vt:variant>
        <vt:i4>5</vt:i4>
      </vt:variant>
      <vt:variant>
        <vt:lpwstr/>
      </vt:variant>
      <vt:variant>
        <vt:lpwstr>_Toc95140577</vt:lpwstr>
      </vt:variant>
      <vt:variant>
        <vt:i4>1376319</vt:i4>
      </vt:variant>
      <vt:variant>
        <vt:i4>26</vt:i4>
      </vt:variant>
      <vt:variant>
        <vt:i4>0</vt:i4>
      </vt:variant>
      <vt:variant>
        <vt:i4>5</vt:i4>
      </vt:variant>
      <vt:variant>
        <vt:lpwstr/>
      </vt:variant>
      <vt:variant>
        <vt:lpwstr>_Toc95140576</vt:lpwstr>
      </vt:variant>
      <vt:variant>
        <vt:i4>1441855</vt:i4>
      </vt:variant>
      <vt:variant>
        <vt:i4>20</vt:i4>
      </vt:variant>
      <vt:variant>
        <vt:i4>0</vt:i4>
      </vt:variant>
      <vt:variant>
        <vt:i4>5</vt:i4>
      </vt:variant>
      <vt:variant>
        <vt:lpwstr/>
      </vt:variant>
      <vt:variant>
        <vt:lpwstr>_Toc95140575</vt:lpwstr>
      </vt:variant>
      <vt:variant>
        <vt:i4>1507391</vt:i4>
      </vt:variant>
      <vt:variant>
        <vt:i4>14</vt:i4>
      </vt:variant>
      <vt:variant>
        <vt:i4>0</vt:i4>
      </vt:variant>
      <vt:variant>
        <vt:i4>5</vt:i4>
      </vt:variant>
      <vt:variant>
        <vt:lpwstr/>
      </vt:variant>
      <vt:variant>
        <vt:lpwstr>_Toc95140574</vt:lpwstr>
      </vt:variant>
      <vt:variant>
        <vt:i4>1048639</vt:i4>
      </vt:variant>
      <vt:variant>
        <vt:i4>8</vt:i4>
      </vt:variant>
      <vt:variant>
        <vt:i4>0</vt:i4>
      </vt:variant>
      <vt:variant>
        <vt:i4>5</vt:i4>
      </vt:variant>
      <vt:variant>
        <vt:lpwstr/>
      </vt:variant>
      <vt:variant>
        <vt:lpwstr>_Toc95140573</vt:lpwstr>
      </vt:variant>
      <vt:variant>
        <vt:i4>1114175</vt:i4>
      </vt:variant>
      <vt:variant>
        <vt:i4>2</vt:i4>
      </vt:variant>
      <vt:variant>
        <vt:i4>0</vt:i4>
      </vt:variant>
      <vt:variant>
        <vt:i4>5</vt:i4>
      </vt:variant>
      <vt:variant>
        <vt:lpwstr/>
      </vt:variant>
      <vt:variant>
        <vt:lpwstr>_Toc95140572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MLADEN</dc:creator>
  <cp:lastModifiedBy>Andreja Bogdan</cp:lastModifiedBy>
  <cp:revision>2</cp:revision>
  <cp:lastPrinted>2006-10-02T10:31:00Z</cp:lastPrinted>
  <dcterms:created xsi:type="dcterms:W3CDTF">2020-08-03T09:32:00Z</dcterms:created>
  <dcterms:modified xsi:type="dcterms:W3CDTF">2020-08-03T09:32:00Z</dcterms:modified>
</cp:coreProperties>
</file>