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01D3" w14:textId="77777777" w:rsidR="009F6FD6" w:rsidRDefault="009F6FD6" w:rsidP="00A257B1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737EC17D" w14:textId="77777777" w:rsidR="009F6FD6" w:rsidRPr="009F6FD6" w:rsidRDefault="009F6FD6" w:rsidP="009F6FD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F6FD6">
        <w:rPr>
          <w:rFonts w:ascii="Arial" w:eastAsia="Calibri" w:hAnsi="Arial" w:cs="Arial"/>
          <w:b/>
          <w:bCs/>
          <w:sz w:val="24"/>
          <w:szCs w:val="24"/>
        </w:rPr>
        <w:t>R E P U B L I K A   H R V A T S K A</w:t>
      </w:r>
    </w:p>
    <w:p w14:paraId="60D1C2CF" w14:textId="77777777" w:rsidR="009F6FD6" w:rsidRPr="009F6FD6" w:rsidRDefault="009F6FD6" w:rsidP="009F6FD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F6FD6">
        <w:rPr>
          <w:rFonts w:ascii="Arial" w:eastAsia="Calibri" w:hAnsi="Arial" w:cs="Arial"/>
          <w:b/>
          <w:bCs/>
          <w:sz w:val="24"/>
          <w:szCs w:val="24"/>
        </w:rPr>
        <w:t>KOPRIVNIČKO - KRIŽEVAČKA ŽUPANIJA</w:t>
      </w:r>
    </w:p>
    <w:p w14:paraId="6A2B5657" w14:textId="77777777" w:rsidR="009F6FD6" w:rsidRPr="009F6FD6" w:rsidRDefault="009F6FD6" w:rsidP="009F6FD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F6FD6">
        <w:rPr>
          <w:rFonts w:ascii="Arial" w:eastAsia="Calibri" w:hAnsi="Arial" w:cs="Arial"/>
          <w:b/>
          <w:bCs/>
          <w:sz w:val="24"/>
          <w:szCs w:val="24"/>
        </w:rPr>
        <w:t>OPĆINA GORNJA RIJEKA</w:t>
      </w:r>
    </w:p>
    <w:p w14:paraId="1B9C2AF7" w14:textId="77777777" w:rsidR="009F6FD6" w:rsidRPr="009F6FD6" w:rsidRDefault="009F6FD6" w:rsidP="009F6FD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128F3A9" w14:textId="77777777" w:rsidR="009F6FD6" w:rsidRPr="009F6FD6" w:rsidRDefault="009F6FD6" w:rsidP="009F6FD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2B18817F" w14:textId="77777777" w:rsidR="009F6FD6" w:rsidRPr="009F6FD6" w:rsidRDefault="009F6FD6" w:rsidP="009F6FD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662CBC93" w14:textId="77777777" w:rsidR="009F6FD6" w:rsidRPr="009F6FD6" w:rsidRDefault="009F6FD6" w:rsidP="009F6FD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D4B52A1" w14:textId="77777777" w:rsidR="009F6FD6" w:rsidRPr="009F6FD6" w:rsidRDefault="009F6FD6" w:rsidP="009F6FD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2DADD4AA" w14:textId="77777777" w:rsidR="009F6FD6" w:rsidRPr="009F6FD6" w:rsidRDefault="009F6FD6" w:rsidP="009F6FD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0C44000" w14:textId="77777777" w:rsidR="009F6FD6" w:rsidRPr="009F6FD6" w:rsidRDefault="009F6FD6" w:rsidP="009F6FD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3D7E2FF" w14:textId="77777777" w:rsidR="009F6FD6" w:rsidRPr="009F6FD6" w:rsidRDefault="009F6FD6" w:rsidP="009F6FD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C2BFD73" w14:textId="77777777" w:rsidR="009F6FD6" w:rsidRPr="009F6FD6" w:rsidRDefault="009F6FD6" w:rsidP="009F6FD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EA6D538" w14:textId="0E86AF57" w:rsidR="009F6FD6" w:rsidRPr="009F6FD6" w:rsidRDefault="009F6FD6" w:rsidP="009F6FD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OBRAZLOŽENJE</w:t>
      </w:r>
    </w:p>
    <w:p w14:paraId="28F35BB6" w14:textId="3DFB803E" w:rsidR="009F6FD6" w:rsidRDefault="009F6FD6" w:rsidP="009F6FD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PRORAČUNA OPĆINE GORNJA RIJEKA ZA 2023. GODINU</w:t>
      </w:r>
    </w:p>
    <w:p w14:paraId="74739260" w14:textId="33637AED" w:rsidR="009F6FD6" w:rsidRPr="009F6FD6" w:rsidRDefault="009F6FD6" w:rsidP="009F6FD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I PROJEKCIJE ZA 2024. I 2025. GODINU</w:t>
      </w:r>
    </w:p>
    <w:p w14:paraId="1B122E49" w14:textId="77777777" w:rsidR="009F6FD6" w:rsidRPr="009F6FD6" w:rsidRDefault="009F6FD6" w:rsidP="009F6FD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23865FD7" w14:textId="77777777" w:rsidR="009F6FD6" w:rsidRPr="009F6FD6" w:rsidRDefault="009F6FD6" w:rsidP="009F6FD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75179338" w14:textId="77777777" w:rsidR="009F6FD6" w:rsidRPr="009F6FD6" w:rsidRDefault="009F6FD6" w:rsidP="009F6FD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2477BC90" w14:textId="77777777" w:rsidR="009F6FD6" w:rsidRPr="009F6FD6" w:rsidRDefault="009F6FD6" w:rsidP="009F6FD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2089A579" w14:textId="77777777" w:rsidR="009F6FD6" w:rsidRPr="009F6FD6" w:rsidRDefault="009F6FD6" w:rsidP="009F6FD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B9DDF88" w14:textId="77777777" w:rsidR="009F6FD6" w:rsidRPr="009F6FD6" w:rsidRDefault="009F6FD6" w:rsidP="009F6FD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29556AC" w14:textId="77777777" w:rsidR="009F6FD6" w:rsidRPr="009F6FD6" w:rsidRDefault="009F6FD6" w:rsidP="009F6FD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462ADE66" w14:textId="77777777" w:rsidR="009F6FD6" w:rsidRPr="009F6FD6" w:rsidRDefault="009F6FD6" w:rsidP="009F6FD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75A2C7B1" w14:textId="77777777" w:rsidR="009F6FD6" w:rsidRPr="009F6FD6" w:rsidRDefault="009F6FD6" w:rsidP="009F6FD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0D3CCF0" w14:textId="77777777" w:rsidR="009F6FD6" w:rsidRPr="009F6FD6" w:rsidRDefault="009F6FD6" w:rsidP="009F6FD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869BB93" w14:textId="77777777" w:rsidR="009F6FD6" w:rsidRPr="009F6FD6" w:rsidRDefault="009F6FD6" w:rsidP="009F6FD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6B4DCC92" w14:textId="77777777" w:rsidR="009F6FD6" w:rsidRPr="009F6FD6" w:rsidRDefault="009F6FD6" w:rsidP="009F6FD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6FB6C376" w14:textId="027A00ED" w:rsidR="009F6FD6" w:rsidRDefault="009F6FD6" w:rsidP="009F6FD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F6FD6">
        <w:rPr>
          <w:rFonts w:ascii="Arial" w:eastAsia="Calibri" w:hAnsi="Arial" w:cs="Arial"/>
          <w:b/>
          <w:bCs/>
          <w:sz w:val="24"/>
          <w:szCs w:val="24"/>
        </w:rPr>
        <w:t xml:space="preserve">Gornja Rijeka, </w:t>
      </w:r>
      <w:r>
        <w:rPr>
          <w:rFonts w:ascii="Arial" w:eastAsia="Calibri" w:hAnsi="Arial" w:cs="Arial"/>
          <w:b/>
          <w:bCs/>
          <w:sz w:val="24"/>
          <w:szCs w:val="24"/>
        </w:rPr>
        <w:t>studeni</w:t>
      </w:r>
      <w:r w:rsidRPr="009F6FD6">
        <w:rPr>
          <w:rFonts w:ascii="Arial" w:eastAsia="Calibri" w:hAnsi="Arial" w:cs="Arial"/>
          <w:b/>
          <w:bCs/>
          <w:sz w:val="24"/>
          <w:szCs w:val="24"/>
        </w:rPr>
        <w:t xml:space="preserve"> 202</w:t>
      </w:r>
      <w:r>
        <w:rPr>
          <w:rFonts w:ascii="Arial" w:eastAsia="Calibri" w:hAnsi="Arial" w:cs="Arial"/>
          <w:b/>
          <w:bCs/>
          <w:sz w:val="24"/>
          <w:szCs w:val="24"/>
        </w:rPr>
        <w:t>2</w:t>
      </w:r>
      <w:r w:rsidRPr="009F6FD6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227A6B53" w14:textId="77777777" w:rsidR="009F6FD6" w:rsidRDefault="009F6FD6" w:rsidP="00A257B1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4B64BE1" w14:textId="68CF9605" w:rsidR="009F6FD6" w:rsidRPr="009F6FD6" w:rsidRDefault="009F6FD6" w:rsidP="009F6FD6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F6FD6">
        <w:rPr>
          <w:rFonts w:ascii="Arial" w:eastAsia="Calibri" w:hAnsi="Arial" w:cs="Arial"/>
          <w:sz w:val="24"/>
          <w:szCs w:val="24"/>
        </w:rPr>
        <w:lastRenderedPageBreak/>
        <w:t xml:space="preserve">Proračun </w:t>
      </w:r>
      <w:r>
        <w:rPr>
          <w:rFonts w:ascii="Arial" w:eastAsia="Calibri" w:hAnsi="Arial" w:cs="Arial"/>
          <w:sz w:val="24"/>
          <w:szCs w:val="24"/>
        </w:rPr>
        <w:t>Općine Gornja Rijeka</w:t>
      </w:r>
      <w:r w:rsidRPr="009F6FD6">
        <w:rPr>
          <w:rFonts w:ascii="Arial" w:eastAsia="Calibri" w:hAnsi="Arial" w:cs="Arial"/>
          <w:sz w:val="24"/>
          <w:szCs w:val="24"/>
        </w:rPr>
        <w:t xml:space="preserve"> za 2023. godinu i projekcije za 2024. i 2025.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F6FD6">
        <w:rPr>
          <w:rFonts w:ascii="Arial" w:eastAsia="Calibri" w:hAnsi="Arial" w:cs="Arial"/>
          <w:sz w:val="24"/>
          <w:szCs w:val="24"/>
        </w:rPr>
        <w:t>godinu izrađen je u skladu sa Zakonom o proračunu („Narodne novine“ broj 144/21.),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F6FD6">
        <w:rPr>
          <w:rFonts w:ascii="Arial" w:eastAsia="Calibri" w:hAnsi="Arial" w:cs="Arial"/>
          <w:sz w:val="24"/>
          <w:szCs w:val="24"/>
        </w:rPr>
        <w:t>Pravilnikom o proračunskim klasifikacijama („Narodne novine“ broj 26/10., 120/13. i 01/20.),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F6FD6">
        <w:rPr>
          <w:rFonts w:ascii="Arial" w:eastAsia="Calibri" w:hAnsi="Arial" w:cs="Arial"/>
          <w:sz w:val="24"/>
          <w:szCs w:val="24"/>
        </w:rPr>
        <w:t>Pravilnikom o proračunskom računovodstvu i Računskom planu („Narodne novine“ broj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F6FD6">
        <w:rPr>
          <w:rFonts w:ascii="Arial" w:eastAsia="Calibri" w:hAnsi="Arial" w:cs="Arial"/>
          <w:sz w:val="24"/>
          <w:szCs w:val="24"/>
        </w:rPr>
        <w:t>124/14., 115/15., 87/16., 3/18., 126/19 i 108/20), Uputama za izradu proračuna jedinica lokalne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F6FD6">
        <w:rPr>
          <w:rFonts w:ascii="Arial" w:eastAsia="Calibri" w:hAnsi="Arial" w:cs="Arial"/>
          <w:sz w:val="24"/>
          <w:szCs w:val="24"/>
        </w:rPr>
        <w:t>i područne (regionalne) samouprave koje je izdalo Ministarstvo financija te Provedbeni</w:t>
      </w:r>
      <w:r>
        <w:rPr>
          <w:rFonts w:ascii="Arial" w:eastAsia="Calibri" w:hAnsi="Arial" w:cs="Arial"/>
          <w:sz w:val="24"/>
          <w:szCs w:val="24"/>
        </w:rPr>
        <w:t>m</w:t>
      </w:r>
      <w:r w:rsidRPr="009F6FD6">
        <w:rPr>
          <w:rFonts w:ascii="Arial" w:eastAsia="Calibri" w:hAnsi="Arial" w:cs="Arial"/>
          <w:sz w:val="24"/>
          <w:szCs w:val="24"/>
        </w:rPr>
        <w:t xml:space="preserve"> program</w:t>
      </w:r>
      <w:r>
        <w:rPr>
          <w:rFonts w:ascii="Arial" w:eastAsia="Calibri" w:hAnsi="Arial" w:cs="Arial"/>
          <w:sz w:val="24"/>
          <w:szCs w:val="24"/>
        </w:rPr>
        <w:t xml:space="preserve">om </w:t>
      </w:r>
      <w:r w:rsidRPr="009F6FD6">
        <w:rPr>
          <w:rFonts w:ascii="Arial" w:eastAsia="Calibri" w:hAnsi="Arial" w:cs="Arial"/>
          <w:sz w:val="24"/>
          <w:szCs w:val="24"/>
        </w:rPr>
        <w:t>Općine Gornja Rijeka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F6FD6">
        <w:rPr>
          <w:rFonts w:ascii="Arial" w:eastAsia="Calibri" w:hAnsi="Arial" w:cs="Arial"/>
          <w:sz w:val="24"/>
          <w:szCs w:val="24"/>
        </w:rPr>
        <w:t>za razdoblje od 2021. do 2025. godine</w:t>
      </w:r>
      <w:r>
        <w:rPr>
          <w:rFonts w:ascii="Arial" w:eastAsia="Calibri" w:hAnsi="Arial" w:cs="Arial"/>
          <w:sz w:val="24"/>
          <w:szCs w:val="24"/>
        </w:rPr>
        <w:t>.</w:t>
      </w:r>
    </w:p>
    <w:p w14:paraId="52A4315E" w14:textId="620FA2CD" w:rsidR="009F6FD6" w:rsidRPr="009F6FD6" w:rsidRDefault="009F6FD6" w:rsidP="009F6FD6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F6FD6">
        <w:rPr>
          <w:rFonts w:ascii="Arial" w:eastAsia="Calibri" w:hAnsi="Arial" w:cs="Arial"/>
          <w:sz w:val="24"/>
          <w:szCs w:val="24"/>
        </w:rPr>
        <w:t>Zakonom o proračunu propisana je procedura pripreme, izrade i postupak donošenja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F6FD6">
        <w:rPr>
          <w:rFonts w:ascii="Arial" w:eastAsia="Calibri" w:hAnsi="Arial" w:cs="Arial"/>
          <w:sz w:val="24"/>
          <w:szCs w:val="24"/>
        </w:rPr>
        <w:t>proračuna.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F6FD6">
        <w:rPr>
          <w:rFonts w:ascii="Arial" w:eastAsia="Calibri" w:hAnsi="Arial" w:cs="Arial"/>
          <w:sz w:val="24"/>
          <w:szCs w:val="24"/>
        </w:rPr>
        <w:t>Planiranje i izvršavanje proračuna u smislu obuhvata prihoda i rashoda proračunskih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F6FD6">
        <w:rPr>
          <w:rFonts w:ascii="Arial" w:eastAsia="Calibri" w:hAnsi="Arial" w:cs="Arial"/>
          <w:sz w:val="24"/>
          <w:szCs w:val="24"/>
        </w:rPr>
        <w:t>korisnika propisane su Uputama za izradu proračuna jedinica lokalne i područne (regionalne)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F6FD6">
        <w:rPr>
          <w:rFonts w:ascii="Arial" w:eastAsia="Calibri" w:hAnsi="Arial" w:cs="Arial"/>
          <w:sz w:val="24"/>
          <w:szCs w:val="24"/>
        </w:rPr>
        <w:t>samouprave Ministarstva financija, a započinje donošenjem smjernica ekonomske i fiskalne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F6FD6">
        <w:rPr>
          <w:rFonts w:ascii="Arial" w:eastAsia="Calibri" w:hAnsi="Arial" w:cs="Arial"/>
          <w:sz w:val="24"/>
          <w:szCs w:val="24"/>
        </w:rPr>
        <w:t>politike Vlade RH za trogodišnje razdoblje.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F6FD6">
        <w:rPr>
          <w:rFonts w:ascii="Arial" w:eastAsia="Calibri" w:hAnsi="Arial" w:cs="Arial"/>
          <w:sz w:val="24"/>
          <w:szCs w:val="24"/>
        </w:rPr>
        <w:t>Ministarstvo financija je sastavilo Upute za izradu proračuna jedinica lokalne i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F6FD6">
        <w:rPr>
          <w:rFonts w:ascii="Arial" w:eastAsia="Calibri" w:hAnsi="Arial" w:cs="Arial"/>
          <w:sz w:val="24"/>
          <w:szCs w:val="24"/>
        </w:rPr>
        <w:t>područne (regionalne) samouprave za razdoblje 2023.-2025., koje su objavljene u kolovozu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F6FD6">
        <w:rPr>
          <w:rFonts w:ascii="Arial" w:eastAsia="Calibri" w:hAnsi="Arial" w:cs="Arial"/>
          <w:sz w:val="24"/>
          <w:szCs w:val="24"/>
        </w:rPr>
        <w:t>2022. godine na službenim internetskim stranicama Ministarstva financija, a iste sadrže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F6FD6">
        <w:rPr>
          <w:rFonts w:ascii="Arial" w:eastAsia="Calibri" w:hAnsi="Arial" w:cs="Arial"/>
          <w:sz w:val="24"/>
          <w:szCs w:val="24"/>
        </w:rPr>
        <w:t>temeljne ekonomske pokazatelje iz Smjernica, metodologiju izrade proračuna jedinica lokalne i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F6FD6">
        <w:rPr>
          <w:rFonts w:ascii="Arial" w:eastAsia="Calibri" w:hAnsi="Arial" w:cs="Arial"/>
          <w:sz w:val="24"/>
          <w:szCs w:val="24"/>
        </w:rPr>
        <w:t>područne (regionalne) samouprave, metodologiju izrade financijskog plana proračunskih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F6FD6">
        <w:rPr>
          <w:rFonts w:ascii="Arial" w:eastAsia="Calibri" w:hAnsi="Arial" w:cs="Arial"/>
          <w:sz w:val="24"/>
          <w:szCs w:val="24"/>
        </w:rPr>
        <w:t>korisnika jedinice i pripadajuće obrasce.</w:t>
      </w:r>
    </w:p>
    <w:p w14:paraId="70AC4DE6" w14:textId="004861BB" w:rsidR="009F6FD6" w:rsidRPr="009F6FD6" w:rsidRDefault="009F6FD6" w:rsidP="009F6FD6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Općina</w:t>
      </w:r>
      <w:r w:rsidRPr="009F6FD6">
        <w:rPr>
          <w:rFonts w:ascii="Arial" w:eastAsia="Calibri" w:hAnsi="Arial" w:cs="Arial"/>
          <w:sz w:val="24"/>
          <w:szCs w:val="24"/>
        </w:rPr>
        <w:t xml:space="preserve"> je izradila Upute za izradu Proračuna za 2023. godinu zajedno sa projekcijama za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F6FD6">
        <w:rPr>
          <w:rFonts w:ascii="Arial" w:eastAsia="Calibri" w:hAnsi="Arial" w:cs="Arial"/>
          <w:sz w:val="24"/>
          <w:szCs w:val="24"/>
        </w:rPr>
        <w:t>2024. i 2025. godinu sa financijskim okvir</w:t>
      </w:r>
      <w:r>
        <w:rPr>
          <w:rFonts w:ascii="Arial" w:eastAsia="Calibri" w:hAnsi="Arial" w:cs="Arial"/>
          <w:sz w:val="24"/>
          <w:szCs w:val="24"/>
        </w:rPr>
        <w:t>ima</w:t>
      </w:r>
      <w:r w:rsidRPr="009F6FD6">
        <w:rPr>
          <w:rFonts w:ascii="Arial" w:eastAsia="Calibri" w:hAnsi="Arial" w:cs="Arial"/>
          <w:sz w:val="24"/>
          <w:szCs w:val="24"/>
        </w:rPr>
        <w:t xml:space="preserve"> kojih su se proračunski bili dužni pridržavati.</w:t>
      </w:r>
    </w:p>
    <w:p w14:paraId="44CFBBE6" w14:textId="21191D07" w:rsidR="009F6FD6" w:rsidRPr="009F6FD6" w:rsidRDefault="009F6FD6" w:rsidP="009F6FD6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F6FD6">
        <w:rPr>
          <w:rFonts w:ascii="Arial" w:eastAsia="Calibri" w:hAnsi="Arial" w:cs="Arial"/>
          <w:sz w:val="24"/>
          <w:szCs w:val="24"/>
        </w:rPr>
        <w:t xml:space="preserve">Prijedlog proračuna </w:t>
      </w:r>
      <w:r>
        <w:rPr>
          <w:rFonts w:ascii="Arial" w:eastAsia="Calibri" w:hAnsi="Arial" w:cs="Arial"/>
          <w:sz w:val="24"/>
          <w:szCs w:val="24"/>
        </w:rPr>
        <w:t>Općine Gornja Rijeka</w:t>
      </w:r>
      <w:r w:rsidRPr="009F6FD6">
        <w:rPr>
          <w:rFonts w:ascii="Arial" w:eastAsia="Calibri" w:hAnsi="Arial" w:cs="Arial"/>
          <w:sz w:val="24"/>
          <w:szCs w:val="24"/>
        </w:rPr>
        <w:t xml:space="preserve"> za 2023. godinu utemeljen je na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F6FD6">
        <w:rPr>
          <w:rFonts w:ascii="Arial" w:eastAsia="Calibri" w:hAnsi="Arial" w:cs="Arial"/>
          <w:sz w:val="24"/>
          <w:szCs w:val="24"/>
        </w:rPr>
        <w:t xml:space="preserve">zakonskim obvezama </w:t>
      </w:r>
      <w:r>
        <w:rPr>
          <w:rFonts w:ascii="Arial" w:eastAsia="Calibri" w:hAnsi="Arial" w:cs="Arial"/>
          <w:sz w:val="24"/>
          <w:szCs w:val="24"/>
        </w:rPr>
        <w:t>Općine Gornja Rijeka</w:t>
      </w:r>
      <w:r w:rsidRPr="009F6FD6">
        <w:rPr>
          <w:rFonts w:ascii="Arial" w:eastAsia="Calibri" w:hAnsi="Arial" w:cs="Arial"/>
          <w:sz w:val="24"/>
          <w:szCs w:val="24"/>
        </w:rPr>
        <w:t xml:space="preserve"> kao jedinice </w:t>
      </w:r>
      <w:r>
        <w:rPr>
          <w:rFonts w:ascii="Arial" w:eastAsia="Calibri" w:hAnsi="Arial" w:cs="Arial"/>
          <w:sz w:val="24"/>
          <w:szCs w:val="24"/>
        </w:rPr>
        <w:t>lokalne</w:t>
      </w:r>
      <w:r w:rsidRPr="009F6FD6">
        <w:rPr>
          <w:rFonts w:ascii="Arial" w:eastAsia="Calibri" w:hAnsi="Arial" w:cs="Arial"/>
          <w:sz w:val="24"/>
          <w:szCs w:val="24"/>
        </w:rPr>
        <w:t xml:space="preserve"> samouprave,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F6FD6">
        <w:rPr>
          <w:rFonts w:ascii="Arial" w:eastAsia="Calibri" w:hAnsi="Arial" w:cs="Arial"/>
          <w:sz w:val="24"/>
          <w:szCs w:val="24"/>
        </w:rPr>
        <w:t>ugovornim obvezama za 2023. godinu te na procjeni gospodarskog i fiskalnog kapaciteta</w:t>
      </w:r>
      <w:r>
        <w:rPr>
          <w:rFonts w:ascii="Arial" w:eastAsia="Calibri" w:hAnsi="Arial" w:cs="Arial"/>
          <w:sz w:val="24"/>
          <w:szCs w:val="24"/>
        </w:rPr>
        <w:t xml:space="preserve"> Općine</w:t>
      </w:r>
      <w:r w:rsidRPr="009F6FD6">
        <w:rPr>
          <w:rFonts w:ascii="Arial" w:eastAsia="Calibri" w:hAnsi="Arial" w:cs="Arial"/>
          <w:sz w:val="24"/>
          <w:szCs w:val="24"/>
        </w:rPr>
        <w:t>.</w:t>
      </w:r>
    </w:p>
    <w:p w14:paraId="2B7F63FB" w14:textId="08F10827" w:rsidR="009F6FD6" w:rsidRPr="009F6FD6" w:rsidRDefault="009F6FD6" w:rsidP="00931543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Proračunski korisnici općine posluju putem svojih računa i njihovi namjenski i vlastiti prihodi izuzeti su od uplate u proračun Općine.</w:t>
      </w:r>
    </w:p>
    <w:p w14:paraId="4C1128A7" w14:textId="41922709" w:rsidR="00A257B1" w:rsidRPr="00931543" w:rsidRDefault="009F6FD6" w:rsidP="00931543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F6FD6">
        <w:rPr>
          <w:rFonts w:ascii="Arial" w:eastAsia="Calibri" w:hAnsi="Arial" w:cs="Arial"/>
          <w:sz w:val="24"/>
          <w:szCs w:val="24"/>
        </w:rPr>
        <w:t>Proračun za 2023. godinu se zajedno sa projekcijama za 2024. i 2025. godinu donosi</w:t>
      </w:r>
      <w:r w:rsidR="00931543">
        <w:rPr>
          <w:rFonts w:ascii="Arial" w:eastAsia="Calibri" w:hAnsi="Arial" w:cs="Arial"/>
          <w:sz w:val="24"/>
          <w:szCs w:val="24"/>
        </w:rPr>
        <w:t xml:space="preserve"> </w:t>
      </w:r>
      <w:r w:rsidRPr="009F6FD6">
        <w:rPr>
          <w:rFonts w:ascii="Arial" w:eastAsia="Calibri" w:hAnsi="Arial" w:cs="Arial"/>
          <w:sz w:val="24"/>
          <w:szCs w:val="24"/>
        </w:rPr>
        <w:t>u eurima na razini skupine ekonomske klasifikacije.</w:t>
      </w:r>
    </w:p>
    <w:p w14:paraId="20073A17" w14:textId="77777777" w:rsidR="00931543" w:rsidRPr="00931543" w:rsidRDefault="00A257B1" w:rsidP="00931543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="00931543" w:rsidRPr="00931543">
        <w:rPr>
          <w:rFonts w:ascii="Arial" w:eastAsia="Calibri" w:hAnsi="Arial" w:cs="Arial"/>
          <w:sz w:val="24"/>
          <w:szCs w:val="24"/>
        </w:rPr>
        <w:t>Obrazloženje proračuna sastoji se od obrazloženja općeg dijela proračuna i obrazloženja posebnog dijela proračuna.</w:t>
      </w:r>
    </w:p>
    <w:p w14:paraId="504C58A6" w14:textId="77777777" w:rsidR="00931543" w:rsidRPr="00931543" w:rsidRDefault="00931543" w:rsidP="00931543">
      <w:pPr>
        <w:rPr>
          <w:rFonts w:ascii="Arial" w:eastAsia="Calibri" w:hAnsi="Arial" w:cs="Arial"/>
          <w:sz w:val="24"/>
          <w:szCs w:val="24"/>
        </w:rPr>
      </w:pPr>
      <w:r w:rsidRPr="00931543">
        <w:rPr>
          <w:rFonts w:ascii="Arial" w:eastAsia="Calibri" w:hAnsi="Arial" w:cs="Arial"/>
          <w:sz w:val="24"/>
          <w:szCs w:val="24"/>
        </w:rPr>
        <w:t>Obrazloženje općeg dijela proračuna sadrži obrazloženje:</w:t>
      </w:r>
    </w:p>
    <w:p w14:paraId="1BF1BF69" w14:textId="77777777" w:rsidR="00931543" w:rsidRPr="00931543" w:rsidRDefault="00931543" w:rsidP="00931543">
      <w:pPr>
        <w:rPr>
          <w:rFonts w:ascii="Arial" w:eastAsia="Calibri" w:hAnsi="Arial" w:cs="Arial"/>
          <w:sz w:val="24"/>
          <w:szCs w:val="24"/>
        </w:rPr>
      </w:pPr>
      <w:r w:rsidRPr="00931543">
        <w:rPr>
          <w:rFonts w:ascii="Arial" w:eastAsia="Calibri" w:hAnsi="Arial" w:cs="Arial"/>
          <w:sz w:val="24"/>
          <w:szCs w:val="24"/>
        </w:rPr>
        <w:t>-</w:t>
      </w:r>
      <w:r w:rsidRPr="00931543">
        <w:rPr>
          <w:rFonts w:ascii="Arial" w:eastAsia="Calibri" w:hAnsi="Arial" w:cs="Arial"/>
          <w:sz w:val="24"/>
          <w:szCs w:val="24"/>
        </w:rPr>
        <w:tab/>
        <w:t>prihoda i rashoda, primitaka i izdataka proračuna</w:t>
      </w:r>
    </w:p>
    <w:p w14:paraId="2448D039" w14:textId="77777777" w:rsidR="00931543" w:rsidRPr="00931543" w:rsidRDefault="00931543" w:rsidP="00931543">
      <w:pPr>
        <w:rPr>
          <w:rFonts w:ascii="Arial" w:eastAsia="Calibri" w:hAnsi="Arial" w:cs="Arial"/>
          <w:sz w:val="24"/>
          <w:szCs w:val="24"/>
        </w:rPr>
      </w:pPr>
      <w:r w:rsidRPr="00931543">
        <w:rPr>
          <w:rFonts w:ascii="Arial" w:eastAsia="Calibri" w:hAnsi="Arial" w:cs="Arial"/>
          <w:sz w:val="24"/>
          <w:szCs w:val="24"/>
        </w:rPr>
        <w:t>-</w:t>
      </w:r>
      <w:r w:rsidRPr="00931543">
        <w:rPr>
          <w:rFonts w:ascii="Arial" w:eastAsia="Calibri" w:hAnsi="Arial" w:cs="Arial"/>
          <w:sz w:val="24"/>
          <w:szCs w:val="24"/>
        </w:rPr>
        <w:tab/>
        <w:t>prenesenog manjka odnosno viška proračuna</w:t>
      </w:r>
    </w:p>
    <w:p w14:paraId="48D7CF10" w14:textId="13A88A38" w:rsidR="00A257B1" w:rsidRDefault="00931543" w:rsidP="00931543">
      <w:pPr>
        <w:rPr>
          <w:rFonts w:ascii="Arial" w:eastAsia="Calibri" w:hAnsi="Arial" w:cs="Arial"/>
          <w:sz w:val="24"/>
          <w:szCs w:val="24"/>
        </w:rPr>
      </w:pPr>
      <w:r w:rsidRPr="00931543">
        <w:rPr>
          <w:rFonts w:ascii="Arial" w:eastAsia="Calibri" w:hAnsi="Arial" w:cs="Arial"/>
          <w:sz w:val="24"/>
          <w:szCs w:val="24"/>
        </w:rPr>
        <w:t>Obrazloženje posebnog dijela proračuna temelji se na obrazloženjima financijskih planova proračunskih korisnika, a sastoji se od obrazloženja programa koje se daje kroz obrazloženje aktivnosti i projekata iz plana razvoja Općine.</w:t>
      </w:r>
    </w:p>
    <w:p w14:paraId="43CB4FB3" w14:textId="69BD5932" w:rsidR="00931543" w:rsidRDefault="00931543" w:rsidP="00931543">
      <w:pPr>
        <w:rPr>
          <w:rFonts w:ascii="Arial" w:eastAsia="Calibri" w:hAnsi="Arial" w:cs="Arial"/>
          <w:sz w:val="24"/>
          <w:szCs w:val="24"/>
        </w:rPr>
      </w:pPr>
    </w:p>
    <w:p w14:paraId="2013C4D5" w14:textId="77777777" w:rsidR="00931543" w:rsidRPr="00A257B1" w:rsidRDefault="00931543" w:rsidP="00931543">
      <w:pPr>
        <w:rPr>
          <w:rFonts w:ascii="Arial" w:eastAsia="Calibri" w:hAnsi="Arial" w:cs="Arial"/>
          <w:sz w:val="24"/>
          <w:szCs w:val="24"/>
        </w:rPr>
      </w:pPr>
    </w:p>
    <w:p w14:paraId="6A074881" w14:textId="34757294" w:rsidR="00A257B1" w:rsidRPr="00A257B1" w:rsidRDefault="4A9D5B6A" w:rsidP="00A257B1">
      <w:pPr>
        <w:pStyle w:val="Odlomakpopisa"/>
        <w:numPr>
          <w:ilvl w:val="0"/>
          <w:numId w:val="1"/>
        </w:numPr>
        <w:rPr>
          <w:rFonts w:ascii="Arial" w:eastAsia="Calibri" w:hAnsi="Arial" w:cs="Arial"/>
          <w:b/>
          <w:bCs/>
          <w:sz w:val="24"/>
          <w:szCs w:val="24"/>
        </w:rPr>
      </w:pPr>
      <w:r w:rsidRPr="00A257B1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OBRAZLOŽENJE OPĆEG DIJELA PRORAČUNA </w:t>
      </w:r>
    </w:p>
    <w:p w14:paraId="4131824A" w14:textId="77777777" w:rsidR="00A257B1" w:rsidRPr="00A257B1" w:rsidRDefault="4A9D5B6A" w:rsidP="00A257B1">
      <w:pPr>
        <w:rPr>
          <w:rFonts w:ascii="Arial" w:eastAsia="Calibri" w:hAnsi="Arial" w:cs="Arial"/>
          <w:sz w:val="24"/>
          <w:szCs w:val="24"/>
          <w:u w:val="single"/>
        </w:rPr>
      </w:pPr>
      <w:r w:rsidRPr="00A257B1">
        <w:rPr>
          <w:rFonts w:ascii="Arial" w:eastAsia="Calibri" w:hAnsi="Arial" w:cs="Arial"/>
          <w:sz w:val="24"/>
          <w:szCs w:val="24"/>
          <w:u w:val="single"/>
        </w:rPr>
        <w:t xml:space="preserve">OBRAZLOŽENJE PRIHODA I RASHODA, PRIMITAKA I IZDATAKA PRORAČUNA </w:t>
      </w:r>
    </w:p>
    <w:p w14:paraId="3A9055AC" w14:textId="77777777" w:rsidR="00A257B1" w:rsidRPr="00A257B1" w:rsidRDefault="4A9D5B6A" w:rsidP="00A257B1">
      <w:pPr>
        <w:rPr>
          <w:rFonts w:ascii="Arial" w:eastAsia="Calibri" w:hAnsi="Arial" w:cs="Arial"/>
          <w:b/>
          <w:bCs/>
          <w:sz w:val="24"/>
          <w:szCs w:val="24"/>
        </w:rPr>
      </w:pPr>
      <w:r w:rsidRPr="00A257B1">
        <w:rPr>
          <w:rFonts w:ascii="Arial" w:eastAsia="Calibri" w:hAnsi="Arial" w:cs="Arial"/>
          <w:b/>
          <w:bCs/>
          <w:sz w:val="24"/>
          <w:szCs w:val="24"/>
        </w:rPr>
        <w:t>PRIHODI</w:t>
      </w:r>
    </w:p>
    <w:p w14:paraId="09AE453F" w14:textId="77777777" w:rsidR="00A257B1" w:rsidRDefault="4A9D5B6A" w:rsidP="00A257B1">
      <w:pPr>
        <w:rPr>
          <w:rFonts w:ascii="Arial" w:eastAsia="Calibri" w:hAnsi="Arial" w:cs="Arial"/>
          <w:sz w:val="24"/>
          <w:szCs w:val="24"/>
          <w:u w:val="single"/>
        </w:rPr>
      </w:pPr>
      <w:r w:rsidRPr="00A257B1">
        <w:rPr>
          <w:rFonts w:ascii="Arial" w:eastAsia="Calibri" w:hAnsi="Arial" w:cs="Arial"/>
          <w:sz w:val="24"/>
          <w:szCs w:val="24"/>
          <w:u w:val="single"/>
        </w:rPr>
        <w:t>PRIHODI POSLOVANJA (6)</w:t>
      </w:r>
    </w:p>
    <w:p w14:paraId="6FE32313" w14:textId="77777777" w:rsidR="00A60634" w:rsidRDefault="4A9D5B6A" w:rsidP="00931543">
      <w:pPr>
        <w:jc w:val="both"/>
        <w:rPr>
          <w:rFonts w:ascii="Arial" w:eastAsia="Calibri" w:hAnsi="Arial" w:cs="Arial"/>
          <w:sz w:val="24"/>
          <w:szCs w:val="24"/>
        </w:rPr>
      </w:pPr>
      <w:r w:rsidRPr="00A257B1">
        <w:rPr>
          <w:rFonts w:ascii="Arial" w:eastAsia="Calibri" w:hAnsi="Arial" w:cs="Arial"/>
          <w:sz w:val="24"/>
          <w:szCs w:val="24"/>
        </w:rPr>
        <w:t xml:space="preserve">Prihodi poslovanja za 2023. godinu planirani su u iznosu </w:t>
      </w:r>
      <w:r w:rsidR="00A60634">
        <w:rPr>
          <w:rFonts w:ascii="Arial" w:eastAsia="Calibri" w:hAnsi="Arial" w:cs="Arial"/>
          <w:sz w:val="24"/>
          <w:szCs w:val="24"/>
        </w:rPr>
        <w:t>1.178.028,24</w:t>
      </w:r>
      <w:r w:rsidRPr="00A257B1">
        <w:rPr>
          <w:rFonts w:ascii="Arial" w:eastAsia="Calibri" w:hAnsi="Arial" w:cs="Arial"/>
          <w:sz w:val="24"/>
          <w:szCs w:val="24"/>
        </w:rPr>
        <w:t xml:space="preserve"> EUR, u okviru čega su najznačajnije vrste prihodi od poreza, prije svega poreza na dohodak, te pomoći iz inozemstva i od subjekata općeg proračuna. Projekcija prihoda poslovanja za 2024. godinu iznosu </w:t>
      </w:r>
      <w:r w:rsidR="00A60634">
        <w:rPr>
          <w:rFonts w:ascii="Arial" w:eastAsia="Calibri" w:hAnsi="Arial" w:cs="Arial"/>
          <w:sz w:val="24"/>
          <w:szCs w:val="24"/>
        </w:rPr>
        <w:t xml:space="preserve">1.065.981,61 </w:t>
      </w:r>
      <w:r w:rsidRPr="00A257B1">
        <w:rPr>
          <w:rFonts w:ascii="Arial" w:eastAsia="Calibri" w:hAnsi="Arial" w:cs="Arial"/>
          <w:sz w:val="24"/>
          <w:szCs w:val="24"/>
        </w:rPr>
        <w:t xml:space="preserve">EUR, dok je projekcija za 2025. godinu </w:t>
      </w:r>
      <w:r w:rsidR="00A60634">
        <w:rPr>
          <w:rFonts w:ascii="Arial" w:eastAsia="Calibri" w:hAnsi="Arial" w:cs="Arial"/>
          <w:sz w:val="24"/>
          <w:szCs w:val="24"/>
        </w:rPr>
        <w:t>910.440,52</w:t>
      </w:r>
      <w:r w:rsidRPr="00A257B1">
        <w:rPr>
          <w:rFonts w:ascii="Arial" w:eastAsia="Calibri" w:hAnsi="Arial" w:cs="Arial"/>
          <w:sz w:val="24"/>
          <w:szCs w:val="24"/>
        </w:rPr>
        <w:t xml:space="preserve"> EUR, a smanjenje u odnosu na plan za 2023. godinu odnosi se na pomoći iz inozemstva i od subjekata općeg proračuna, gdje su u 2023. godine planirani prihodi od pomoći koji su ugovoreni, odnosno izvjesni, dok za naredne dvije godine nisu uključeni, jer još nisu poznati.</w:t>
      </w:r>
    </w:p>
    <w:p w14:paraId="61F5E5CA" w14:textId="77777777" w:rsidR="00A60634" w:rsidRDefault="4A9D5B6A" w:rsidP="00A257B1">
      <w:pPr>
        <w:rPr>
          <w:rFonts w:ascii="Arial" w:eastAsia="Calibri" w:hAnsi="Arial" w:cs="Arial"/>
          <w:sz w:val="24"/>
          <w:szCs w:val="24"/>
        </w:rPr>
      </w:pPr>
      <w:r w:rsidRPr="00A60634">
        <w:rPr>
          <w:rFonts w:ascii="Arial" w:eastAsia="Calibri" w:hAnsi="Arial" w:cs="Arial"/>
          <w:sz w:val="24"/>
          <w:szCs w:val="24"/>
          <w:u w:val="single"/>
        </w:rPr>
        <w:t>Prihodi od poreza (61)</w:t>
      </w:r>
      <w:r w:rsidRPr="00A257B1">
        <w:rPr>
          <w:rFonts w:ascii="Arial" w:eastAsia="Calibri" w:hAnsi="Arial" w:cs="Arial"/>
          <w:sz w:val="24"/>
          <w:szCs w:val="24"/>
        </w:rPr>
        <w:t xml:space="preserve"> </w:t>
      </w:r>
    </w:p>
    <w:p w14:paraId="54E47CF3" w14:textId="77777777" w:rsidR="00424CCD" w:rsidRDefault="4A9D5B6A" w:rsidP="00931543">
      <w:pPr>
        <w:jc w:val="both"/>
        <w:rPr>
          <w:rFonts w:ascii="Arial" w:eastAsia="Calibri" w:hAnsi="Arial" w:cs="Arial"/>
          <w:sz w:val="24"/>
          <w:szCs w:val="24"/>
        </w:rPr>
      </w:pPr>
      <w:r w:rsidRPr="00A257B1">
        <w:rPr>
          <w:rFonts w:ascii="Arial" w:eastAsia="Calibri" w:hAnsi="Arial" w:cs="Arial"/>
          <w:sz w:val="24"/>
          <w:szCs w:val="24"/>
        </w:rPr>
        <w:t xml:space="preserve">Prihodi od poreza planirani su za 2023. godinu u ukupnom iznosu </w:t>
      </w:r>
      <w:r w:rsidR="00A60634">
        <w:rPr>
          <w:rFonts w:ascii="Arial" w:eastAsia="Calibri" w:hAnsi="Arial" w:cs="Arial"/>
          <w:sz w:val="24"/>
          <w:szCs w:val="24"/>
        </w:rPr>
        <w:t>253.838,24</w:t>
      </w:r>
      <w:r w:rsidR="00BC5545">
        <w:rPr>
          <w:rFonts w:ascii="Arial" w:eastAsia="Calibri" w:hAnsi="Arial" w:cs="Arial"/>
          <w:sz w:val="24"/>
          <w:szCs w:val="24"/>
        </w:rPr>
        <w:t xml:space="preserve"> </w:t>
      </w:r>
      <w:r w:rsidRPr="00A257B1">
        <w:rPr>
          <w:rFonts w:ascii="Arial" w:eastAsia="Calibri" w:hAnsi="Arial" w:cs="Arial"/>
          <w:sz w:val="24"/>
          <w:szCs w:val="24"/>
        </w:rPr>
        <w:t xml:space="preserve">EUR, od čega se najveći dio odnosi na prihode od poreza i prireza na dohodak (611), </w:t>
      </w:r>
      <w:r w:rsidR="00BC5545">
        <w:rPr>
          <w:rFonts w:ascii="Arial" w:eastAsia="Calibri" w:hAnsi="Arial" w:cs="Arial"/>
          <w:sz w:val="24"/>
          <w:szCs w:val="24"/>
        </w:rPr>
        <w:t>p</w:t>
      </w:r>
      <w:r w:rsidRPr="00A257B1">
        <w:rPr>
          <w:rFonts w:ascii="Arial" w:eastAsia="Calibri" w:hAnsi="Arial" w:cs="Arial"/>
          <w:sz w:val="24"/>
          <w:szCs w:val="24"/>
        </w:rPr>
        <w:t>orez</w:t>
      </w:r>
      <w:r w:rsidR="00BC5545">
        <w:rPr>
          <w:rFonts w:ascii="Arial" w:eastAsia="Calibri" w:hAnsi="Arial" w:cs="Arial"/>
          <w:sz w:val="24"/>
          <w:szCs w:val="24"/>
        </w:rPr>
        <w:t>a</w:t>
      </w:r>
      <w:r w:rsidRPr="00A257B1">
        <w:rPr>
          <w:rFonts w:ascii="Arial" w:eastAsia="Calibri" w:hAnsi="Arial" w:cs="Arial"/>
          <w:sz w:val="24"/>
          <w:szCs w:val="24"/>
        </w:rPr>
        <w:t xml:space="preserve"> na imovinu (613), od čega je najznačajniji prihod porez na promet nekretnina, a osim njega, ova podskupina uključuje još i porez na kuće za odmor te porez na korištenje javnih površina</w:t>
      </w:r>
      <w:r w:rsidR="00424CCD">
        <w:rPr>
          <w:rFonts w:ascii="Arial" w:eastAsia="Calibri" w:hAnsi="Arial" w:cs="Arial"/>
          <w:sz w:val="24"/>
          <w:szCs w:val="24"/>
        </w:rPr>
        <w:t xml:space="preserve">. </w:t>
      </w:r>
      <w:r w:rsidRPr="00A257B1">
        <w:rPr>
          <w:rFonts w:ascii="Arial" w:eastAsia="Calibri" w:hAnsi="Arial" w:cs="Arial"/>
          <w:sz w:val="24"/>
          <w:szCs w:val="24"/>
        </w:rPr>
        <w:t xml:space="preserve">Porezi na robu i usluge (614)  obuhvaćaju porez na potrošnju alkoholnih i bezalkoholnih pića. </w:t>
      </w:r>
    </w:p>
    <w:p w14:paraId="2722DF05" w14:textId="77777777" w:rsidR="00424CCD" w:rsidRDefault="4A9D5B6A" w:rsidP="00A257B1">
      <w:pPr>
        <w:rPr>
          <w:rFonts w:ascii="Arial" w:eastAsia="Calibri" w:hAnsi="Arial" w:cs="Arial"/>
          <w:sz w:val="24"/>
          <w:szCs w:val="24"/>
        </w:rPr>
      </w:pPr>
      <w:r w:rsidRPr="00424CCD">
        <w:rPr>
          <w:rFonts w:ascii="Arial" w:eastAsia="Calibri" w:hAnsi="Arial" w:cs="Arial"/>
          <w:sz w:val="24"/>
          <w:szCs w:val="24"/>
          <w:u w:val="single"/>
        </w:rPr>
        <w:t>Pomoći iz inozemstva i od subjekata unutar općeg proračuna (63)</w:t>
      </w:r>
      <w:r w:rsidRPr="00A257B1">
        <w:rPr>
          <w:rFonts w:ascii="Arial" w:eastAsia="Calibri" w:hAnsi="Arial" w:cs="Arial"/>
          <w:sz w:val="24"/>
          <w:szCs w:val="24"/>
        </w:rPr>
        <w:t xml:space="preserve"> </w:t>
      </w:r>
    </w:p>
    <w:p w14:paraId="25D80C3F" w14:textId="77777777" w:rsidR="00F14419" w:rsidRDefault="4A9D5B6A" w:rsidP="00931543">
      <w:pPr>
        <w:jc w:val="both"/>
        <w:rPr>
          <w:rFonts w:ascii="Arial" w:eastAsia="Calibri" w:hAnsi="Arial" w:cs="Arial"/>
          <w:sz w:val="24"/>
          <w:szCs w:val="24"/>
        </w:rPr>
      </w:pPr>
      <w:r w:rsidRPr="00A257B1">
        <w:rPr>
          <w:rFonts w:ascii="Arial" w:eastAsia="Calibri" w:hAnsi="Arial" w:cs="Arial"/>
          <w:sz w:val="24"/>
          <w:szCs w:val="24"/>
        </w:rPr>
        <w:t xml:space="preserve">Pomoći iz inozemstva i od subjekata unutar općeg proračuna planirane su za 2023. godinu u ukupnom iznosu </w:t>
      </w:r>
      <w:r w:rsidR="00424CCD">
        <w:rPr>
          <w:rFonts w:ascii="Arial" w:eastAsia="Calibri" w:hAnsi="Arial" w:cs="Arial"/>
          <w:sz w:val="24"/>
          <w:szCs w:val="24"/>
        </w:rPr>
        <w:t>834.550,00</w:t>
      </w:r>
      <w:r w:rsidRPr="00A257B1">
        <w:rPr>
          <w:rFonts w:ascii="Arial" w:eastAsia="Calibri" w:hAnsi="Arial" w:cs="Arial"/>
          <w:sz w:val="24"/>
          <w:szCs w:val="24"/>
        </w:rPr>
        <w:t xml:space="preserve"> EUR. </w:t>
      </w:r>
    </w:p>
    <w:p w14:paraId="695CA60A" w14:textId="77777777" w:rsidR="00F14419" w:rsidRDefault="4A9D5B6A" w:rsidP="00A257B1">
      <w:pPr>
        <w:rPr>
          <w:rFonts w:ascii="Arial" w:eastAsia="Calibri" w:hAnsi="Arial" w:cs="Arial"/>
          <w:sz w:val="24"/>
          <w:szCs w:val="24"/>
        </w:rPr>
      </w:pPr>
      <w:r w:rsidRPr="00F14419">
        <w:rPr>
          <w:rFonts w:ascii="Arial" w:eastAsia="Calibri" w:hAnsi="Arial" w:cs="Arial"/>
          <w:sz w:val="24"/>
          <w:szCs w:val="24"/>
          <w:u w:val="single"/>
        </w:rPr>
        <w:t>Prihodi od imovine (64)</w:t>
      </w:r>
      <w:r w:rsidRPr="00A257B1">
        <w:rPr>
          <w:rFonts w:ascii="Arial" w:eastAsia="Calibri" w:hAnsi="Arial" w:cs="Arial"/>
          <w:sz w:val="24"/>
          <w:szCs w:val="24"/>
        </w:rPr>
        <w:t xml:space="preserve"> </w:t>
      </w:r>
    </w:p>
    <w:p w14:paraId="46F8FB76" w14:textId="77777777" w:rsidR="000F522D" w:rsidRDefault="4A9D5B6A" w:rsidP="00931543">
      <w:pPr>
        <w:jc w:val="both"/>
        <w:rPr>
          <w:rFonts w:ascii="Arial" w:eastAsia="Calibri" w:hAnsi="Arial" w:cs="Arial"/>
          <w:sz w:val="24"/>
          <w:szCs w:val="24"/>
        </w:rPr>
      </w:pPr>
      <w:r w:rsidRPr="00A257B1">
        <w:rPr>
          <w:rFonts w:ascii="Arial" w:eastAsia="Calibri" w:hAnsi="Arial" w:cs="Arial"/>
          <w:sz w:val="24"/>
          <w:szCs w:val="24"/>
        </w:rPr>
        <w:t>P</w:t>
      </w:r>
      <w:r w:rsidR="00BB7AE6">
        <w:rPr>
          <w:rFonts w:ascii="Arial" w:eastAsia="Calibri" w:hAnsi="Arial" w:cs="Arial"/>
          <w:sz w:val="24"/>
          <w:szCs w:val="24"/>
        </w:rPr>
        <w:t>lanirani su p</w:t>
      </w:r>
      <w:r w:rsidRPr="00A257B1">
        <w:rPr>
          <w:rFonts w:ascii="Arial" w:eastAsia="Calibri" w:hAnsi="Arial" w:cs="Arial"/>
          <w:sz w:val="24"/>
          <w:szCs w:val="24"/>
        </w:rPr>
        <w:t>rihodi od financijske imovine (641)</w:t>
      </w:r>
      <w:r w:rsidR="00BB7AE6">
        <w:rPr>
          <w:rFonts w:ascii="Arial" w:eastAsia="Calibri" w:hAnsi="Arial" w:cs="Arial"/>
          <w:sz w:val="24"/>
          <w:szCs w:val="24"/>
        </w:rPr>
        <w:t>,</w:t>
      </w:r>
      <w:r w:rsidRPr="00A257B1">
        <w:rPr>
          <w:rFonts w:ascii="Arial" w:eastAsia="Calibri" w:hAnsi="Arial" w:cs="Arial"/>
          <w:sz w:val="24"/>
          <w:szCs w:val="24"/>
        </w:rPr>
        <w:t xml:space="preserve"> a obuhvaćaju prihode od kamata na depozite po viđenju, zateznih kamata te dividendi</w:t>
      </w:r>
      <w:r w:rsidR="00BB7AE6">
        <w:rPr>
          <w:rFonts w:ascii="Arial" w:eastAsia="Calibri" w:hAnsi="Arial" w:cs="Arial"/>
          <w:sz w:val="24"/>
          <w:szCs w:val="24"/>
        </w:rPr>
        <w:t>, te p</w:t>
      </w:r>
      <w:r w:rsidRPr="00A257B1">
        <w:rPr>
          <w:rFonts w:ascii="Arial" w:eastAsia="Calibri" w:hAnsi="Arial" w:cs="Arial"/>
          <w:sz w:val="24"/>
          <w:szCs w:val="24"/>
        </w:rPr>
        <w:t>rihod</w:t>
      </w:r>
      <w:r w:rsidR="00BB7AE6">
        <w:rPr>
          <w:rFonts w:ascii="Arial" w:eastAsia="Calibri" w:hAnsi="Arial" w:cs="Arial"/>
          <w:sz w:val="24"/>
          <w:szCs w:val="24"/>
        </w:rPr>
        <w:t>i</w:t>
      </w:r>
      <w:r w:rsidRPr="00A257B1">
        <w:rPr>
          <w:rFonts w:ascii="Arial" w:eastAsia="Calibri" w:hAnsi="Arial" w:cs="Arial"/>
          <w:sz w:val="24"/>
          <w:szCs w:val="24"/>
        </w:rPr>
        <w:t xml:space="preserve"> od nefinancijske imovine (642), a obuhvaća</w:t>
      </w:r>
      <w:r w:rsidR="00BB7AE6">
        <w:rPr>
          <w:rFonts w:ascii="Arial" w:eastAsia="Calibri" w:hAnsi="Arial" w:cs="Arial"/>
          <w:sz w:val="24"/>
          <w:szCs w:val="24"/>
        </w:rPr>
        <w:t>ju</w:t>
      </w:r>
      <w:r w:rsidRPr="00A257B1">
        <w:rPr>
          <w:rFonts w:ascii="Arial" w:eastAsia="Calibri" w:hAnsi="Arial" w:cs="Arial"/>
          <w:sz w:val="24"/>
          <w:szCs w:val="24"/>
        </w:rPr>
        <w:t xml:space="preserve"> prihode od zakupa poljoprivrednog zemljišta, zakupa poslovnih prostora. </w:t>
      </w:r>
    </w:p>
    <w:p w14:paraId="4F3555AA" w14:textId="77777777" w:rsidR="000F522D" w:rsidRDefault="4A9D5B6A" w:rsidP="00A257B1">
      <w:pPr>
        <w:rPr>
          <w:rFonts w:ascii="Arial" w:eastAsia="Calibri" w:hAnsi="Arial" w:cs="Arial"/>
          <w:sz w:val="24"/>
          <w:szCs w:val="24"/>
        </w:rPr>
      </w:pPr>
      <w:r w:rsidRPr="000F522D">
        <w:rPr>
          <w:rFonts w:ascii="Arial" w:eastAsia="Calibri" w:hAnsi="Arial" w:cs="Arial"/>
          <w:sz w:val="24"/>
          <w:szCs w:val="24"/>
          <w:u w:val="single"/>
        </w:rPr>
        <w:t>Prihodi od upravnih i administrativnih pristojbi, pristojbi po posebnim propisima i naknada (65)</w:t>
      </w:r>
      <w:r w:rsidRPr="00A257B1">
        <w:rPr>
          <w:rFonts w:ascii="Arial" w:eastAsia="Calibri" w:hAnsi="Arial" w:cs="Arial"/>
          <w:sz w:val="24"/>
          <w:szCs w:val="24"/>
        </w:rPr>
        <w:t xml:space="preserve"> </w:t>
      </w:r>
    </w:p>
    <w:p w14:paraId="12ABE3CC" w14:textId="77777777" w:rsidR="00D206DC" w:rsidRDefault="4A9D5B6A" w:rsidP="00931543">
      <w:pPr>
        <w:jc w:val="both"/>
        <w:rPr>
          <w:rFonts w:ascii="Arial" w:eastAsia="Calibri" w:hAnsi="Arial" w:cs="Arial"/>
          <w:sz w:val="24"/>
          <w:szCs w:val="24"/>
        </w:rPr>
      </w:pPr>
      <w:r w:rsidRPr="00A257B1">
        <w:rPr>
          <w:rFonts w:ascii="Arial" w:eastAsia="Calibri" w:hAnsi="Arial" w:cs="Arial"/>
          <w:sz w:val="24"/>
          <w:szCs w:val="24"/>
        </w:rPr>
        <w:t xml:space="preserve">Prihodi od upravnih i administrativnih pristojbi, pristojbi po posebnim propisima i naknada planirani su u ukupnom iznosu </w:t>
      </w:r>
      <w:r w:rsidR="000F522D">
        <w:rPr>
          <w:rFonts w:ascii="Arial" w:eastAsia="Calibri" w:hAnsi="Arial" w:cs="Arial"/>
          <w:sz w:val="24"/>
          <w:szCs w:val="24"/>
        </w:rPr>
        <w:t xml:space="preserve">44.640,00 </w:t>
      </w:r>
      <w:r w:rsidRPr="00A257B1">
        <w:rPr>
          <w:rFonts w:ascii="Arial" w:eastAsia="Calibri" w:hAnsi="Arial" w:cs="Arial"/>
          <w:sz w:val="24"/>
          <w:szCs w:val="24"/>
        </w:rPr>
        <w:t>EUR</w:t>
      </w:r>
      <w:r w:rsidR="000F522D">
        <w:rPr>
          <w:rFonts w:ascii="Arial" w:eastAsia="Calibri" w:hAnsi="Arial" w:cs="Arial"/>
          <w:sz w:val="24"/>
          <w:szCs w:val="24"/>
        </w:rPr>
        <w:t>, a obuhvaćaju u</w:t>
      </w:r>
      <w:r w:rsidRPr="00A257B1">
        <w:rPr>
          <w:rFonts w:ascii="Arial" w:eastAsia="Calibri" w:hAnsi="Arial" w:cs="Arial"/>
          <w:sz w:val="24"/>
          <w:szCs w:val="24"/>
        </w:rPr>
        <w:t xml:space="preserve">pravne i administrativne pristojbe (651)  </w:t>
      </w:r>
      <w:r w:rsidR="000F522D">
        <w:rPr>
          <w:rFonts w:ascii="Arial" w:eastAsia="Calibri" w:hAnsi="Arial" w:cs="Arial"/>
          <w:sz w:val="24"/>
          <w:szCs w:val="24"/>
        </w:rPr>
        <w:t xml:space="preserve">i </w:t>
      </w:r>
      <w:r w:rsidRPr="00A257B1">
        <w:rPr>
          <w:rFonts w:ascii="Arial" w:eastAsia="Calibri" w:hAnsi="Arial" w:cs="Arial"/>
          <w:sz w:val="24"/>
          <w:szCs w:val="24"/>
        </w:rPr>
        <w:t>prihod</w:t>
      </w:r>
      <w:r w:rsidR="000F522D">
        <w:rPr>
          <w:rFonts w:ascii="Arial" w:eastAsia="Calibri" w:hAnsi="Arial" w:cs="Arial"/>
          <w:sz w:val="24"/>
          <w:szCs w:val="24"/>
        </w:rPr>
        <w:t>e</w:t>
      </w:r>
      <w:r w:rsidRPr="00A257B1">
        <w:rPr>
          <w:rFonts w:ascii="Arial" w:eastAsia="Calibri" w:hAnsi="Arial" w:cs="Arial"/>
          <w:sz w:val="24"/>
          <w:szCs w:val="24"/>
        </w:rPr>
        <w:t xml:space="preserve"> po posebnim propisima (652)</w:t>
      </w:r>
      <w:r w:rsidR="000F522D">
        <w:rPr>
          <w:rFonts w:ascii="Arial" w:eastAsia="Calibri" w:hAnsi="Arial" w:cs="Arial"/>
          <w:sz w:val="24"/>
          <w:szCs w:val="24"/>
        </w:rPr>
        <w:t>.</w:t>
      </w:r>
      <w:r w:rsidRPr="00A257B1">
        <w:rPr>
          <w:rFonts w:ascii="Arial" w:eastAsia="Calibri" w:hAnsi="Arial" w:cs="Arial"/>
          <w:sz w:val="24"/>
          <w:szCs w:val="24"/>
        </w:rPr>
        <w:t xml:space="preserve"> </w:t>
      </w:r>
    </w:p>
    <w:p w14:paraId="33496D70" w14:textId="77777777" w:rsidR="00D206DC" w:rsidRDefault="00D206DC" w:rsidP="00A257B1">
      <w:pPr>
        <w:rPr>
          <w:rFonts w:ascii="Arial" w:eastAsia="Calibri" w:hAnsi="Arial" w:cs="Arial"/>
          <w:sz w:val="24"/>
          <w:szCs w:val="24"/>
        </w:rPr>
      </w:pPr>
      <w:r w:rsidRPr="00D206DC">
        <w:rPr>
          <w:rFonts w:ascii="Arial" w:eastAsia="Calibri" w:hAnsi="Arial" w:cs="Arial"/>
          <w:sz w:val="24"/>
          <w:szCs w:val="24"/>
          <w:u w:val="single"/>
        </w:rPr>
        <w:t>Prihodi Dječjeg vrtića Mali medo</w:t>
      </w:r>
      <w:r>
        <w:rPr>
          <w:rFonts w:ascii="Arial" w:eastAsia="Calibri" w:hAnsi="Arial" w:cs="Arial"/>
          <w:sz w:val="24"/>
          <w:szCs w:val="24"/>
        </w:rPr>
        <w:t xml:space="preserve"> planirani su u iznosu 60.191,76 EUR.</w:t>
      </w:r>
    </w:p>
    <w:p w14:paraId="28E25247" w14:textId="77777777" w:rsidR="00D206DC" w:rsidRPr="00D206DC" w:rsidRDefault="4A9D5B6A" w:rsidP="00A257B1">
      <w:pPr>
        <w:rPr>
          <w:rFonts w:ascii="Arial" w:eastAsia="Calibri" w:hAnsi="Arial" w:cs="Arial"/>
          <w:b/>
          <w:bCs/>
          <w:sz w:val="24"/>
          <w:szCs w:val="24"/>
        </w:rPr>
      </w:pPr>
      <w:r w:rsidRPr="00D206DC">
        <w:rPr>
          <w:rFonts w:ascii="Arial" w:eastAsia="Calibri" w:hAnsi="Arial" w:cs="Arial"/>
          <w:b/>
          <w:bCs/>
          <w:sz w:val="24"/>
          <w:szCs w:val="24"/>
        </w:rPr>
        <w:t xml:space="preserve">RASHODI </w:t>
      </w:r>
    </w:p>
    <w:p w14:paraId="488FBC0A" w14:textId="77777777" w:rsidR="00D206DC" w:rsidRDefault="4A9D5B6A" w:rsidP="00A257B1">
      <w:pPr>
        <w:rPr>
          <w:rFonts w:ascii="Arial" w:eastAsia="Calibri" w:hAnsi="Arial" w:cs="Arial"/>
          <w:sz w:val="24"/>
          <w:szCs w:val="24"/>
        </w:rPr>
      </w:pPr>
      <w:r w:rsidRPr="00D206DC">
        <w:rPr>
          <w:rFonts w:ascii="Arial" w:eastAsia="Calibri" w:hAnsi="Arial" w:cs="Arial"/>
          <w:sz w:val="24"/>
          <w:szCs w:val="24"/>
          <w:u w:val="single"/>
        </w:rPr>
        <w:t>RASHODI POSLOVANJA (3)</w:t>
      </w:r>
      <w:r w:rsidRPr="00A257B1">
        <w:rPr>
          <w:rFonts w:ascii="Arial" w:eastAsia="Calibri" w:hAnsi="Arial" w:cs="Arial"/>
          <w:sz w:val="24"/>
          <w:szCs w:val="24"/>
        </w:rPr>
        <w:t xml:space="preserve"> </w:t>
      </w:r>
    </w:p>
    <w:p w14:paraId="6BE45665" w14:textId="77777777" w:rsidR="00FC17DA" w:rsidRDefault="4A9D5B6A" w:rsidP="00931543">
      <w:pPr>
        <w:jc w:val="both"/>
        <w:rPr>
          <w:rFonts w:ascii="Arial" w:eastAsia="Calibri" w:hAnsi="Arial" w:cs="Arial"/>
          <w:sz w:val="24"/>
          <w:szCs w:val="24"/>
        </w:rPr>
      </w:pPr>
      <w:r w:rsidRPr="00A257B1">
        <w:rPr>
          <w:rFonts w:ascii="Arial" w:eastAsia="Calibri" w:hAnsi="Arial" w:cs="Arial"/>
          <w:sz w:val="24"/>
          <w:szCs w:val="24"/>
        </w:rPr>
        <w:t xml:space="preserve">Rashodi poslovanja planirani su za 2023. godinu u iznosu </w:t>
      </w:r>
      <w:r w:rsidR="00FC17DA">
        <w:rPr>
          <w:rFonts w:ascii="Arial" w:eastAsia="Calibri" w:hAnsi="Arial" w:cs="Arial"/>
          <w:sz w:val="24"/>
          <w:szCs w:val="24"/>
        </w:rPr>
        <w:t>715.4</w:t>
      </w:r>
      <w:r w:rsidR="007B1CA3">
        <w:rPr>
          <w:rFonts w:ascii="Arial" w:eastAsia="Calibri" w:hAnsi="Arial" w:cs="Arial"/>
          <w:sz w:val="24"/>
          <w:szCs w:val="24"/>
        </w:rPr>
        <w:t>20,00</w:t>
      </w:r>
      <w:r w:rsidRPr="00A257B1">
        <w:rPr>
          <w:rFonts w:ascii="Arial" w:eastAsia="Calibri" w:hAnsi="Arial" w:cs="Arial"/>
          <w:sz w:val="24"/>
          <w:szCs w:val="24"/>
        </w:rPr>
        <w:t xml:space="preserve"> EUR, u okviru čega su rashodi za zaposlene</w:t>
      </w:r>
      <w:r w:rsidR="00FC17DA">
        <w:rPr>
          <w:rFonts w:ascii="Arial" w:eastAsia="Calibri" w:hAnsi="Arial" w:cs="Arial"/>
          <w:sz w:val="24"/>
          <w:szCs w:val="24"/>
        </w:rPr>
        <w:t xml:space="preserve">, </w:t>
      </w:r>
      <w:r w:rsidRPr="00A257B1">
        <w:rPr>
          <w:rFonts w:ascii="Arial" w:eastAsia="Calibri" w:hAnsi="Arial" w:cs="Arial"/>
          <w:sz w:val="24"/>
          <w:szCs w:val="24"/>
        </w:rPr>
        <w:t>materijalni</w:t>
      </w:r>
      <w:r w:rsidR="00FC17DA">
        <w:rPr>
          <w:rFonts w:ascii="Arial" w:eastAsia="Calibri" w:hAnsi="Arial" w:cs="Arial"/>
          <w:sz w:val="24"/>
          <w:szCs w:val="24"/>
        </w:rPr>
        <w:t>, financijski i ostali</w:t>
      </w:r>
      <w:r w:rsidRPr="00A257B1">
        <w:rPr>
          <w:rFonts w:ascii="Arial" w:eastAsia="Calibri" w:hAnsi="Arial" w:cs="Arial"/>
          <w:sz w:val="24"/>
          <w:szCs w:val="24"/>
        </w:rPr>
        <w:t xml:space="preserve"> rashodi. </w:t>
      </w:r>
    </w:p>
    <w:p w14:paraId="138CB649" w14:textId="77777777" w:rsidR="00FC17DA" w:rsidRDefault="4A9D5B6A" w:rsidP="00A257B1">
      <w:pPr>
        <w:rPr>
          <w:rFonts w:ascii="Arial" w:eastAsia="Calibri" w:hAnsi="Arial" w:cs="Arial"/>
          <w:sz w:val="24"/>
          <w:szCs w:val="24"/>
        </w:rPr>
      </w:pPr>
      <w:r w:rsidRPr="00FC17DA">
        <w:rPr>
          <w:rFonts w:ascii="Arial" w:eastAsia="Calibri" w:hAnsi="Arial" w:cs="Arial"/>
          <w:sz w:val="24"/>
          <w:szCs w:val="24"/>
          <w:u w:val="single"/>
        </w:rPr>
        <w:lastRenderedPageBreak/>
        <w:t>Rashodi za zaposlene (31)</w:t>
      </w:r>
      <w:r w:rsidRPr="00A257B1">
        <w:rPr>
          <w:rFonts w:ascii="Arial" w:eastAsia="Calibri" w:hAnsi="Arial" w:cs="Arial"/>
          <w:sz w:val="24"/>
          <w:szCs w:val="24"/>
        </w:rPr>
        <w:t xml:space="preserve"> </w:t>
      </w:r>
    </w:p>
    <w:p w14:paraId="15223754" w14:textId="77777777" w:rsidR="00471FE1" w:rsidRDefault="4A9D5B6A" w:rsidP="00931543">
      <w:pPr>
        <w:jc w:val="both"/>
        <w:rPr>
          <w:rFonts w:ascii="Arial" w:eastAsia="Calibri" w:hAnsi="Arial" w:cs="Arial"/>
          <w:sz w:val="24"/>
          <w:szCs w:val="24"/>
        </w:rPr>
      </w:pPr>
      <w:r w:rsidRPr="00A257B1">
        <w:rPr>
          <w:rFonts w:ascii="Arial" w:eastAsia="Calibri" w:hAnsi="Arial" w:cs="Arial"/>
          <w:sz w:val="24"/>
          <w:szCs w:val="24"/>
        </w:rPr>
        <w:t>Rashodi za zaposlene obuhvaćaju plaće (bruto), doprinose na plaće (zdravstveno osiguranje) te ostale rashode za zaposlene</w:t>
      </w:r>
      <w:r w:rsidR="00FC17DA">
        <w:rPr>
          <w:rFonts w:ascii="Arial" w:eastAsia="Calibri" w:hAnsi="Arial" w:cs="Arial"/>
          <w:sz w:val="24"/>
          <w:szCs w:val="24"/>
        </w:rPr>
        <w:t>.</w:t>
      </w:r>
      <w:r w:rsidRPr="00A257B1">
        <w:rPr>
          <w:rFonts w:ascii="Arial" w:eastAsia="Calibri" w:hAnsi="Arial" w:cs="Arial"/>
          <w:sz w:val="24"/>
          <w:szCs w:val="24"/>
        </w:rPr>
        <w:t xml:space="preserve"> </w:t>
      </w:r>
      <w:r w:rsidR="00FC17DA">
        <w:rPr>
          <w:rFonts w:ascii="Arial" w:eastAsia="Calibri" w:hAnsi="Arial" w:cs="Arial"/>
          <w:sz w:val="24"/>
          <w:szCs w:val="24"/>
        </w:rPr>
        <w:t>O</w:t>
      </w:r>
      <w:r w:rsidRPr="00A257B1">
        <w:rPr>
          <w:rFonts w:ascii="Arial" w:eastAsia="Calibri" w:hAnsi="Arial" w:cs="Arial"/>
          <w:sz w:val="24"/>
          <w:szCs w:val="24"/>
        </w:rPr>
        <w:t>buhvać</w:t>
      </w:r>
      <w:r w:rsidR="00FC17DA">
        <w:rPr>
          <w:rFonts w:ascii="Arial" w:eastAsia="Calibri" w:hAnsi="Arial" w:cs="Arial"/>
          <w:sz w:val="24"/>
          <w:szCs w:val="24"/>
        </w:rPr>
        <w:t>eni su</w:t>
      </w:r>
      <w:r w:rsidRPr="00A257B1">
        <w:rPr>
          <w:rFonts w:ascii="Arial" w:eastAsia="Calibri" w:hAnsi="Arial" w:cs="Arial"/>
          <w:sz w:val="24"/>
          <w:szCs w:val="24"/>
        </w:rPr>
        <w:t xml:space="preserve"> rashod</w:t>
      </w:r>
      <w:r w:rsidR="00FC17DA">
        <w:rPr>
          <w:rFonts w:ascii="Arial" w:eastAsia="Calibri" w:hAnsi="Arial" w:cs="Arial"/>
          <w:sz w:val="24"/>
          <w:szCs w:val="24"/>
        </w:rPr>
        <w:t>i</w:t>
      </w:r>
      <w:r w:rsidRPr="00A257B1">
        <w:rPr>
          <w:rFonts w:ascii="Arial" w:eastAsia="Calibri" w:hAnsi="Arial" w:cs="Arial"/>
          <w:sz w:val="24"/>
          <w:szCs w:val="24"/>
        </w:rPr>
        <w:t xml:space="preserve"> za zaposlene službenike te zaposlenike proračunsk</w:t>
      </w:r>
      <w:r w:rsidR="00FC17DA">
        <w:rPr>
          <w:rFonts w:ascii="Arial" w:eastAsia="Calibri" w:hAnsi="Arial" w:cs="Arial"/>
          <w:sz w:val="24"/>
          <w:szCs w:val="24"/>
        </w:rPr>
        <w:t>og</w:t>
      </w:r>
      <w:r w:rsidRPr="00A257B1">
        <w:rPr>
          <w:rFonts w:ascii="Arial" w:eastAsia="Calibri" w:hAnsi="Arial" w:cs="Arial"/>
          <w:sz w:val="24"/>
          <w:szCs w:val="24"/>
        </w:rPr>
        <w:t xml:space="preserve"> korisnika </w:t>
      </w:r>
      <w:r w:rsidR="00FC17DA">
        <w:rPr>
          <w:rFonts w:ascii="Arial" w:eastAsia="Calibri" w:hAnsi="Arial" w:cs="Arial"/>
          <w:sz w:val="24"/>
          <w:szCs w:val="24"/>
        </w:rPr>
        <w:t>Općine Gornja Rijeka</w:t>
      </w:r>
      <w:r w:rsidR="00471FE1">
        <w:rPr>
          <w:rFonts w:ascii="Arial" w:eastAsia="Calibri" w:hAnsi="Arial" w:cs="Arial"/>
          <w:sz w:val="24"/>
          <w:szCs w:val="24"/>
        </w:rPr>
        <w:t>, Dječjeg vrtića Mali medo.</w:t>
      </w:r>
    </w:p>
    <w:p w14:paraId="1AEF5093" w14:textId="77777777" w:rsidR="00471FE1" w:rsidRDefault="4A9D5B6A" w:rsidP="00A257B1">
      <w:pPr>
        <w:rPr>
          <w:rFonts w:ascii="Arial" w:eastAsia="Calibri" w:hAnsi="Arial" w:cs="Arial"/>
          <w:sz w:val="24"/>
          <w:szCs w:val="24"/>
        </w:rPr>
      </w:pPr>
      <w:r w:rsidRPr="00471FE1">
        <w:rPr>
          <w:rFonts w:ascii="Arial" w:eastAsia="Calibri" w:hAnsi="Arial" w:cs="Arial"/>
          <w:sz w:val="24"/>
          <w:szCs w:val="24"/>
          <w:u w:val="single"/>
        </w:rPr>
        <w:t>Materijalni rashodi (32)</w:t>
      </w:r>
      <w:r w:rsidRPr="00A257B1">
        <w:rPr>
          <w:rFonts w:ascii="Arial" w:eastAsia="Calibri" w:hAnsi="Arial" w:cs="Arial"/>
          <w:sz w:val="24"/>
          <w:szCs w:val="24"/>
        </w:rPr>
        <w:t xml:space="preserve"> </w:t>
      </w:r>
    </w:p>
    <w:p w14:paraId="44CDA75E" w14:textId="77777777" w:rsidR="00471FE1" w:rsidRDefault="4A9D5B6A" w:rsidP="00931543">
      <w:pPr>
        <w:jc w:val="both"/>
        <w:rPr>
          <w:rFonts w:ascii="Arial" w:eastAsia="Calibri" w:hAnsi="Arial" w:cs="Arial"/>
          <w:sz w:val="24"/>
          <w:szCs w:val="24"/>
        </w:rPr>
      </w:pPr>
      <w:r w:rsidRPr="00A257B1">
        <w:rPr>
          <w:rFonts w:ascii="Arial" w:eastAsia="Calibri" w:hAnsi="Arial" w:cs="Arial"/>
          <w:sz w:val="24"/>
          <w:szCs w:val="24"/>
        </w:rPr>
        <w:t xml:space="preserve">Materijalni rashodi obuhvaćaju naknade troškova zaposlenima, rashode za materijal i energiju, rashode za usluge, naknade troškova osobama izvan radnog odnosa te ostale nespomenute rashode poslovanja, </w:t>
      </w:r>
      <w:r w:rsidR="00471FE1">
        <w:rPr>
          <w:rFonts w:ascii="Arial" w:eastAsia="Calibri" w:hAnsi="Arial" w:cs="Arial"/>
          <w:sz w:val="24"/>
          <w:szCs w:val="24"/>
        </w:rPr>
        <w:t xml:space="preserve">a </w:t>
      </w:r>
      <w:r w:rsidRPr="00A257B1">
        <w:rPr>
          <w:rFonts w:ascii="Arial" w:eastAsia="Calibri" w:hAnsi="Arial" w:cs="Arial"/>
          <w:sz w:val="24"/>
          <w:szCs w:val="24"/>
        </w:rPr>
        <w:t>odnos</w:t>
      </w:r>
      <w:r w:rsidR="00471FE1">
        <w:rPr>
          <w:rFonts w:ascii="Arial" w:eastAsia="Calibri" w:hAnsi="Arial" w:cs="Arial"/>
          <w:sz w:val="24"/>
          <w:szCs w:val="24"/>
        </w:rPr>
        <w:t>e se</w:t>
      </w:r>
      <w:r w:rsidRPr="00A257B1">
        <w:rPr>
          <w:rFonts w:ascii="Arial" w:eastAsia="Calibri" w:hAnsi="Arial" w:cs="Arial"/>
          <w:sz w:val="24"/>
          <w:szCs w:val="24"/>
        </w:rPr>
        <w:t xml:space="preserve"> na </w:t>
      </w:r>
      <w:r w:rsidR="00471FE1">
        <w:rPr>
          <w:rFonts w:ascii="Arial" w:eastAsia="Calibri" w:hAnsi="Arial" w:cs="Arial"/>
          <w:sz w:val="24"/>
          <w:szCs w:val="24"/>
        </w:rPr>
        <w:t>Općinu</w:t>
      </w:r>
      <w:r w:rsidRPr="00A257B1">
        <w:rPr>
          <w:rFonts w:ascii="Arial" w:eastAsia="Calibri" w:hAnsi="Arial" w:cs="Arial"/>
          <w:sz w:val="24"/>
          <w:szCs w:val="24"/>
        </w:rPr>
        <w:t xml:space="preserve"> i proračunske korisnike. </w:t>
      </w:r>
    </w:p>
    <w:p w14:paraId="684C75A8" w14:textId="77777777" w:rsidR="00471FE1" w:rsidRDefault="4A9D5B6A" w:rsidP="00A257B1">
      <w:pPr>
        <w:rPr>
          <w:rFonts w:ascii="Arial" w:eastAsia="Calibri" w:hAnsi="Arial" w:cs="Arial"/>
          <w:sz w:val="24"/>
          <w:szCs w:val="24"/>
        </w:rPr>
      </w:pPr>
      <w:r w:rsidRPr="00471FE1">
        <w:rPr>
          <w:rFonts w:ascii="Arial" w:eastAsia="Calibri" w:hAnsi="Arial" w:cs="Arial"/>
          <w:sz w:val="24"/>
          <w:szCs w:val="24"/>
          <w:u w:val="single"/>
        </w:rPr>
        <w:t>Financijski rashodi (34)</w:t>
      </w:r>
      <w:r w:rsidRPr="00A257B1">
        <w:rPr>
          <w:rFonts w:ascii="Arial" w:eastAsia="Calibri" w:hAnsi="Arial" w:cs="Arial"/>
          <w:sz w:val="24"/>
          <w:szCs w:val="24"/>
        </w:rPr>
        <w:t xml:space="preserve"> </w:t>
      </w:r>
    </w:p>
    <w:p w14:paraId="501F5F26" w14:textId="77777777" w:rsidR="00471FE1" w:rsidRDefault="4A9D5B6A" w:rsidP="00931543">
      <w:pPr>
        <w:jc w:val="both"/>
        <w:rPr>
          <w:rFonts w:ascii="Arial" w:eastAsia="Calibri" w:hAnsi="Arial" w:cs="Arial"/>
          <w:sz w:val="24"/>
          <w:szCs w:val="24"/>
        </w:rPr>
      </w:pPr>
      <w:r w:rsidRPr="00A257B1">
        <w:rPr>
          <w:rFonts w:ascii="Arial" w:eastAsia="Calibri" w:hAnsi="Arial" w:cs="Arial"/>
          <w:sz w:val="24"/>
          <w:szCs w:val="24"/>
        </w:rPr>
        <w:t xml:space="preserve">Financijski rashodi se najvećim dijelom odnosi na usluge platnog prometa, odnosno usluge vođenja žiro-računa </w:t>
      </w:r>
      <w:r w:rsidR="00471FE1">
        <w:rPr>
          <w:rFonts w:ascii="Arial" w:eastAsia="Calibri" w:hAnsi="Arial" w:cs="Arial"/>
          <w:sz w:val="24"/>
          <w:szCs w:val="24"/>
        </w:rPr>
        <w:t>Općine i proračunskih korisnika.</w:t>
      </w:r>
    </w:p>
    <w:p w14:paraId="7DE9B289" w14:textId="77777777" w:rsidR="00471FE1" w:rsidRDefault="4A9D5B6A" w:rsidP="00A257B1">
      <w:pPr>
        <w:rPr>
          <w:rFonts w:ascii="Arial" w:eastAsia="Calibri" w:hAnsi="Arial" w:cs="Arial"/>
          <w:sz w:val="24"/>
          <w:szCs w:val="24"/>
        </w:rPr>
      </w:pPr>
      <w:r w:rsidRPr="00471FE1">
        <w:rPr>
          <w:rFonts w:ascii="Arial" w:eastAsia="Calibri" w:hAnsi="Arial" w:cs="Arial"/>
          <w:sz w:val="24"/>
          <w:szCs w:val="24"/>
          <w:u w:val="single"/>
        </w:rPr>
        <w:t>Naknade građanima i kućanstvima na temelju osiguranja i druge naknade (37)</w:t>
      </w:r>
      <w:r w:rsidRPr="00A257B1">
        <w:rPr>
          <w:rFonts w:ascii="Arial" w:eastAsia="Calibri" w:hAnsi="Arial" w:cs="Arial"/>
          <w:sz w:val="24"/>
          <w:szCs w:val="24"/>
        </w:rPr>
        <w:t xml:space="preserve"> </w:t>
      </w:r>
    </w:p>
    <w:p w14:paraId="67C4E9EB" w14:textId="77777777" w:rsidR="00471FE1" w:rsidRDefault="4A9D5B6A" w:rsidP="00931543">
      <w:pPr>
        <w:jc w:val="both"/>
        <w:rPr>
          <w:rFonts w:ascii="Arial" w:eastAsia="Calibri" w:hAnsi="Arial" w:cs="Arial"/>
          <w:sz w:val="24"/>
          <w:szCs w:val="24"/>
        </w:rPr>
      </w:pPr>
      <w:r w:rsidRPr="00A257B1">
        <w:rPr>
          <w:rFonts w:ascii="Arial" w:eastAsia="Calibri" w:hAnsi="Arial" w:cs="Arial"/>
          <w:sz w:val="24"/>
          <w:szCs w:val="24"/>
        </w:rPr>
        <w:t xml:space="preserve">Naknade građanima i kućanstvima na temelju osiguranja i druge naknade obuhvaćaju sufinanciranje </w:t>
      </w:r>
      <w:r w:rsidR="00471FE1">
        <w:rPr>
          <w:rFonts w:ascii="Arial" w:eastAsia="Calibri" w:hAnsi="Arial" w:cs="Arial"/>
          <w:sz w:val="24"/>
          <w:szCs w:val="24"/>
        </w:rPr>
        <w:t xml:space="preserve">prehrane učenika, </w:t>
      </w:r>
      <w:r w:rsidRPr="00A257B1">
        <w:rPr>
          <w:rFonts w:ascii="Arial" w:eastAsia="Calibri" w:hAnsi="Arial" w:cs="Arial"/>
          <w:sz w:val="24"/>
          <w:szCs w:val="24"/>
        </w:rPr>
        <w:t xml:space="preserve">stipendiranje studenata, pomoći za podmirenje troškova stanovanja, jednokratne pomoći, potporu rodiljama i drugo. </w:t>
      </w:r>
    </w:p>
    <w:p w14:paraId="2632B4E8" w14:textId="77777777" w:rsidR="00EE6DB8" w:rsidRDefault="4A9D5B6A" w:rsidP="00A257B1">
      <w:pPr>
        <w:rPr>
          <w:rFonts w:ascii="Arial" w:eastAsia="Calibri" w:hAnsi="Arial" w:cs="Arial"/>
          <w:sz w:val="24"/>
          <w:szCs w:val="24"/>
        </w:rPr>
      </w:pPr>
      <w:r w:rsidRPr="00EE6DB8">
        <w:rPr>
          <w:rFonts w:ascii="Arial" w:eastAsia="Calibri" w:hAnsi="Arial" w:cs="Arial"/>
          <w:sz w:val="24"/>
          <w:szCs w:val="24"/>
          <w:u w:val="single"/>
        </w:rPr>
        <w:t>Ostali rashodi (38)</w:t>
      </w:r>
      <w:r w:rsidRPr="00A257B1">
        <w:rPr>
          <w:rFonts w:ascii="Arial" w:eastAsia="Calibri" w:hAnsi="Arial" w:cs="Arial"/>
          <w:sz w:val="24"/>
          <w:szCs w:val="24"/>
        </w:rPr>
        <w:t xml:space="preserve"> </w:t>
      </w:r>
    </w:p>
    <w:p w14:paraId="5C8D5759" w14:textId="77777777" w:rsidR="00EE6DB8" w:rsidRDefault="4A9D5B6A" w:rsidP="00931543">
      <w:pPr>
        <w:jc w:val="both"/>
        <w:rPr>
          <w:rFonts w:ascii="Arial" w:eastAsia="Calibri" w:hAnsi="Arial" w:cs="Arial"/>
          <w:sz w:val="24"/>
          <w:szCs w:val="24"/>
        </w:rPr>
      </w:pPr>
      <w:r w:rsidRPr="00A257B1">
        <w:rPr>
          <w:rFonts w:ascii="Arial" w:eastAsia="Calibri" w:hAnsi="Arial" w:cs="Arial"/>
          <w:sz w:val="24"/>
          <w:szCs w:val="24"/>
        </w:rPr>
        <w:t>Ostali rashodi obuhvaćaju tekuće i kapitalne donacije udrugama, građanima i kućanstvima, sportskim društvima, vjerskim zajednicama, organizacijama, izvanredne rashode  te kapitalne pomoći</w:t>
      </w:r>
      <w:r w:rsidR="00EE6DB8">
        <w:rPr>
          <w:rFonts w:ascii="Arial" w:eastAsia="Calibri" w:hAnsi="Arial" w:cs="Arial"/>
          <w:sz w:val="24"/>
          <w:szCs w:val="24"/>
        </w:rPr>
        <w:t>.</w:t>
      </w:r>
    </w:p>
    <w:p w14:paraId="7F13F3A9" w14:textId="77777777" w:rsidR="00EE6DB8" w:rsidRDefault="4A9D5B6A" w:rsidP="00A257B1">
      <w:pPr>
        <w:rPr>
          <w:rFonts w:ascii="Arial" w:eastAsia="Calibri" w:hAnsi="Arial" w:cs="Arial"/>
          <w:sz w:val="24"/>
          <w:szCs w:val="24"/>
        </w:rPr>
      </w:pPr>
      <w:r w:rsidRPr="00EE6DB8">
        <w:rPr>
          <w:rFonts w:ascii="Arial" w:eastAsia="Calibri" w:hAnsi="Arial" w:cs="Arial"/>
          <w:sz w:val="24"/>
          <w:szCs w:val="24"/>
          <w:u w:val="single"/>
        </w:rPr>
        <w:t>RASHODI ZA NABAVU NEFINANCIJSKE IMOVINE (4)</w:t>
      </w:r>
    </w:p>
    <w:p w14:paraId="59CDD91F" w14:textId="77777777" w:rsidR="00EE6DB8" w:rsidRDefault="4A9D5B6A" w:rsidP="00931543">
      <w:pPr>
        <w:jc w:val="both"/>
        <w:rPr>
          <w:rFonts w:ascii="Arial" w:eastAsia="Calibri" w:hAnsi="Arial" w:cs="Arial"/>
          <w:sz w:val="24"/>
          <w:szCs w:val="24"/>
        </w:rPr>
      </w:pPr>
      <w:r w:rsidRPr="00A257B1">
        <w:rPr>
          <w:rFonts w:ascii="Arial" w:eastAsia="Calibri" w:hAnsi="Arial" w:cs="Arial"/>
          <w:sz w:val="24"/>
          <w:szCs w:val="24"/>
        </w:rPr>
        <w:t xml:space="preserve">Rashodi za nabavu nefinancijske imovine obuhvaćaju rashode za nabavu proizvedene dugotrajne imovine  a za 2023. godinu planirani su u iznosu </w:t>
      </w:r>
      <w:r w:rsidR="00EE6DB8">
        <w:rPr>
          <w:rFonts w:ascii="Arial" w:eastAsia="Calibri" w:hAnsi="Arial" w:cs="Arial"/>
          <w:sz w:val="24"/>
          <w:szCs w:val="24"/>
        </w:rPr>
        <w:t>516.800,00</w:t>
      </w:r>
      <w:r w:rsidRPr="00A257B1">
        <w:rPr>
          <w:rFonts w:ascii="Arial" w:eastAsia="Calibri" w:hAnsi="Arial" w:cs="Arial"/>
          <w:sz w:val="24"/>
          <w:szCs w:val="24"/>
        </w:rPr>
        <w:t xml:space="preserve"> EUR. </w:t>
      </w:r>
    </w:p>
    <w:p w14:paraId="2763C6FE" w14:textId="77777777" w:rsidR="008E6CC3" w:rsidRDefault="4A9D5B6A" w:rsidP="00A257B1">
      <w:pPr>
        <w:rPr>
          <w:rFonts w:ascii="Arial" w:eastAsia="Calibri" w:hAnsi="Arial" w:cs="Arial"/>
          <w:sz w:val="24"/>
          <w:szCs w:val="24"/>
        </w:rPr>
      </w:pPr>
      <w:r w:rsidRPr="00EE6DB8">
        <w:rPr>
          <w:rFonts w:ascii="Arial" w:eastAsia="Calibri" w:hAnsi="Arial" w:cs="Arial"/>
          <w:sz w:val="24"/>
          <w:szCs w:val="24"/>
          <w:u w:val="single"/>
        </w:rPr>
        <w:t>Rashodi za nabavu proizvedene dugotrajne imovine (42)</w:t>
      </w:r>
      <w:r w:rsidRPr="00A257B1">
        <w:rPr>
          <w:rFonts w:ascii="Arial" w:eastAsia="Calibri" w:hAnsi="Arial" w:cs="Arial"/>
          <w:sz w:val="24"/>
          <w:szCs w:val="24"/>
        </w:rPr>
        <w:t xml:space="preserve"> </w:t>
      </w:r>
    </w:p>
    <w:p w14:paraId="1C464F8B" w14:textId="77777777" w:rsidR="008E6CC3" w:rsidRDefault="4A9D5B6A" w:rsidP="00931543">
      <w:pPr>
        <w:jc w:val="both"/>
        <w:rPr>
          <w:rFonts w:ascii="Arial" w:eastAsia="Calibri" w:hAnsi="Arial" w:cs="Arial"/>
          <w:sz w:val="24"/>
          <w:szCs w:val="24"/>
        </w:rPr>
      </w:pPr>
      <w:r w:rsidRPr="00A257B1">
        <w:rPr>
          <w:rFonts w:ascii="Arial" w:eastAsia="Calibri" w:hAnsi="Arial" w:cs="Arial"/>
          <w:sz w:val="24"/>
          <w:szCs w:val="24"/>
        </w:rPr>
        <w:t>Rashodi za nabavu proizvedene dugotrajne imovine obuhvaćaju rashode za nabavu građevinskih objekata (izgradnja cesta, javne rasvjete), postrojenja i opreme</w:t>
      </w:r>
      <w:r w:rsidR="008E6CC3">
        <w:rPr>
          <w:rFonts w:ascii="Arial" w:eastAsia="Calibri" w:hAnsi="Arial" w:cs="Arial"/>
          <w:sz w:val="24"/>
          <w:szCs w:val="24"/>
        </w:rPr>
        <w:t xml:space="preserve"> te</w:t>
      </w:r>
      <w:r w:rsidRPr="00A257B1">
        <w:rPr>
          <w:rFonts w:ascii="Arial" w:eastAsia="Calibri" w:hAnsi="Arial" w:cs="Arial"/>
          <w:sz w:val="24"/>
          <w:szCs w:val="24"/>
        </w:rPr>
        <w:t xml:space="preserve"> nematerijalne proizvedene imovine (projektna dokumentacija i drugo). </w:t>
      </w:r>
    </w:p>
    <w:p w14:paraId="0BF93042" w14:textId="77777777" w:rsidR="004453E7" w:rsidRDefault="4A9D5B6A" w:rsidP="00A257B1">
      <w:pPr>
        <w:rPr>
          <w:rFonts w:ascii="Arial" w:eastAsia="Calibri" w:hAnsi="Arial" w:cs="Arial"/>
          <w:sz w:val="24"/>
          <w:szCs w:val="24"/>
        </w:rPr>
      </w:pPr>
      <w:r w:rsidRPr="00A257B1">
        <w:rPr>
          <w:rFonts w:ascii="Arial" w:eastAsia="Calibri" w:hAnsi="Arial" w:cs="Arial"/>
          <w:sz w:val="24"/>
          <w:szCs w:val="24"/>
        </w:rPr>
        <w:t xml:space="preserve">PRIMICI </w:t>
      </w:r>
      <w:r w:rsidR="004453E7">
        <w:rPr>
          <w:rFonts w:ascii="Arial" w:eastAsia="Calibri" w:hAnsi="Arial" w:cs="Arial"/>
          <w:sz w:val="24"/>
          <w:szCs w:val="24"/>
        </w:rPr>
        <w:t xml:space="preserve">I IZDACI </w:t>
      </w:r>
    </w:p>
    <w:p w14:paraId="1C320156" w14:textId="7AF5C2D7" w:rsidR="004453E7" w:rsidRDefault="004453E7" w:rsidP="00931543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Općina ne planira zaduživanje u narednom razdoblju pa nisu planirani kako primici tako ni izdaci.</w:t>
      </w:r>
    </w:p>
    <w:p w14:paraId="4140BA1A" w14:textId="6B3044FE" w:rsidR="00931543" w:rsidRDefault="00931543" w:rsidP="00931543">
      <w:pPr>
        <w:jc w:val="both"/>
        <w:rPr>
          <w:rFonts w:ascii="Arial" w:eastAsia="Calibri" w:hAnsi="Arial" w:cs="Arial"/>
          <w:sz w:val="24"/>
          <w:szCs w:val="24"/>
        </w:rPr>
      </w:pPr>
    </w:p>
    <w:p w14:paraId="35D3C467" w14:textId="18226E46" w:rsidR="00931543" w:rsidRDefault="00931543" w:rsidP="00931543">
      <w:pPr>
        <w:jc w:val="both"/>
        <w:rPr>
          <w:rFonts w:ascii="Arial" w:eastAsia="Calibri" w:hAnsi="Arial" w:cs="Arial"/>
          <w:sz w:val="24"/>
          <w:szCs w:val="24"/>
        </w:rPr>
      </w:pPr>
    </w:p>
    <w:p w14:paraId="7BED3883" w14:textId="569DE58F" w:rsidR="00931543" w:rsidRDefault="00931543" w:rsidP="00931543">
      <w:pPr>
        <w:jc w:val="both"/>
        <w:rPr>
          <w:rFonts w:ascii="Arial" w:eastAsia="Calibri" w:hAnsi="Arial" w:cs="Arial"/>
          <w:sz w:val="24"/>
          <w:szCs w:val="24"/>
        </w:rPr>
      </w:pPr>
    </w:p>
    <w:p w14:paraId="027C956A" w14:textId="77777777" w:rsidR="00931543" w:rsidRDefault="00931543" w:rsidP="00931543">
      <w:pPr>
        <w:jc w:val="both"/>
        <w:rPr>
          <w:rFonts w:ascii="Arial" w:eastAsia="Calibri" w:hAnsi="Arial" w:cs="Arial"/>
          <w:sz w:val="24"/>
          <w:szCs w:val="24"/>
        </w:rPr>
      </w:pPr>
    </w:p>
    <w:p w14:paraId="0D6423C2" w14:textId="55BC91C8" w:rsidR="004453E7" w:rsidRPr="004453E7" w:rsidRDefault="4A9D5B6A" w:rsidP="004453E7">
      <w:pPr>
        <w:pStyle w:val="Odlomakpopisa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4453E7">
        <w:rPr>
          <w:rFonts w:ascii="Arial" w:eastAsia="Calibri" w:hAnsi="Arial" w:cs="Arial"/>
          <w:b/>
          <w:bCs/>
          <w:sz w:val="24"/>
          <w:szCs w:val="24"/>
        </w:rPr>
        <w:lastRenderedPageBreak/>
        <w:t>OBRAZLOŽENJE POSEBNOG DIJELA PRORAČUNA</w:t>
      </w:r>
      <w:r w:rsidRPr="004453E7">
        <w:rPr>
          <w:rFonts w:ascii="Arial" w:eastAsia="Calibri" w:hAnsi="Arial" w:cs="Arial"/>
          <w:sz w:val="24"/>
          <w:szCs w:val="24"/>
        </w:rPr>
        <w:t xml:space="preserve"> </w:t>
      </w:r>
    </w:p>
    <w:p w14:paraId="73A3A660" w14:textId="77777777" w:rsidR="003A1A7E" w:rsidRPr="00801F19" w:rsidRDefault="4A9D5B6A" w:rsidP="003A1A7E">
      <w:pPr>
        <w:rPr>
          <w:rFonts w:ascii="Arial" w:eastAsia="Calibri" w:hAnsi="Arial" w:cs="Arial"/>
          <w:b/>
          <w:bCs/>
          <w:sz w:val="24"/>
          <w:szCs w:val="24"/>
        </w:rPr>
      </w:pPr>
      <w:bookmarkStart w:id="0" w:name="_Hlk121485568"/>
      <w:r w:rsidRPr="00801F19">
        <w:rPr>
          <w:rFonts w:ascii="Arial" w:eastAsia="Calibri" w:hAnsi="Arial" w:cs="Arial"/>
          <w:b/>
          <w:bCs/>
          <w:sz w:val="24"/>
          <w:szCs w:val="24"/>
        </w:rPr>
        <w:t xml:space="preserve">RAZDJEL </w:t>
      </w:r>
      <w:r w:rsidR="00BE5B6B" w:rsidRPr="00801F19">
        <w:rPr>
          <w:rFonts w:ascii="Arial" w:eastAsia="Calibri" w:hAnsi="Arial" w:cs="Arial"/>
          <w:b/>
          <w:bCs/>
          <w:sz w:val="24"/>
          <w:szCs w:val="24"/>
        </w:rPr>
        <w:t>0</w:t>
      </w:r>
      <w:r w:rsidRPr="00801F19">
        <w:rPr>
          <w:rFonts w:ascii="Arial" w:eastAsia="Calibri" w:hAnsi="Arial" w:cs="Arial"/>
          <w:b/>
          <w:bCs/>
          <w:sz w:val="24"/>
          <w:szCs w:val="24"/>
        </w:rPr>
        <w:t xml:space="preserve">01 </w:t>
      </w:r>
      <w:r w:rsidR="00BE5B6B" w:rsidRPr="00801F19">
        <w:rPr>
          <w:rFonts w:ascii="Arial" w:eastAsia="Calibri" w:hAnsi="Arial" w:cs="Arial"/>
          <w:b/>
          <w:bCs/>
          <w:sz w:val="24"/>
          <w:szCs w:val="24"/>
        </w:rPr>
        <w:t>IZVRŠNA I PREDSTAVNIČKA TIJELA</w:t>
      </w:r>
    </w:p>
    <w:bookmarkEnd w:id="0"/>
    <w:p w14:paraId="42700649" w14:textId="5EADE8B2" w:rsidR="003A1A7E" w:rsidRDefault="4A9D5B6A" w:rsidP="00801F19">
      <w:pPr>
        <w:jc w:val="both"/>
        <w:rPr>
          <w:rFonts w:ascii="Arial" w:eastAsia="Calibri" w:hAnsi="Arial" w:cs="Arial"/>
          <w:sz w:val="24"/>
          <w:szCs w:val="24"/>
        </w:rPr>
      </w:pPr>
      <w:r w:rsidRPr="004453E7">
        <w:rPr>
          <w:rFonts w:ascii="Arial" w:eastAsia="Calibri" w:hAnsi="Arial" w:cs="Arial"/>
          <w:sz w:val="24"/>
          <w:szCs w:val="24"/>
        </w:rPr>
        <w:t xml:space="preserve">U glavi </w:t>
      </w:r>
      <w:r w:rsidR="003A1A7E">
        <w:rPr>
          <w:rFonts w:ascii="Arial" w:eastAsia="Calibri" w:hAnsi="Arial" w:cs="Arial"/>
          <w:sz w:val="24"/>
          <w:szCs w:val="24"/>
        </w:rPr>
        <w:t>Izvršna i p</w:t>
      </w:r>
      <w:r w:rsidRPr="004453E7">
        <w:rPr>
          <w:rFonts w:ascii="Arial" w:eastAsia="Calibri" w:hAnsi="Arial" w:cs="Arial"/>
          <w:sz w:val="24"/>
          <w:szCs w:val="24"/>
        </w:rPr>
        <w:t xml:space="preserve">redstavnička tijela osigurana su sredstva za programe </w:t>
      </w:r>
      <w:r w:rsidR="003A1A7E">
        <w:rPr>
          <w:rFonts w:ascii="Arial" w:eastAsia="Calibri" w:hAnsi="Arial" w:cs="Arial"/>
          <w:sz w:val="24"/>
          <w:szCs w:val="24"/>
        </w:rPr>
        <w:t xml:space="preserve">općinskog </w:t>
      </w:r>
      <w:r w:rsidRPr="004453E7">
        <w:rPr>
          <w:rFonts w:ascii="Arial" w:eastAsia="Calibri" w:hAnsi="Arial" w:cs="Arial"/>
          <w:sz w:val="24"/>
          <w:szCs w:val="24"/>
        </w:rPr>
        <w:t>vijeća</w:t>
      </w:r>
      <w:r w:rsidR="003A1A7E">
        <w:rPr>
          <w:rFonts w:ascii="Arial" w:eastAsia="Calibri" w:hAnsi="Arial" w:cs="Arial"/>
          <w:sz w:val="24"/>
          <w:szCs w:val="24"/>
        </w:rPr>
        <w:t xml:space="preserve"> i</w:t>
      </w:r>
      <w:r w:rsidRPr="004453E7">
        <w:rPr>
          <w:rFonts w:ascii="Arial" w:eastAsia="Calibri" w:hAnsi="Arial" w:cs="Arial"/>
          <w:sz w:val="24"/>
          <w:szCs w:val="24"/>
        </w:rPr>
        <w:t xml:space="preserve"> načelnika, </w:t>
      </w:r>
      <w:r w:rsidR="003A1A7E">
        <w:rPr>
          <w:rFonts w:ascii="Arial" w:eastAsia="Calibri" w:hAnsi="Arial" w:cs="Arial"/>
          <w:sz w:val="24"/>
          <w:szCs w:val="24"/>
        </w:rPr>
        <w:t>z</w:t>
      </w:r>
      <w:r w:rsidRPr="004453E7">
        <w:rPr>
          <w:rFonts w:ascii="Arial" w:eastAsia="Calibri" w:hAnsi="Arial" w:cs="Arial"/>
          <w:sz w:val="24"/>
          <w:szCs w:val="24"/>
        </w:rPr>
        <w:t>ajedničke aktivnosti predstavničkih</w:t>
      </w:r>
      <w:r w:rsidR="003A1A7E">
        <w:rPr>
          <w:rFonts w:ascii="Arial" w:eastAsia="Calibri" w:hAnsi="Arial" w:cs="Arial"/>
          <w:sz w:val="24"/>
          <w:szCs w:val="24"/>
        </w:rPr>
        <w:t xml:space="preserve"> i </w:t>
      </w:r>
      <w:r w:rsidRPr="004453E7">
        <w:rPr>
          <w:rFonts w:ascii="Arial" w:eastAsia="Calibri" w:hAnsi="Arial" w:cs="Arial"/>
          <w:sz w:val="24"/>
          <w:szCs w:val="24"/>
        </w:rPr>
        <w:t xml:space="preserve">izvršnih tijela te </w:t>
      </w:r>
      <w:r w:rsidR="003A1A7E">
        <w:rPr>
          <w:rFonts w:ascii="Arial" w:eastAsia="Calibri" w:hAnsi="Arial" w:cs="Arial"/>
          <w:sz w:val="24"/>
          <w:szCs w:val="24"/>
        </w:rPr>
        <w:t>i</w:t>
      </w:r>
      <w:r w:rsidRPr="004453E7">
        <w:rPr>
          <w:rFonts w:ascii="Arial" w:eastAsia="Calibri" w:hAnsi="Arial" w:cs="Arial"/>
          <w:sz w:val="24"/>
          <w:szCs w:val="24"/>
        </w:rPr>
        <w:t>zbore.</w:t>
      </w:r>
      <w:r w:rsidR="003A1A7E">
        <w:rPr>
          <w:rFonts w:ascii="Arial" w:eastAsia="Calibri" w:hAnsi="Arial" w:cs="Arial"/>
          <w:sz w:val="24"/>
          <w:szCs w:val="24"/>
        </w:rPr>
        <w:t xml:space="preserve"> O</w:t>
      </w:r>
      <w:r w:rsidRPr="004453E7">
        <w:rPr>
          <w:rFonts w:ascii="Arial" w:eastAsia="Calibri" w:hAnsi="Arial" w:cs="Arial"/>
          <w:sz w:val="24"/>
          <w:szCs w:val="24"/>
        </w:rPr>
        <w:t>buhvać</w:t>
      </w:r>
      <w:r w:rsidR="003A1A7E">
        <w:rPr>
          <w:rFonts w:ascii="Arial" w:eastAsia="Calibri" w:hAnsi="Arial" w:cs="Arial"/>
          <w:sz w:val="24"/>
          <w:szCs w:val="24"/>
        </w:rPr>
        <w:t>ene su</w:t>
      </w:r>
      <w:r w:rsidRPr="004453E7">
        <w:rPr>
          <w:rFonts w:ascii="Arial" w:eastAsia="Calibri" w:hAnsi="Arial" w:cs="Arial"/>
          <w:sz w:val="24"/>
          <w:szCs w:val="24"/>
        </w:rPr>
        <w:t xml:space="preserve"> naknade za rad predsjednika i članova </w:t>
      </w:r>
      <w:r w:rsidR="003A1A7E">
        <w:rPr>
          <w:rFonts w:ascii="Arial" w:eastAsia="Calibri" w:hAnsi="Arial" w:cs="Arial"/>
          <w:sz w:val="24"/>
          <w:szCs w:val="24"/>
        </w:rPr>
        <w:t>općinskog</w:t>
      </w:r>
      <w:r w:rsidRPr="004453E7">
        <w:rPr>
          <w:rFonts w:ascii="Arial" w:eastAsia="Calibri" w:hAnsi="Arial" w:cs="Arial"/>
          <w:sz w:val="24"/>
          <w:szCs w:val="24"/>
        </w:rPr>
        <w:t xml:space="preserve"> vijeća i odbora,  usluge, </w:t>
      </w:r>
      <w:r w:rsidR="003A1A7E">
        <w:rPr>
          <w:rFonts w:ascii="Arial" w:eastAsia="Calibri" w:hAnsi="Arial" w:cs="Arial"/>
          <w:sz w:val="24"/>
          <w:szCs w:val="24"/>
        </w:rPr>
        <w:t>reprezentaciju i</w:t>
      </w:r>
      <w:r w:rsidRPr="004453E7">
        <w:rPr>
          <w:rFonts w:ascii="Arial" w:eastAsia="Calibri" w:hAnsi="Arial" w:cs="Arial"/>
          <w:sz w:val="24"/>
          <w:szCs w:val="24"/>
        </w:rPr>
        <w:t xml:space="preserve"> troškove božićnog domjenka </w:t>
      </w:r>
      <w:r w:rsidR="003A1A7E">
        <w:rPr>
          <w:rFonts w:ascii="Arial" w:eastAsia="Calibri" w:hAnsi="Arial" w:cs="Arial"/>
          <w:sz w:val="24"/>
          <w:szCs w:val="24"/>
        </w:rPr>
        <w:t>općinskog</w:t>
      </w:r>
      <w:r w:rsidRPr="004453E7">
        <w:rPr>
          <w:rFonts w:ascii="Arial" w:eastAsia="Calibri" w:hAnsi="Arial" w:cs="Arial"/>
          <w:sz w:val="24"/>
          <w:szCs w:val="24"/>
        </w:rPr>
        <w:t xml:space="preserve"> vijeća, rashode protokola - cvijeće, vijenci i drugo te ostale troškove vezane uz rad </w:t>
      </w:r>
      <w:r w:rsidR="003A1A7E">
        <w:rPr>
          <w:rFonts w:ascii="Arial" w:eastAsia="Calibri" w:hAnsi="Arial" w:cs="Arial"/>
          <w:sz w:val="24"/>
          <w:szCs w:val="24"/>
        </w:rPr>
        <w:t>općinskog vijeća.</w:t>
      </w:r>
      <w:r w:rsidRPr="004453E7">
        <w:rPr>
          <w:rFonts w:ascii="Arial" w:eastAsia="Calibri" w:hAnsi="Arial" w:cs="Arial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1701"/>
        <w:gridCol w:w="1842"/>
        <w:gridCol w:w="1650"/>
      </w:tblGrid>
      <w:tr w:rsidR="003A1A7E" w14:paraId="1F95A96C" w14:textId="77777777" w:rsidTr="000D6287">
        <w:tc>
          <w:tcPr>
            <w:tcW w:w="2263" w:type="dxa"/>
            <w:shd w:val="clear" w:color="auto" w:fill="D9D9D9" w:themeFill="background1" w:themeFillShade="D9"/>
          </w:tcPr>
          <w:p w14:paraId="3DE81D18" w14:textId="1E3916FD" w:rsidR="003A1A7E" w:rsidRDefault="003A1A7E" w:rsidP="000D62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Indikator uspješnosti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CB0F0D9" w14:textId="730051DE" w:rsidR="003A1A7E" w:rsidRDefault="000D6287" w:rsidP="000D62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Početna vrijednost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B14611D" w14:textId="24E96F5F" w:rsidR="003A1A7E" w:rsidRDefault="000D6287" w:rsidP="000D62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Ciljna 2023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7DE7CC9" w14:textId="2A626515" w:rsidR="003A1A7E" w:rsidRDefault="000D6287" w:rsidP="000D62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Ciljna 2024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0D66108D" w14:textId="1BCC9ABE" w:rsidR="003A1A7E" w:rsidRDefault="000D6287" w:rsidP="000D62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Ciljna 2025</w:t>
            </w:r>
          </w:p>
        </w:tc>
      </w:tr>
      <w:tr w:rsidR="003A1A7E" w14:paraId="565BD788" w14:textId="77777777" w:rsidTr="000D6287">
        <w:tc>
          <w:tcPr>
            <w:tcW w:w="2263" w:type="dxa"/>
          </w:tcPr>
          <w:p w14:paraId="4B91508D" w14:textId="65D7FF13" w:rsidR="003A1A7E" w:rsidRDefault="000D6287" w:rsidP="000D62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Broj donesenih akata iz domene Općinskog vijeća</w:t>
            </w:r>
          </w:p>
        </w:tc>
        <w:tc>
          <w:tcPr>
            <w:tcW w:w="1560" w:type="dxa"/>
          </w:tcPr>
          <w:p w14:paraId="20CC1388" w14:textId="055B4C0A" w:rsidR="003A1A7E" w:rsidRDefault="000D6287" w:rsidP="000D62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01607DF" w14:textId="6FA67429" w:rsidR="003A1A7E" w:rsidRDefault="000D6287" w:rsidP="000D62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7838CA14" w14:textId="2E3EF104" w:rsidR="003A1A7E" w:rsidRDefault="000D6287" w:rsidP="000D62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650" w:type="dxa"/>
          </w:tcPr>
          <w:p w14:paraId="3FC7C3F0" w14:textId="77777777" w:rsidR="003A1A7E" w:rsidRDefault="000D6287" w:rsidP="000D62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  <w:p w14:paraId="35AD59D4" w14:textId="7E09246F" w:rsidR="000D6287" w:rsidRDefault="000D6287" w:rsidP="000D62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85F520A" w14:textId="77777777" w:rsidR="000D6287" w:rsidRDefault="000D6287" w:rsidP="003A1A7E">
      <w:pPr>
        <w:rPr>
          <w:rFonts w:ascii="Arial" w:eastAsia="Calibri" w:hAnsi="Arial" w:cs="Arial"/>
          <w:sz w:val="24"/>
          <w:szCs w:val="24"/>
        </w:rPr>
      </w:pPr>
    </w:p>
    <w:p w14:paraId="2BACC7E4" w14:textId="77777777" w:rsidR="00106D8A" w:rsidRDefault="4A9D5B6A" w:rsidP="00801F19">
      <w:pPr>
        <w:jc w:val="both"/>
        <w:rPr>
          <w:rFonts w:ascii="Arial" w:eastAsia="Calibri" w:hAnsi="Arial" w:cs="Arial"/>
          <w:sz w:val="24"/>
          <w:szCs w:val="24"/>
        </w:rPr>
      </w:pPr>
      <w:r w:rsidRPr="004453E7">
        <w:rPr>
          <w:rFonts w:ascii="Arial" w:eastAsia="Calibri" w:hAnsi="Arial" w:cs="Arial"/>
          <w:sz w:val="24"/>
          <w:szCs w:val="24"/>
        </w:rPr>
        <w:t xml:space="preserve">Osim toga, osigurana su sredstva za financiranje političkih stranaka sukladno Odluci o raspoređivanju sredstava za financiranje političkih stranaka zastupljenih u </w:t>
      </w:r>
      <w:r w:rsidR="000D6287">
        <w:rPr>
          <w:rFonts w:ascii="Arial" w:eastAsia="Calibri" w:hAnsi="Arial" w:cs="Arial"/>
          <w:sz w:val="24"/>
          <w:szCs w:val="24"/>
        </w:rPr>
        <w:t>Općinskom</w:t>
      </w:r>
      <w:r w:rsidRPr="004453E7">
        <w:rPr>
          <w:rFonts w:ascii="Arial" w:eastAsia="Calibri" w:hAnsi="Arial" w:cs="Arial"/>
          <w:sz w:val="24"/>
          <w:szCs w:val="24"/>
        </w:rPr>
        <w:t xml:space="preserve"> vijeću </w:t>
      </w:r>
      <w:r w:rsidR="000D6287">
        <w:rPr>
          <w:rFonts w:ascii="Arial" w:eastAsia="Calibri" w:hAnsi="Arial" w:cs="Arial"/>
          <w:sz w:val="24"/>
          <w:szCs w:val="24"/>
        </w:rPr>
        <w:t>Općine Gornja Rijeka</w:t>
      </w:r>
      <w:r w:rsidRPr="004453E7">
        <w:rPr>
          <w:rFonts w:ascii="Arial" w:eastAsia="Calibri" w:hAnsi="Arial" w:cs="Arial"/>
          <w:sz w:val="24"/>
          <w:szCs w:val="24"/>
        </w:rPr>
        <w:t xml:space="preserve"> u iznosu 1</w:t>
      </w:r>
      <w:r w:rsidR="000D6287">
        <w:rPr>
          <w:rFonts w:ascii="Arial" w:eastAsia="Calibri" w:hAnsi="Arial" w:cs="Arial"/>
          <w:sz w:val="24"/>
          <w:szCs w:val="24"/>
        </w:rPr>
        <w:t>.500</w:t>
      </w:r>
      <w:r w:rsidRPr="004453E7">
        <w:rPr>
          <w:rFonts w:ascii="Arial" w:eastAsia="Calibri" w:hAnsi="Arial" w:cs="Arial"/>
          <w:sz w:val="24"/>
          <w:szCs w:val="24"/>
        </w:rPr>
        <w:t xml:space="preserve"> EUR, financiranje </w:t>
      </w:r>
      <w:r w:rsidR="00106D8A">
        <w:rPr>
          <w:rFonts w:ascii="Arial" w:eastAsia="Calibri" w:hAnsi="Arial" w:cs="Arial"/>
          <w:sz w:val="24"/>
          <w:szCs w:val="24"/>
        </w:rPr>
        <w:t>informiranja javnosti, financiranje LAG-a PRIZAG, obilježavanje Dana Općine, stipendiranje studenata, izrada grba i zastave, financiranje manifestacija i lokalni izbori.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06D8A" w14:paraId="114FA450" w14:textId="77777777" w:rsidTr="002B1307">
        <w:tc>
          <w:tcPr>
            <w:tcW w:w="1803" w:type="dxa"/>
            <w:shd w:val="clear" w:color="auto" w:fill="D9D9D9" w:themeFill="background1" w:themeFillShade="D9"/>
          </w:tcPr>
          <w:p w14:paraId="798246A7" w14:textId="0D5F2846" w:rsidR="00106D8A" w:rsidRDefault="00106D8A" w:rsidP="002B13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Indikator uspješnosti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15DD5DCC" w14:textId="4019A062" w:rsidR="00106D8A" w:rsidRDefault="00106D8A" w:rsidP="002B13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Početna vrijednost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68640897" w14:textId="135922C6" w:rsidR="00106D8A" w:rsidRDefault="00106D8A" w:rsidP="002B13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Ciljna 2023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60AA6C82" w14:textId="5D97BECC" w:rsidR="00106D8A" w:rsidRDefault="00106D8A" w:rsidP="002B13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Ciljna 2024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0511A766" w14:textId="12F7AD47" w:rsidR="00106D8A" w:rsidRDefault="002B1307" w:rsidP="002B13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Ciljna 2025</w:t>
            </w:r>
          </w:p>
        </w:tc>
      </w:tr>
      <w:tr w:rsidR="00106D8A" w14:paraId="51E49DE2" w14:textId="77777777" w:rsidTr="00106D8A">
        <w:tc>
          <w:tcPr>
            <w:tcW w:w="1803" w:type="dxa"/>
          </w:tcPr>
          <w:p w14:paraId="375F43A4" w14:textId="2845D0DF" w:rsidR="00106D8A" w:rsidRDefault="002B1307" w:rsidP="00A11C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Broj Informiranja javnosti</w:t>
            </w:r>
          </w:p>
        </w:tc>
        <w:tc>
          <w:tcPr>
            <w:tcW w:w="1803" w:type="dxa"/>
          </w:tcPr>
          <w:p w14:paraId="5CB2B55B" w14:textId="0DEBC511" w:rsidR="00106D8A" w:rsidRDefault="00A11C4A" w:rsidP="00A11C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14:paraId="4EE44889" w14:textId="28F3DF1D" w:rsidR="00106D8A" w:rsidRDefault="00A11C4A" w:rsidP="00A11C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14:paraId="26BF9FDD" w14:textId="1D3085FA" w:rsidR="00106D8A" w:rsidRDefault="00A11C4A" w:rsidP="00A11C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804" w:type="dxa"/>
          </w:tcPr>
          <w:p w14:paraId="2064B0F0" w14:textId="62D440D8" w:rsidR="00106D8A" w:rsidRDefault="00A11C4A" w:rsidP="00A11C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  <w:tr w:rsidR="00106D8A" w14:paraId="679E897D" w14:textId="77777777" w:rsidTr="00106D8A">
        <w:tc>
          <w:tcPr>
            <w:tcW w:w="1803" w:type="dxa"/>
          </w:tcPr>
          <w:p w14:paraId="4A89D7DE" w14:textId="3520CCB8" w:rsidR="00106D8A" w:rsidRDefault="002B1307" w:rsidP="00A11C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Članstvo u LAG-u</w:t>
            </w:r>
          </w:p>
        </w:tc>
        <w:tc>
          <w:tcPr>
            <w:tcW w:w="1803" w:type="dxa"/>
          </w:tcPr>
          <w:p w14:paraId="252B47A7" w14:textId="6BCD49D6" w:rsidR="00106D8A" w:rsidRDefault="00A11C4A" w:rsidP="00A11C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086889A5" w14:textId="3D9694EC" w:rsidR="00106D8A" w:rsidRDefault="00A11C4A" w:rsidP="00A11C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D75265B" w14:textId="54DBF714" w:rsidR="00106D8A" w:rsidRDefault="00A11C4A" w:rsidP="00A11C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14:paraId="024D395E" w14:textId="15A28FD6" w:rsidR="00106D8A" w:rsidRDefault="00A11C4A" w:rsidP="00A11C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106D8A" w14:paraId="03F5626C" w14:textId="77777777" w:rsidTr="00106D8A">
        <w:tc>
          <w:tcPr>
            <w:tcW w:w="1803" w:type="dxa"/>
          </w:tcPr>
          <w:p w14:paraId="480D5F0C" w14:textId="7435B446" w:rsidR="00106D8A" w:rsidRDefault="002B1307" w:rsidP="00A11C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Sudjelovanje stranaka u radu općinskog vijeća</w:t>
            </w:r>
          </w:p>
        </w:tc>
        <w:tc>
          <w:tcPr>
            <w:tcW w:w="1803" w:type="dxa"/>
          </w:tcPr>
          <w:p w14:paraId="440429A6" w14:textId="1874C8DB" w:rsidR="00106D8A" w:rsidRDefault="00A11C4A" w:rsidP="00A11C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14:paraId="6EBE9A6C" w14:textId="534A314E" w:rsidR="00106D8A" w:rsidRDefault="00A11C4A" w:rsidP="00A11C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14:paraId="21370843" w14:textId="60525C91" w:rsidR="00106D8A" w:rsidRDefault="00A11C4A" w:rsidP="00A11C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14:paraId="5744C2E3" w14:textId="52B621B5" w:rsidR="00106D8A" w:rsidRDefault="00A11C4A" w:rsidP="00A11C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106D8A" w14:paraId="56FF5CB7" w14:textId="77777777" w:rsidTr="00106D8A">
        <w:tc>
          <w:tcPr>
            <w:tcW w:w="1803" w:type="dxa"/>
          </w:tcPr>
          <w:p w14:paraId="77CD888C" w14:textId="37D02523" w:rsidR="00106D8A" w:rsidRDefault="00A11C4A" w:rsidP="00A11C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Broj dodijeljenih stipendija</w:t>
            </w:r>
          </w:p>
        </w:tc>
        <w:tc>
          <w:tcPr>
            <w:tcW w:w="1803" w:type="dxa"/>
          </w:tcPr>
          <w:p w14:paraId="22FC4F5C" w14:textId="472D82F6" w:rsidR="00106D8A" w:rsidRDefault="00A11C4A" w:rsidP="00A11C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14:paraId="447D307F" w14:textId="3805E9A4" w:rsidR="00106D8A" w:rsidRDefault="00A11C4A" w:rsidP="00A11C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14:paraId="11BA5B32" w14:textId="55E0FCFD" w:rsidR="00106D8A" w:rsidRDefault="00A11C4A" w:rsidP="00A11C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14:paraId="5CE595B3" w14:textId="77777777" w:rsidR="00106D8A" w:rsidRDefault="00A11C4A" w:rsidP="00A11C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14:paraId="35494596" w14:textId="104FB529" w:rsidR="00A11C4A" w:rsidRDefault="00A11C4A" w:rsidP="00A11C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3FA8C79" w14:textId="77777777" w:rsidR="00A11C4A" w:rsidRDefault="00A11C4A" w:rsidP="003A1A7E">
      <w:pPr>
        <w:rPr>
          <w:rFonts w:ascii="Arial" w:eastAsia="Calibri" w:hAnsi="Arial" w:cs="Arial"/>
          <w:sz w:val="24"/>
          <w:szCs w:val="24"/>
        </w:rPr>
      </w:pPr>
    </w:p>
    <w:p w14:paraId="6430F337" w14:textId="7FF1316E" w:rsidR="00140678" w:rsidRPr="00801F19" w:rsidRDefault="00140678" w:rsidP="00140678">
      <w:pPr>
        <w:rPr>
          <w:rFonts w:ascii="Arial" w:eastAsia="Calibri" w:hAnsi="Arial" w:cs="Arial"/>
          <w:b/>
          <w:bCs/>
          <w:sz w:val="24"/>
          <w:szCs w:val="24"/>
        </w:rPr>
      </w:pPr>
      <w:r w:rsidRPr="00801F19">
        <w:rPr>
          <w:rFonts w:ascii="Arial" w:eastAsia="Calibri" w:hAnsi="Arial" w:cs="Arial"/>
          <w:b/>
          <w:bCs/>
          <w:sz w:val="24"/>
          <w:szCs w:val="24"/>
        </w:rPr>
        <w:t>RAZDJEL 002 JEDINSTVENI UPRAVNI ODJEL</w:t>
      </w:r>
    </w:p>
    <w:p w14:paraId="50F81AEC" w14:textId="77777777" w:rsidR="00140678" w:rsidRDefault="4A9D5B6A" w:rsidP="00801F19">
      <w:pPr>
        <w:jc w:val="both"/>
        <w:rPr>
          <w:rFonts w:ascii="Arial" w:eastAsia="Calibri" w:hAnsi="Arial" w:cs="Arial"/>
          <w:sz w:val="24"/>
          <w:szCs w:val="24"/>
        </w:rPr>
      </w:pPr>
      <w:r w:rsidRPr="004453E7">
        <w:rPr>
          <w:rFonts w:ascii="Arial" w:eastAsia="Calibri" w:hAnsi="Arial" w:cs="Arial"/>
          <w:sz w:val="24"/>
          <w:szCs w:val="24"/>
        </w:rPr>
        <w:t>Redovni rad upravn</w:t>
      </w:r>
      <w:r w:rsidR="00140678">
        <w:rPr>
          <w:rFonts w:ascii="Arial" w:eastAsia="Calibri" w:hAnsi="Arial" w:cs="Arial"/>
          <w:sz w:val="24"/>
          <w:szCs w:val="24"/>
        </w:rPr>
        <w:t>og</w:t>
      </w:r>
      <w:r w:rsidRPr="004453E7">
        <w:rPr>
          <w:rFonts w:ascii="Arial" w:eastAsia="Calibri" w:hAnsi="Arial" w:cs="Arial"/>
          <w:sz w:val="24"/>
          <w:szCs w:val="24"/>
        </w:rPr>
        <w:t xml:space="preserve"> odjela obuhvaća rashode za plaće, doprinose i ostale rashode za zaposlene, rashode za materijal i energiju (uredski materijal, električna energija, p</w:t>
      </w:r>
      <w:r w:rsidR="00140678">
        <w:rPr>
          <w:rFonts w:ascii="Arial" w:eastAsia="Calibri" w:hAnsi="Arial" w:cs="Arial"/>
          <w:sz w:val="24"/>
          <w:szCs w:val="24"/>
        </w:rPr>
        <w:t>elete</w:t>
      </w:r>
      <w:r w:rsidRPr="004453E7">
        <w:rPr>
          <w:rFonts w:ascii="Arial" w:eastAsia="Calibri" w:hAnsi="Arial" w:cs="Arial"/>
          <w:sz w:val="24"/>
          <w:szCs w:val="24"/>
        </w:rPr>
        <w:t>, materijal za tekuće i investicijsko održavanje zgrade te opreme i drugo), rashode za usluge (usluge telefona, poštarine, održavanja zgrade i opreme, opskrba vodom, računalne usluge, usluge čišćenja i drugo), financijske rashode (usluge banaka, usluge platnog prometa) te za nabavu opreme (računala, namještaj) i nematerijalne proizvedene imovine (računalni programi) i drugo. Na navedenom programu osigurana su sredstva u iznosu 1</w:t>
      </w:r>
      <w:r w:rsidR="00140678">
        <w:rPr>
          <w:rFonts w:ascii="Arial" w:eastAsia="Calibri" w:hAnsi="Arial" w:cs="Arial"/>
          <w:sz w:val="24"/>
          <w:szCs w:val="24"/>
        </w:rPr>
        <w:t>08.000,00</w:t>
      </w:r>
      <w:r w:rsidRPr="004453E7">
        <w:rPr>
          <w:rFonts w:ascii="Arial" w:eastAsia="Calibri" w:hAnsi="Arial" w:cs="Arial"/>
          <w:sz w:val="24"/>
          <w:szCs w:val="24"/>
        </w:rPr>
        <w:t xml:space="preserve"> EUR. </w:t>
      </w:r>
    </w:p>
    <w:p w14:paraId="2D2F0DC6" w14:textId="3D5C267D" w:rsidR="008A0D05" w:rsidRPr="00801F19" w:rsidRDefault="007F32DD" w:rsidP="003A1A7E">
      <w:pPr>
        <w:rPr>
          <w:rFonts w:ascii="Arial" w:eastAsia="Calibri" w:hAnsi="Arial" w:cs="Arial"/>
          <w:b/>
          <w:bCs/>
          <w:sz w:val="24"/>
          <w:szCs w:val="24"/>
        </w:rPr>
      </w:pPr>
      <w:r w:rsidRPr="00801F19">
        <w:rPr>
          <w:rFonts w:ascii="Arial" w:eastAsia="Calibri" w:hAnsi="Arial" w:cs="Arial"/>
          <w:b/>
          <w:bCs/>
          <w:sz w:val="24"/>
          <w:szCs w:val="24"/>
        </w:rPr>
        <w:lastRenderedPageBreak/>
        <w:t>Program PROSTORNO UREĐENJE I UNAPREĐENJE STANOVANJA</w:t>
      </w:r>
    </w:p>
    <w:p w14:paraId="0F782EE6" w14:textId="74DF9CF6" w:rsidR="006725CC" w:rsidRPr="00FA72B4" w:rsidRDefault="00FE7C9C" w:rsidP="00FA72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Rashodi programa, aktivnosti, tekućih i kapitalnih projekata gospodarstva (prostorno uređenje i unapređenje stanovanja) planirani su za</w:t>
      </w:r>
      <w:r w:rsidR="00FA72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6725CC"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općinske zgrade</w:t>
      </w:r>
      <w:r w:rsidR="00FA72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="006725CC"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zgradu za potrebe primarne zdravstvene zaštite/TIC</w:t>
      </w:r>
      <w:r w:rsidR="00FA72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="006725CC"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geodetsko-katastarsku izmjeru</w:t>
      </w:r>
      <w:r w:rsidR="00FA72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="006725C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posude za odvojeno prikupljanje otpada</w:t>
      </w:r>
      <w:r w:rsidR="00FA72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="006725CC"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uređenje društvenog doma</w:t>
      </w:r>
      <w:r w:rsidR="00FA72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="006725CC" w:rsidRPr="00FA3C63">
        <w:rPr>
          <w:rFonts w:ascii="Arial" w:eastAsia="Times New Roman" w:hAnsi="Arial" w:cs="Arial"/>
          <w:sz w:val="24"/>
          <w:szCs w:val="24"/>
          <w:lang w:eastAsia="hr-HR"/>
        </w:rPr>
        <w:t xml:space="preserve">projektiranje doma za stare i </w:t>
      </w:r>
      <w:r w:rsidR="006725CC">
        <w:rPr>
          <w:rFonts w:ascii="Arial" w:eastAsia="Times New Roman" w:hAnsi="Arial" w:cs="Arial"/>
          <w:sz w:val="24"/>
          <w:szCs w:val="24"/>
          <w:lang w:eastAsia="hr-HR"/>
        </w:rPr>
        <w:t>n</w:t>
      </w:r>
      <w:r w:rsidR="006725CC" w:rsidRPr="00FA3C63">
        <w:rPr>
          <w:rFonts w:ascii="Arial" w:eastAsia="Times New Roman" w:hAnsi="Arial" w:cs="Arial"/>
          <w:sz w:val="24"/>
          <w:szCs w:val="24"/>
          <w:lang w:eastAsia="hr-HR"/>
        </w:rPr>
        <w:t>emoćne</w:t>
      </w:r>
      <w:r w:rsidR="00FA72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="006725CC" w:rsidRPr="00FA3C63">
        <w:rPr>
          <w:rFonts w:ascii="Arial" w:eastAsia="Times New Roman" w:hAnsi="Arial" w:cs="Arial"/>
          <w:sz w:val="24"/>
          <w:szCs w:val="24"/>
          <w:lang w:eastAsia="hr-HR"/>
        </w:rPr>
        <w:t>sufinanciranje vodoopskrbe</w:t>
      </w:r>
      <w:r w:rsidR="006725CC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FA72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6725CC">
        <w:rPr>
          <w:rFonts w:ascii="Arial" w:eastAsia="Times New Roman" w:hAnsi="Arial" w:cs="Arial"/>
          <w:sz w:val="24"/>
          <w:szCs w:val="24"/>
          <w:lang w:eastAsia="hr-HR"/>
        </w:rPr>
        <w:t>prostorni plan.</w:t>
      </w:r>
    </w:p>
    <w:p w14:paraId="1C92A86A" w14:textId="4319991A" w:rsidR="00FA72B4" w:rsidRDefault="006725CC" w:rsidP="006725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Cilj programa je razvoj lokalnog gospodarstva na principima održivosti i stvaranja novih vrijednosti.</w:t>
      </w:r>
    </w:p>
    <w:p w14:paraId="48135A5A" w14:textId="297E1BB8" w:rsidR="00FA72B4" w:rsidRDefault="00FA72B4" w:rsidP="006725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5FA2055" w14:textId="5D04CFA0" w:rsidR="00FA72B4" w:rsidRDefault="00FA72B4" w:rsidP="006725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Projekt Zgrada I. uključuje </w:t>
      </w:r>
      <w:r w:rsidR="002D14BB">
        <w:rPr>
          <w:rFonts w:ascii="Arial" w:eastAsia="Times New Roman" w:hAnsi="Arial" w:cs="Arial"/>
          <w:sz w:val="24"/>
          <w:szCs w:val="24"/>
          <w:lang w:eastAsia="hr-HR"/>
        </w:rPr>
        <w:t xml:space="preserve">aktivnosti na </w:t>
      </w:r>
      <w:r>
        <w:rPr>
          <w:rFonts w:ascii="Arial" w:eastAsia="Times New Roman" w:hAnsi="Arial" w:cs="Arial"/>
          <w:sz w:val="24"/>
          <w:szCs w:val="24"/>
          <w:lang w:eastAsia="hr-HR"/>
        </w:rPr>
        <w:t>održavanj</w:t>
      </w:r>
      <w:r w:rsidR="002D14BB">
        <w:rPr>
          <w:rFonts w:ascii="Arial" w:eastAsia="Times New Roman" w:hAnsi="Arial" w:cs="Arial"/>
          <w:sz w:val="24"/>
          <w:szCs w:val="24"/>
          <w:lang w:eastAsia="hr-HR"/>
        </w:rPr>
        <w:t>u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postojeće zgrade u vlasništvu općine koja se nalazi na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kčbr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36 k.o. Gornja Rijeka, a u kojoj se nalaze i prostori općinske uprave. Projektom je također predviđeno uređenje ulaznih stepenica i rampe, odnosno radovi postave pločica.</w:t>
      </w:r>
    </w:p>
    <w:p w14:paraId="709FE4DD" w14:textId="00ED336E" w:rsidR="00FA72B4" w:rsidRDefault="00FA72B4" w:rsidP="006725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Za navedene aktivnosti planirana su sredstva u svoti od 8.000,00 eura.</w:t>
      </w:r>
    </w:p>
    <w:p w14:paraId="7EE47F9A" w14:textId="765744AF" w:rsidR="00FA72B4" w:rsidRPr="00FA72B4" w:rsidRDefault="00FA72B4" w:rsidP="00FA72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Projekt zgrada II. </w:t>
      </w:r>
      <w:r w:rsidRPr="00FA72B4">
        <w:rPr>
          <w:rFonts w:ascii="Arial" w:eastAsia="Times New Roman" w:hAnsi="Arial" w:cs="Arial"/>
          <w:sz w:val="24"/>
          <w:szCs w:val="24"/>
          <w:lang w:eastAsia="hr-HR"/>
        </w:rPr>
        <w:t xml:space="preserve">uključuje </w:t>
      </w:r>
      <w:r w:rsidR="002D14BB">
        <w:rPr>
          <w:rFonts w:ascii="Arial" w:eastAsia="Times New Roman" w:hAnsi="Arial" w:cs="Arial"/>
          <w:sz w:val="24"/>
          <w:szCs w:val="24"/>
          <w:lang w:eastAsia="hr-HR"/>
        </w:rPr>
        <w:t xml:space="preserve">aktivnosti na </w:t>
      </w:r>
      <w:r w:rsidRPr="00FA72B4">
        <w:rPr>
          <w:rFonts w:ascii="Arial" w:eastAsia="Times New Roman" w:hAnsi="Arial" w:cs="Arial"/>
          <w:sz w:val="24"/>
          <w:szCs w:val="24"/>
          <w:lang w:eastAsia="hr-HR"/>
        </w:rPr>
        <w:t>održavanj</w:t>
      </w:r>
      <w:r w:rsidR="002D14BB">
        <w:rPr>
          <w:rFonts w:ascii="Arial" w:eastAsia="Times New Roman" w:hAnsi="Arial" w:cs="Arial"/>
          <w:sz w:val="24"/>
          <w:szCs w:val="24"/>
          <w:lang w:eastAsia="hr-HR"/>
        </w:rPr>
        <w:t>u</w:t>
      </w:r>
      <w:r w:rsidRPr="00FA72B4">
        <w:rPr>
          <w:rFonts w:ascii="Arial" w:eastAsia="Times New Roman" w:hAnsi="Arial" w:cs="Arial"/>
          <w:sz w:val="24"/>
          <w:szCs w:val="24"/>
          <w:lang w:eastAsia="hr-HR"/>
        </w:rPr>
        <w:t xml:space="preserve"> postojeće zgrade u vlasništvu općine koja se nalazi na </w:t>
      </w:r>
      <w:proofErr w:type="spellStart"/>
      <w:r w:rsidRPr="00FA72B4">
        <w:rPr>
          <w:rFonts w:ascii="Arial" w:eastAsia="Times New Roman" w:hAnsi="Arial" w:cs="Arial"/>
          <w:sz w:val="24"/>
          <w:szCs w:val="24"/>
          <w:lang w:eastAsia="hr-HR"/>
        </w:rPr>
        <w:t>kčbr</w:t>
      </w:r>
      <w:proofErr w:type="spellEnd"/>
      <w:r w:rsidRPr="00FA72B4">
        <w:rPr>
          <w:rFonts w:ascii="Arial" w:eastAsia="Times New Roman" w:hAnsi="Arial" w:cs="Arial"/>
          <w:sz w:val="24"/>
          <w:szCs w:val="24"/>
          <w:lang w:eastAsia="hr-HR"/>
        </w:rPr>
        <w:t xml:space="preserve"> 56/2 k.o. Gornja Rijeka. Projektom je također predviđeno rušenje postojećeg i izgradnja novog potpornog zida koji se nalazi na navedenoj čestici.</w:t>
      </w:r>
    </w:p>
    <w:p w14:paraId="26DAC1C1" w14:textId="72211BC3" w:rsidR="00FA72B4" w:rsidRDefault="00FA72B4" w:rsidP="00FA72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72B4">
        <w:rPr>
          <w:rFonts w:ascii="Arial" w:eastAsia="Times New Roman" w:hAnsi="Arial" w:cs="Arial"/>
          <w:sz w:val="24"/>
          <w:szCs w:val="24"/>
          <w:lang w:eastAsia="hr-HR"/>
        </w:rPr>
        <w:t>Za navedene aktivnosti planirana su sredstva u svoti od 8.000,00 eura.</w:t>
      </w:r>
    </w:p>
    <w:p w14:paraId="7B32F395" w14:textId="230AF97C" w:rsidR="002D14BB" w:rsidRDefault="002D14BB" w:rsidP="00FA72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Projekt zgrada III. uključuje aktivnosti na održavanju </w:t>
      </w:r>
      <w:r w:rsidRPr="002D14BB">
        <w:rPr>
          <w:rFonts w:ascii="Arial" w:eastAsia="Times New Roman" w:hAnsi="Arial" w:cs="Arial"/>
          <w:sz w:val="24"/>
          <w:szCs w:val="24"/>
          <w:lang w:eastAsia="hr-HR"/>
        </w:rPr>
        <w:t xml:space="preserve">postojeće zgrade u vlasništvu općine koja se nalazi na </w:t>
      </w:r>
      <w:proofErr w:type="spellStart"/>
      <w:r w:rsidRPr="002D14BB">
        <w:rPr>
          <w:rFonts w:ascii="Arial" w:eastAsia="Times New Roman" w:hAnsi="Arial" w:cs="Arial"/>
          <w:sz w:val="24"/>
          <w:szCs w:val="24"/>
          <w:lang w:eastAsia="hr-HR"/>
        </w:rPr>
        <w:t>kčbr</w:t>
      </w:r>
      <w:proofErr w:type="spellEnd"/>
      <w:r w:rsidRPr="002D14B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1816/20</w:t>
      </w:r>
      <w:r w:rsidRPr="002D14BB">
        <w:rPr>
          <w:rFonts w:ascii="Arial" w:eastAsia="Times New Roman" w:hAnsi="Arial" w:cs="Arial"/>
          <w:sz w:val="24"/>
          <w:szCs w:val="24"/>
          <w:lang w:eastAsia="hr-HR"/>
        </w:rPr>
        <w:t xml:space="preserve"> k.o. Gornja Rijeka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(zgrada bivšeg Čelika).</w:t>
      </w:r>
    </w:p>
    <w:p w14:paraId="7711C011" w14:textId="6B4240BB" w:rsidR="002D14BB" w:rsidRPr="00FA72B4" w:rsidRDefault="002D14BB" w:rsidP="00FA72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Projekt zgrada IV. uključuje aktivnosti na izvođenju nužnih pripremnih radova na izgradnji nove zgrade pored zgrade III. Sukladno izdanoj građevinskoj dozvoli.</w:t>
      </w:r>
    </w:p>
    <w:p w14:paraId="3D13167D" w14:textId="77777777" w:rsidR="0038656E" w:rsidRPr="000D06A3" w:rsidRDefault="0038656E" w:rsidP="00FE7C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8656E" w14:paraId="774E9043" w14:textId="77777777" w:rsidTr="0038656E">
        <w:tc>
          <w:tcPr>
            <w:tcW w:w="1803" w:type="dxa"/>
            <w:shd w:val="clear" w:color="auto" w:fill="D9D9D9" w:themeFill="background1" w:themeFillShade="D9"/>
          </w:tcPr>
          <w:p w14:paraId="5BA8AF51" w14:textId="13C3ED0E" w:rsidR="0038656E" w:rsidRDefault="0038656E" w:rsidP="0038656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Indikator uspješnosti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715AA5D7" w14:textId="1C2AFC19" w:rsidR="0038656E" w:rsidRDefault="0038656E" w:rsidP="0038656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Početna vrijednost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3D992D21" w14:textId="4A692719" w:rsidR="0038656E" w:rsidRDefault="0038656E" w:rsidP="0038656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2023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386526ED" w14:textId="373C5936" w:rsidR="0038656E" w:rsidRDefault="0038656E" w:rsidP="0038656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2024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1B932712" w14:textId="0E310DB8" w:rsidR="0038656E" w:rsidRDefault="0038656E" w:rsidP="0038656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</w:t>
            </w:r>
            <w:r w:rsidR="001D39D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38656E" w14:paraId="3D23C3E0" w14:textId="77777777" w:rsidTr="0038656E">
        <w:tc>
          <w:tcPr>
            <w:tcW w:w="1803" w:type="dxa"/>
          </w:tcPr>
          <w:p w14:paraId="1C01596C" w14:textId="2F1D5DEA" w:rsidR="0038656E" w:rsidRDefault="002D14BB" w:rsidP="0038656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Broj održavanih objekata u vlasništvu općine</w:t>
            </w:r>
          </w:p>
        </w:tc>
        <w:tc>
          <w:tcPr>
            <w:tcW w:w="1803" w:type="dxa"/>
          </w:tcPr>
          <w:p w14:paraId="7AD03A1B" w14:textId="14A8A829" w:rsidR="0038656E" w:rsidRDefault="002D14BB" w:rsidP="0038656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803" w:type="dxa"/>
          </w:tcPr>
          <w:p w14:paraId="21520EA7" w14:textId="2547F1AE" w:rsidR="0038656E" w:rsidRDefault="002D14BB" w:rsidP="0038656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803" w:type="dxa"/>
          </w:tcPr>
          <w:p w14:paraId="6408E56C" w14:textId="540F704F" w:rsidR="0038656E" w:rsidRDefault="002D14BB" w:rsidP="0038656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804" w:type="dxa"/>
          </w:tcPr>
          <w:p w14:paraId="44564862" w14:textId="6F546734" w:rsidR="0038656E" w:rsidRDefault="002D14BB" w:rsidP="0038656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38656E" w14:paraId="2620D247" w14:textId="77777777" w:rsidTr="0038656E">
        <w:tc>
          <w:tcPr>
            <w:tcW w:w="1803" w:type="dxa"/>
          </w:tcPr>
          <w:p w14:paraId="201E2DE9" w14:textId="56B9C5BF" w:rsidR="0038656E" w:rsidRDefault="002D14BB" w:rsidP="0038656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Broj uređenih zgrada u vlasništvu općine</w:t>
            </w:r>
          </w:p>
        </w:tc>
        <w:tc>
          <w:tcPr>
            <w:tcW w:w="1803" w:type="dxa"/>
          </w:tcPr>
          <w:p w14:paraId="40D40CB3" w14:textId="718FF430" w:rsidR="0038656E" w:rsidRDefault="002D14BB" w:rsidP="0038656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803" w:type="dxa"/>
          </w:tcPr>
          <w:p w14:paraId="21F80CB1" w14:textId="5A1E681A" w:rsidR="0038656E" w:rsidRDefault="002D14BB" w:rsidP="0038656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803" w:type="dxa"/>
          </w:tcPr>
          <w:p w14:paraId="440B97BA" w14:textId="5B8CA541" w:rsidR="0038656E" w:rsidRDefault="002D14BB" w:rsidP="0038656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804" w:type="dxa"/>
          </w:tcPr>
          <w:p w14:paraId="0BC8819B" w14:textId="3DAC9976" w:rsidR="0038656E" w:rsidRDefault="002D14BB" w:rsidP="0038656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</w:tbl>
    <w:p w14:paraId="23AC83A2" w14:textId="77777777" w:rsidR="00801F19" w:rsidRDefault="00FE7C9C" w:rsidP="00386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</w:p>
    <w:p w14:paraId="042AAB00" w14:textId="3BB42140" w:rsidR="00801F19" w:rsidRDefault="00001918" w:rsidP="00386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Projekt Zgrada za potrebe primarne zdravstvene zaštite planiran je unutar m</w:t>
      </w:r>
      <w:r w:rsidR="001D39DA" w:rsidRPr="001D39D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jer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</w:t>
      </w:r>
      <w:r w:rsidR="001D39DA" w:rsidRPr="001D39D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Razvoj zdravstvene infrastrukture, dostupnost i razvoj zdravstvenih usluga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a koja se </w:t>
      </w:r>
      <w:r w:rsidR="001D39DA" w:rsidRPr="001D39D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odnosi se na smanjenje broja oboljelih osoba, pad stope bolovanja, invaliditeta te smanjenje smrtnosti stanovništva.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navedeni projekt su planirana sredstva u svoti od 14.300 eura, a odnose se na troškove održavanja zgrade primarne zdravstvene zaštite te izradu projektne dokumentacije uređenja kata zgrade.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D39DA" w14:paraId="5F17AB8B" w14:textId="77777777" w:rsidTr="00B04E52">
        <w:tc>
          <w:tcPr>
            <w:tcW w:w="1803" w:type="dxa"/>
            <w:shd w:val="clear" w:color="auto" w:fill="D9D9D9" w:themeFill="background1" w:themeFillShade="D9"/>
          </w:tcPr>
          <w:p w14:paraId="497B12D9" w14:textId="77777777" w:rsidR="001D39DA" w:rsidRDefault="001D39DA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Indikator uspješnosti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118EDF9C" w14:textId="77777777" w:rsidR="001D39DA" w:rsidRDefault="001D39DA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Početna vrijednost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31250FCE" w14:textId="77777777" w:rsidR="001D39DA" w:rsidRDefault="001D39DA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2023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75DC2B26" w14:textId="77777777" w:rsidR="001D39DA" w:rsidRDefault="001D39DA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2024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1A703E6D" w14:textId="03CD00D9" w:rsidR="001D39DA" w:rsidRDefault="001D39DA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1D39DA" w14:paraId="450BABCB" w14:textId="77777777" w:rsidTr="00B04E52">
        <w:tc>
          <w:tcPr>
            <w:tcW w:w="1803" w:type="dxa"/>
          </w:tcPr>
          <w:p w14:paraId="2A1CEC6F" w14:textId="4C4C6588" w:rsidR="001D39DA" w:rsidRDefault="001D39D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D39D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Broj izgrađenih ili opremljenih objekata primarne </w:t>
            </w:r>
            <w:r w:rsidRPr="001D39D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zdravstvene zaštite</w:t>
            </w:r>
          </w:p>
        </w:tc>
        <w:tc>
          <w:tcPr>
            <w:tcW w:w="1803" w:type="dxa"/>
          </w:tcPr>
          <w:p w14:paraId="32A7183F" w14:textId="29E0037A" w:rsidR="001D39DA" w:rsidRDefault="001D39D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1</w:t>
            </w:r>
          </w:p>
        </w:tc>
        <w:tc>
          <w:tcPr>
            <w:tcW w:w="1803" w:type="dxa"/>
          </w:tcPr>
          <w:p w14:paraId="4F59EC06" w14:textId="11F21678" w:rsidR="001D39DA" w:rsidRDefault="001D39D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803" w:type="dxa"/>
          </w:tcPr>
          <w:p w14:paraId="47C0726E" w14:textId="0F54C773" w:rsidR="001D39DA" w:rsidRDefault="001D39D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804" w:type="dxa"/>
          </w:tcPr>
          <w:p w14:paraId="3CF2AE0B" w14:textId="42742FB0" w:rsidR="001D39DA" w:rsidRDefault="001D39D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</w:tbl>
    <w:p w14:paraId="2D18B7F7" w14:textId="2E7FFA48" w:rsidR="00801F19" w:rsidRDefault="00801F19" w:rsidP="00386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0D3E16BB" w14:textId="1B2361BF" w:rsidR="00001918" w:rsidRDefault="00001918" w:rsidP="000019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070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Katastarske izmjere mjera je koja doprinosi realizaciji posebnog cilja uređivanjem sustava prostornog planiranja. Uključuje provedbu kapitalnog projekta Geodetsko-katastarska izmjera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koju su planirana sredstva u 2023. godini u svoti od 96.500,00 eura.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5"/>
        <w:gridCol w:w="1790"/>
        <w:gridCol w:w="1780"/>
        <w:gridCol w:w="1780"/>
        <w:gridCol w:w="1781"/>
      </w:tblGrid>
      <w:tr w:rsidR="00001918" w14:paraId="7E68E0AC" w14:textId="77777777" w:rsidTr="00B04E52">
        <w:tc>
          <w:tcPr>
            <w:tcW w:w="1885" w:type="dxa"/>
            <w:shd w:val="clear" w:color="auto" w:fill="D9D9D9" w:themeFill="background1" w:themeFillShade="D9"/>
          </w:tcPr>
          <w:p w14:paraId="21FAABF3" w14:textId="77777777" w:rsidR="00001918" w:rsidRDefault="00001918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Indikator uspješnosti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28A33C9B" w14:textId="77777777" w:rsidR="00001918" w:rsidRDefault="00001918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Početna vrijednost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1958CA0C" w14:textId="77777777" w:rsidR="00001918" w:rsidRDefault="00001918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2023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7E4BE9A0" w14:textId="77777777" w:rsidR="00001918" w:rsidRDefault="00001918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2024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414E92F7" w14:textId="77777777" w:rsidR="00001918" w:rsidRDefault="00001918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2025</w:t>
            </w:r>
          </w:p>
        </w:tc>
      </w:tr>
      <w:tr w:rsidR="00001918" w14:paraId="38DEE608" w14:textId="77777777" w:rsidTr="00B04E52">
        <w:tc>
          <w:tcPr>
            <w:tcW w:w="1885" w:type="dxa"/>
          </w:tcPr>
          <w:p w14:paraId="1880299D" w14:textId="77777777" w:rsidR="00001918" w:rsidRDefault="00001918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Broj provedenih katastarskih izmjera</w:t>
            </w:r>
          </w:p>
        </w:tc>
        <w:tc>
          <w:tcPr>
            <w:tcW w:w="1790" w:type="dxa"/>
          </w:tcPr>
          <w:p w14:paraId="07C91AB8" w14:textId="77777777" w:rsidR="00001918" w:rsidRDefault="00001918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80" w:type="dxa"/>
          </w:tcPr>
          <w:p w14:paraId="4912BE8A" w14:textId="77777777" w:rsidR="00001918" w:rsidRDefault="00001918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80" w:type="dxa"/>
          </w:tcPr>
          <w:p w14:paraId="6F2488B9" w14:textId="77777777" w:rsidR="00001918" w:rsidRDefault="00001918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81" w:type="dxa"/>
          </w:tcPr>
          <w:p w14:paraId="679E242E" w14:textId="77777777" w:rsidR="00001918" w:rsidRDefault="00001918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</w:tbl>
    <w:p w14:paraId="384590BF" w14:textId="77777777" w:rsidR="00001918" w:rsidRDefault="00001918" w:rsidP="001D39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AF818FD" w14:textId="1971CD9B" w:rsidR="00001918" w:rsidRDefault="00001918" w:rsidP="000019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</w:t>
      </w:r>
      <w:r w:rsidRPr="00E070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apitaln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</w:t>
      </w:r>
      <w:r w:rsidRPr="00E070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projekt Uređenje društvenog doma u </w:t>
      </w:r>
      <w:proofErr w:type="spellStart"/>
      <w:r w:rsidRPr="00E070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Pofukima</w:t>
      </w:r>
      <w:proofErr w:type="spellEnd"/>
      <w:r w:rsidRPr="00E070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odnosi se na asfaltiranje dvorišta navedenog doma i stručni nadzor. Ovaj projekt je važan</w:t>
      </w:r>
      <w:r w:rsidRPr="00E070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daljnji razvoj pametnih naselja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okviru Mjere Razvoj pametnih naselja.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5"/>
        <w:gridCol w:w="1790"/>
        <w:gridCol w:w="1780"/>
        <w:gridCol w:w="1780"/>
        <w:gridCol w:w="1781"/>
      </w:tblGrid>
      <w:tr w:rsidR="00001918" w14:paraId="2040DAAF" w14:textId="77777777" w:rsidTr="00B04E52">
        <w:tc>
          <w:tcPr>
            <w:tcW w:w="1885" w:type="dxa"/>
            <w:shd w:val="clear" w:color="auto" w:fill="D9D9D9" w:themeFill="background1" w:themeFillShade="D9"/>
          </w:tcPr>
          <w:p w14:paraId="0AE36BCB" w14:textId="77777777" w:rsidR="00001918" w:rsidRDefault="00001918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bookmarkStart w:id="1" w:name="_Hlk121897719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Indikator uspješnosti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51AB01F8" w14:textId="77777777" w:rsidR="00001918" w:rsidRDefault="00001918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Početna vrijednost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28775BEA" w14:textId="77777777" w:rsidR="00001918" w:rsidRDefault="00001918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2023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060DEB2A" w14:textId="77777777" w:rsidR="00001918" w:rsidRDefault="00001918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2024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5F0364DA" w14:textId="77777777" w:rsidR="00001918" w:rsidRDefault="00001918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2025</w:t>
            </w:r>
          </w:p>
        </w:tc>
      </w:tr>
      <w:tr w:rsidR="00001918" w14:paraId="07415DBB" w14:textId="77777777" w:rsidTr="00B04E52">
        <w:tc>
          <w:tcPr>
            <w:tcW w:w="1885" w:type="dxa"/>
          </w:tcPr>
          <w:p w14:paraId="73123D18" w14:textId="77777777" w:rsidR="00001918" w:rsidRDefault="00001918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Broj uređenih objekata društvene namjene</w:t>
            </w:r>
          </w:p>
        </w:tc>
        <w:tc>
          <w:tcPr>
            <w:tcW w:w="1790" w:type="dxa"/>
          </w:tcPr>
          <w:p w14:paraId="1DBEB38A" w14:textId="77777777" w:rsidR="00001918" w:rsidRDefault="00001918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80" w:type="dxa"/>
          </w:tcPr>
          <w:p w14:paraId="37FA6550" w14:textId="77777777" w:rsidR="00001918" w:rsidRDefault="00001918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80" w:type="dxa"/>
          </w:tcPr>
          <w:p w14:paraId="1C0D8009" w14:textId="77777777" w:rsidR="00001918" w:rsidRDefault="00001918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81" w:type="dxa"/>
          </w:tcPr>
          <w:p w14:paraId="4CF5A82B" w14:textId="77777777" w:rsidR="00001918" w:rsidRDefault="00001918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bookmarkEnd w:id="1"/>
    </w:tbl>
    <w:p w14:paraId="5975DD8B" w14:textId="77777777" w:rsidR="00001918" w:rsidRDefault="00001918" w:rsidP="001D39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18EB4030" w14:textId="19C0F8D6" w:rsidR="00001918" w:rsidRDefault="00001918" w:rsidP="001D39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0191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Mjerom Dostupnost domova socijalne skrbi želi se osigurati potrebna infrastruktura za povećanje kapaciteta za smještaj starijih i teško bolesnih osoba. Ova mjera obuhvaća kapitalni projekt Uspostave doma za starije i nemoćne kroz provedbu aktivnosti unaprjeđenje infrastrukture za pružanje socijalne skrbi i zaštite.</w:t>
      </w:r>
    </w:p>
    <w:p w14:paraId="1B16ED55" w14:textId="68DAAA03" w:rsidR="00001918" w:rsidRDefault="00001918" w:rsidP="001D39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2023. godini planirana je izrada projektne dokumentacije izgradnje doma i ishođenje građevinske dozvole.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5"/>
        <w:gridCol w:w="1790"/>
        <w:gridCol w:w="1780"/>
        <w:gridCol w:w="1780"/>
        <w:gridCol w:w="1781"/>
      </w:tblGrid>
      <w:tr w:rsidR="00001918" w14:paraId="4FDDC99D" w14:textId="77777777" w:rsidTr="00B04E52">
        <w:tc>
          <w:tcPr>
            <w:tcW w:w="1885" w:type="dxa"/>
            <w:shd w:val="clear" w:color="auto" w:fill="D9D9D9" w:themeFill="background1" w:themeFillShade="D9"/>
          </w:tcPr>
          <w:p w14:paraId="031E90B2" w14:textId="77777777" w:rsidR="00001918" w:rsidRDefault="00001918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bookmarkStart w:id="2" w:name="_Hlk121899300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Indikator uspješnosti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46A1B53C" w14:textId="77777777" w:rsidR="00001918" w:rsidRDefault="00001918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Početna vrijednost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44B29DF5" w14:textId="77777777" w:rsidR="00001918" w:rsidRDefault="00001918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2023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1362A4B6" w14:textId="77777777" w:rsidR="00001918" w:rsidRDefault="00001918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2024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4A559263" w14:textId="77777777" w:rsidR="00001918" w:rsidRDefault="00001918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2025</w:t>
            </w:r>
          </w:p>
        </w:tc>
      </w:tr>
      <w:tr w:rsidR="00001918" w14:paraId="4191EE07" w14:textId="77777777" w:rsidTr="00B04E52">
        <w:tc>
          <w:tcPr>
            <w:tcW w:w="1885" w:type="dxa"/>
          </w:tcPr>
          <w:p w14:paraId="0A8C6A39" w14:textId="5AA98699" w:rsidR="00001918" w:rsidRDefault="00001918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Broj izrađene projektne dokumentacije i ishođenih građevinskih dozvola</w:t>
            </w:r>
          </w:p>
        </w:tc>
        <w:tc>
          <w:tcPr>
            <w:tcW w:w="1790" w:type="dxa"/>
          </w:tcPr>
          <w:p w14:paraId="47D3CC8C" w14:textId="77777777" w:rsidR="00001918" w:rsidRDefault="00001918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80" w:type="dxa"/>
          </w:tcPr>
          <w:p w14:paraId="235AE769" w14:textId="77777777" w:rsidR="00001918" w:rsidRDefault="00001918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80" w:type="dxa"/>
          </w:tcPr>
          <w:p w14:paraId="716C64BC" w14:textId="5EAB678E" w:rsidR="00001918" w:rsidRDefault="00001918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81" w:type="dxa"/>
          </w:tcPr>
          <w:p w14:paraId="666165F9" w14:textId="418EF1AE" w:rsidR="00001918" w:rsidRDefault="00001918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bookmarkEnd w:id="2"/>
    </w:tbl>
    <w:p w14:paraId="27B92389" w14:textId="77777777" w:rsidR="00001918" w:rsidRDefault="00001918" w:rsidP="001D39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5E34368" w14:textId="77777777" w:rsidR="00001918" w:rsidRDefault="00001918" w:rsidP="001D39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579AB4ED" w14:textId="349D8130" w:rsidR="001D39DA" w:rsidRDefault="001D39DA" w:rsidP="001D39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D39D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Razvoj sustava vodoopskrbe podrazumijeva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sufinanciranje </w:t>
      </w:r>
      <w:r w:rsidRPr="001D39D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izgradnj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 I. faze</w:t>
      </w:r>
      <w:r w:rsidRPr="001D39D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vodovodne mreže </w:t>
      </w:r>
      <w:proofErr w:type="spellStart"/>
      <w:r w:rsidRPr="001D39D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Fajerovec-Nemčevec</w:t>
      </w:r>
      <w:proofErr w:type="spellEnd"/>
      <w:r w:rsidRPr="001D39D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okviru kapitalnog projekta Vodoopskrba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te </w:t>
      </w:r>
      <w:r w:rsidRPr="001D39D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</w:t>
      </w:r>
      <w:r w:rsidRPr="001D39D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ufinanciranje Rekonstrukcije Magistralnog cjevovoda PS Vratno – VS Kalnik – VS </w:t>
      </w:r>
      <w:proofErr w:type="spellStart"/>
      <w:r w:rsidRPr="001D39D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Deklešanec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5"/>
        <w:gridCol w:w="1790"/>
        <w:gridCol w:w="1780"/>
        <w:gridCol w:w="1780"/>
        <w:gridCol w:w="1781"/>
      </w:tblGrid>
      <w:tr w:rsidR="001D39DA" w14:paraId="05E53BE2" w14:textId="77777777" w:rsidTr="00B04E52">
        <w:tc>
          <w:tcPr>
            <w:tcW w:w="1803" w:type="dxa"/>
            <w:shd w:val="clear" w:color="auto" w:fill="D9D9D9" w:themeFill="background1" w:themeFillShade="D9"/>
          </w:tcPr>
          <w:p w14:paraId="66D227E6" w14:textId="77777777" w:rsidR="001D39DA" w:rsidRDefault="001D39DA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Indikator uspješnosti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2751847D" w14:textId="77777777" w:rsidR="001D39DA" w:rsidRDefault="001D39DA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Početna vrijednost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7D547265" w14:textId="77777777" w:rsidR="001D39DA" w:rsidRDefault="001D39DA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2023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2BB5755E" w14:textId="77777777" w:rsidR="001D39DA" w:rsidRDefault="001D39DA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2024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6B64678B" w14:textId="080706A4" w:rsidR="001D39DA" w:rsidRDefault="001D39DA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1D39DA" w14:paraId="39D468ED" w14:textId="77777777" w:rsidTr="00B04E52">
        <w:tc>
          <w:tcPr>
            <w:tcW w:w="1803" w:type="dxa"/>
          </w:tcPr>
          <w:p w14:paraId="4636EE4B" w14:textId="7E0D3E3F" w:rsidR="001D39DA" w:rsidRDefault="001D39D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D39D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Broj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priključaka na vodovodnu mrežu u naseljima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Fajerovec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Nemčevec</w:t>
            </w:r>
            <w:proofErr w:type="spellEnd"/>
          </w:p>
        </w:tc>
        <w:tc>
          <w:tcPr>
            <w:tcW w:w="1803" w:type="dxa"/>
          </w:tcPr>
          <w:p w14:paraId="44609EFE" w14:textId="222696A1" w:rsidR="001D39DA" w:rsidRDefault="001D39D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0</w:t>
            </w:r>
          </w:p>
        </w:tc>
        <w:tc>
          <w:tcPr>
            <w:tcW w:w="1803" w:type="dxa"/>
          </w:tcPr>
          <w:p w14:paraId="49C057C1" w14:textId="2735F3A9" w:rsidR="001D39DA" w:rsidRDefault="001D39D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803" w:type="dxa"/>
          </w:tcPr>
          <w:p w14:paraId="72F36D03" w14:textId="0BE9848B" w:rsidR="001D39DA" w:rsidRDefault="001D39D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804" w:type="dxa"/>
          </w:tcPr>
          <w:p w14:paraId="7FAA0D7D" w14:textId="36A94AFA" w:rsidR="001D39DA" w:rsidRDefault="001D39D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</w:t>
            </w:r>
          </w:p>
        </w:tc>
      </w:tr>
      <w:tr w:rsidR="001D39DA" w14:paraId="4FC97B54" w14:textId="77777777" w:rsidTr="00B04E52">
        <w:tc>
          <w:tcPr>
            <w:tcW w:w="1803" w:type="dxa"/>
          </w:tcPr>
          <w:p w14:paraId="1D795C99" w14:textId="56807841" w:rsidR="001D39DA" w:rsidRPr="001D39DA" w:rsidRDefault="001D39D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Metara rekonstruiranog magistralnog cjevovoda</w:t>
            </w:r>
          </w:p>
        </w:tc>
        <w:tc>
          <w:tcPr>
            <w:tcW w:w="1803" w:type="dxa"/>
          </w:tcPr>
          <w:p w14:paraId="53E21646" w14:textId="19923B72" w:rsidR="001D39DA" w:rsidRDefault="001D39D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803" w:type="dxa"/>
          </w:tcPr>
          <w:p w14:paraId="237D5A37" w14:textId="0B6B573D" w:rsidR="001D39DA" w:rsidRDefault="00E070CF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316</w:t>
            </w:r>
          </w:p>
        </w:tc>
        <w:tc>
          <w:tcPr>
            <w:tcW w:w="1803" w:type="dxa"/>
          </w:tcPr>
          <w:p w14:paraId="1AFAC135" w14:textId="2C4F8427" w:rsidR="001D39DA" w:rsidRDefault="00E070CF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316</w:t>
            </w:r>
          </w:p>
        </w:tc>
        <w:tc>
          <w:tcPr>
            <w:tcW w:w="1804" w:type="dxa"/>
          </w:tcPr>
          <w:p w14:paraId="20D2BDD6" w14:textId="0D302243" w:rsidR="001D39DA" w:rsidRDefault="00E070CF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318</w:t>
            </w:r>
          </w:p>
        </w:tc>
      </w:tr>
    </w:tbl>
    <w:p w14:paraId="1390AAB7" w14:textId="77777777" w:rsidR="00801F19" w:rsidRDefault="00801F19" w:rsidP="00386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3932C3E" w14:textId="3DE96B81" w:rsidR="00801F19" w:rsidRDefault="00801F19" w:rsidP="00386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3ECE168B" w14:textId="3138054E" w:rsidR="00001918" w:rsidRDefault="00CF0679" w:rsidP="00386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Izrada prostornih planova mjera je koja obuhvaća aktivnosti vezane uz prostorno planiranje, točnije aktivnost ažuriranja prostornog plana uređenja Općine Gornja Rijeka.</w:t>
      </w:r>
    </w:p>
    <w:p w14:paraId="4D305D46" w14:textId="36CF9B0D" w:rsidR="00FA72B4" w:rsidRDefault="00FA72B4" w:rsidP="00386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2023. godini za izradu II. Izmjena i dopuna Prostornog plana uređenja Općine Gornja Rijeka planirana su sredstva u svoti 4.000,00 eura.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5"/>
        <w:gridCol w:w="1790"/>
        <w:gridCol w:w="1780"/>
        <w:gridCol w:w="1780"/>
        <w:gridCol w:w="1781"/>
      </w:tblGrid>
      <w:tr w:rsidR="00FA72B4" w14:paraId="4B2C599A" w14:textId="77777777" w:rsidTr="00B04E52">
        <w:tc>
          <w:tcPr>
            <w:tcW w:w="1885" w:type="dxa"/>
            <w:shd w:val="clear" w:color="auto" w:fill="D9D9D9" w:themeFill="background1" w:themeFillShade="D9"/>
          </w:tcPr>
          <w:p w14:paraId="6300EE11" w14:textId="77777777" w:rsidR="00FA72B4" w:rsidRDefault="00FA72B4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Indikator uspješnosti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35B9E3A9" w14:textId="77777777" w:rsidR="00FA72B4" w:rsidRDefault="00FA72B4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Početna vrijednost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375F89EF" w14:textId="77777777" w:rsidR="00FA72B4" w:rsidRDefault="00FA72B4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2023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673B70DC" w14:textId="77777777" w:rsidR="00FA72B4" w:rsidRDefault="00FA72B4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2024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6E659C5C" w14:textId="77777777" w:rsidR="00FA72B4" w:rsidRDefault="00FA72B4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2025</w:t>
            </w:r>
          </w:p>
        </w:tc>
      </w:tr>
      <w:tr w:rsidR="00FA72B4" w14:paraId="253877E7" w14:textId="77777777" w:rsidTr="00B04E52">
        <w:tc>
          <w:tcPr>
            <w:tcW w:w="1885" w:type="dxa"/>
          </w:tcPr>
          <w:p w14:paraId="7F763D3C" w14:textId="62796E66" w:rsidR="00FA72B4" w:rsidRDefault="00FA72B4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Broj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izrađenih ili ažuriranih prostornih planova</w:t>
            </w:r>
          </w:p>
        </w:tc>
        <w:tc>
          <w:tcPr>
            <w:tcW w:w="1790" w:type="dxa"/>
          </w:tcPr>
          <w:p w14:paraId="76183442" w14:textId="620590AE" w:rsidR="00FA72B4" w:rsidRDefault="00FA72B4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80" w:type="dxa"/>
          </w:tcPr>
          <w:p w14:paraId="1999C5C9" w14:textId="77777777" w:rsidR="00FA72B4" w:rsidRDefault="00FA72B4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80" w:type="dxa"/>
          </w:tcPr>
          <w:p w14:paraId="3B456299" w14:textId="77777777" w:rsidR="00FA72B4" w:rsidRDefault="00FA72B4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81" w:type="dxa"/>
          </w:tcPr>
          <w:p w14:paraId="6FE4525C" w14:textId="77777777" w:rsidR="00FA72B4" w:rsidRDefault="00FA72B4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</w:tbl>
    <w:p w14:paraId="557C1784" w14:textId="77777777" w:rsidR="00FA72B4" w:rsidRDefault="00FA72B4" w:rsidP="00386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7A0E945" w14:textId="77777777" w:rsidR="00801F19" w:rsidRDefault="00801F19" w:rsidP="00386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40C69DC4" w14:textId="25E2C6FC" w:rsidR="00E070CF" w:rsidRPr="002D14BB" w:rsidRDefault="002D14BB" w:rsidP="00386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2D14B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Program JAVNE POTREBE U DJELATNOSTI PREDŠKOLSKOG ODGOJA</w:t>
      </w:r>
    </w:p>
    <w:p w14:paraId="07F8871E" w14:textId="64644E02" w:rsidR="002D14BB" w:rsidRDefault="002D14BB" w:rsidP="00386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521884E9" w14:textId="79C8ABA5" w:rsidR="00DE5935" w:rsidRPr="00DE5935" w:rsidRDefault="00DE5935" w:rsidP="00DE5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E593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sklopu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ovog programa</w:t>
      </w:r>
      <w:r w:rsidRPr="00DE593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plan za 2023. je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414.370,00</w:t>
      </w:r>
      <w:r w:rsidRPr="00DE593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eura, s korisnicima Dječjim vrtićem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Mali medo</w:t>
      </w:r>
      <w:r w:rsidRPr="00DE593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kao proračunskim korisnikom (kojemu je osnivač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Općina Gornja Rijeka</w:t>
      </w:r>
      <w:r w:rsidRPr="00DE593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), i sredstvima za njegov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DE593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redovni rad i s programom predškolskog odgoja u ostalim ustanovama u okviru čega se roditeljima sufinancira</w:t>
      </w:r>
      <w:r w:rsidR="009A44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DE593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smještaj djece u te vrtiće.</w:t>
      </w:r>
    </w:p>
    <w:p w14:paraId="6CD3DF4E" w14:textId="5057094E" w:rsidR="009A446F" w:rsidRDefault="009A446F" w:rsidP="00DE5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okviru ovog programa planirana je i dogradnja Dječjeg vrtića Mali medo za jedan dnevni boravak. Unutar ove aktivnosti planira se izrada projektne dokumentacije, ishođenje građevinske dozvole i početak radova. </w:t>
      </w:r>
    </w:p>
    <w:p w14:paraId="360CCAFB" w14:textId="0D5B62E0" w:rsidR="009A446F" w:rsidRDefault="009A446F" w:rsidP="00DE5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Navedene aktivnosti provode se unutar mjere briga o djeci.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5"/>
        <w:gridCol w:w="1790"/>
        <w:gridCol w:w="1780"/>
        <w:gridCol w:w="1780"/>
        <w:gridCol w:w="1781"/>
      </w:tblGrid>
      <w:tr w:rsidR="009A446F" w14:paraId="406F2057" w14:textId="77777777" w:rsidTr="00B04E52">
        <w:tc>
          <w:tcPr>
            <w:tcW w:w="1885" w:type="dxa"/>
            <w:shd w:val="clear" w:color="auto" w:fill="D9D9D9" w:themeFill="background1" w:themeFillShade="D9"/>
          </w:tcPr>
          <w:p w14:paraId="4C0B1CF0" w14:textId="77777777" w:rsidR="009A446F" w:rsidRDefault="009A446F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Indikator uspješnosti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61620112" w14:textId="77777777" w:rsidR="009A446F" w:rsidRDefault="009A446F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Početna vrijednost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07D0003C" w14:textId="77777777" w:rsidR="009A446F" w:rsidRDefault="009A446F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2023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51A5B877" w14:textId="77777777" w:rsidR="009A446F" w:rsidRDefault="009A446F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2024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5DA28FAF" w14:textId="77777777" w:rsidR="009A446F" w:rsidRDefault="009A446F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2025</w:t>
            </w:r>
          </w:p>
        </w:tc>
      </w:tr>
      <w:tr w:rsidR="009A446F" w14:paraId="116F7A7A" w14:textId="77777777" w:rsidTr="009A446F">
        <w:trPr>
          <w:trHeight w:val="886"/>
        </w:trPr>
        <w:tc>
          <w:tcPr>
            <w:tcW w:w="1885" w:type="dxa"/>
          </w:tcPr>
          <w:p w14:paraId="02387570" w14:textId="58862B7B" w:rsidR="009A446F" w:rsidRDefault="009A446F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Ukupan broj upisane djece</w:t>
            </w:r>
          </w:p>
        </w:tc>
        <w:tc>
          <w:tcPr>
            <w:tcW w:w="1790" w:type="dxa"/>
          </w:tcPr>
          <w:p w14:paraId="4AFDF645" w14:textId="299E591D" w:rsidR="009A446F" w:rsidRDefault="009A446F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780" w:type="dxa"/>
          </w:tcPr>
          <w:p w14:paraId="0BDD91D5" w14:textId="4E1EB047" w:rsidR="009A446F" w:rsidRDefault="009A446F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780" w:type="dxa"/>
          </w:tcPr>
          <w:p w14:paraId="4E305DE9" w14:textId="1477B386" w:rsidR="009A446F" w:rsidRDefault="009A446F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1781" w:type="dxa"/>
          </w:tcPr>
          <w:p w14:paraId="308FA310" w14:textId="4F24D2C1" w:rsidR="009A446F" w:rsidRDefault="009A446F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52</w:t>
            </w:r>
          </w:p>
        </w:tc>
      </w:tr>
    </w:tbl>
    <w:p w14:paraId="05ECD5DD" w14:textId="77777777" w:rsidR="009A446F" w:rsidRDefault="009A446F" w:rsidP="00DE5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594288D1" w14:textId="77777777" w:rsidR="009A446F" w:rsidRDefault="009A446F" w:rsidP="00DE59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1398169C" w14:textId="70B1FC32" w:rsidR="00801F19" w:rsidRDefault="009A446F" w:rsidP="00386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2D14B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Program JAVNE POTREBE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U OSNOVNOM ŠKOLSTVU</w:t>
      </w:r>
    </w:p>
    <w:p w14:paraId="7724FFCC" w14:textId="61763C34" w:rsidR="009A446F" w:rsidRDefault="009A446F" w:rsidP="00386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0FF083EA" w14:textId="7935B1E7" w:rsidR="009A446F" w:rsidRDefault="009A446F" w:rsidP="00386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4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Glavne aktivnosti u okviru mjere Razvoj obrazovne infrastrukture i programa u predškolskom, osnovnom, srednjem i visokom školstvu i usklađivanje obrazovnih programa s potrebama tržišta rada odnose se na provedbu školskih programa i aktivnosti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Pr="009A44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1BF6ED98" w14:textId="3D80B5B5" w:rsidR="00FE0BBB" w:rsidRDefault="00FE0BBB" w:rsidP="00386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okviru ovog programa planirana su sredstva u svoti od 11.500,00 eura.</w:t>
      </w:r>
    </w:p>
    <w:p w14:paraId="6C1A7F8A" w14:textId="615291C6" w:rsidR="009A446F" w:rsidRDefault="009A446F" w:rsidP="00386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Aktivnošću Školski programi i aktivnosti planira se pomoć u podmirenju </w:t>
      </w:r>
      <w:r w:rsidR="00FE0B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troškova organizacije natjecanja pri OŠ Sidonije Rubido </w:t>
      </w:r>
      <w:proofErr w:type="spellStart"/>
      <w:r w:rsidR="00FE0B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Erdody</w:t>
      </w:r>
      <w:proofErr w:type="spellEnd"/>
      <w:r w:rsidR="00FE0B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kao i sufinanciranje škole plivanja učenika navedene škole. </w:t>
      </w:r>
    </w:p>
    <w:p w14:paraId="37AF33E5" w14:textId="623A1360" w:rsidR="00FE0BBB" w:rsidRDefault="00FE0BBB" w:rsidP="00386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 xml:space="preserve">Aktivnošću Darovi povodom Svetog Nikole planira se kupnja darova za djecu s područja Općine Gornja Rijeka starosti dvije godine do kraja osmog razreda </w:t>
      </w:r>
      <w:r w:rsidR="00A15C1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vodom blagdana Svetog Nikole.</w:t>
      </w:r>
    </w:p>
    <w:p w14:paraId="6F45B48B" w14:textId="0F0A492B" w:rsidR="00FE0BBB" w:rsidRDefault="00FE0BBB" w:rsidP="00386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Aktivnošću Nagrade za postignute rezultate planira se osiguranje novčanih nagrada i prigodnih zahvalnica za postignute rezultate na prva tri mjesta na županijskim, regionalnim i državnim natjecanjima učenika OŠ Sidonije Rubido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Erdody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njihovih mentora.</w:t>
      </w:r>
    </w:p>
    <w:p w14:paraId="18A5BD48" w14:textId="2AF9C39D" w:rsidR="00FE0BBB" w:rsidRDefault="00FE0BBB" w:rsidP="00386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Aktivnošću nabava edukativnih materijala planira se nabava radnih bilježnica, mapa i ostalih potrebnih materijala za sve učenike OŠ Sidonije Rubido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Erdody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 prebivalištem na području Općine Gornja Rijeka.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5"/>
        <w:gridCol w:w="1790"/>
        <w:gridCol w:w="1780"/>
        <w:gridCol w:w="1780"/>
        <w:gridCol w:w="1781"/>
      </w:tblGrid>
      <w:tr w:rsidR="00A15C12" w14:paraId="4B2EFDFE" w14:textId="77777777" w:rsidTr="00B04E52">
        <w:tc>
          <w:tcPr>
            <w:tcW w:w="1885" w:type="dxa"/>
            <w:shd w:val="clear" w:color="auto" w:fill="D9D9D9" w:themeFill="background1" w:themeFillShade="D9"/>
          </w:tcPr>
          <w:p w14:paraId="75D248B4" w14:textId="77777777" w:rsidR="00FE0BBB" w:rsidRDefault="00FE0BBB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Indikator uspješnosti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1F3C099E" w14:textId="77777777" w:rsidR="00FE0BBB" w:rsidRDefault="00FE0BBB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Početna vrijednost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5D49BF59" w14:textId="77777777" w:rsidR="00FE0BBB" w:rsidRDefault="00FE0BBB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2023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713EA813" w14:textId="77777777" w:rsidR="00FE0BBB" w:rsidRDefault="00FE0BBB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2024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0BC2CC94" w14:textId="77777777" w:rsidR="00FE0BBB" w:rsidRDefault="00FE0BBB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2025</w:t>
            </w:r>
          </w:p>
        </w:tc>
      </w:tr>
      <w:tr w:rsidR="00A15C12" w14:paraId="7931A4D7" w14:textId="77777777" w:rsidTr="00B04E52">
        <w:trPr>
          <w:trHeight w:val="886"/>
        </w:trPr>
        <w:tc>
          <w:tcPr>
            <w:tcW w:w="1885" w:type="dxa"/>
          </w:tcPr>
          <w:p w14:paraId="64D2C3E6" w14:textId="47109A40" w:rsidR="00FE0BBB" w:rsidRDefault="00FE0BBB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Broj organiziranih natjecanja OŠ</w:t>
            </w:r>
          </w:p>
        </w:tc>
        <w:tc>
          <w:tcPr>
            <w:tcW w:w="1790" w:type="dxa"/>
          </w:tcPr>
          <w:p w14:paraId="04B24B77" w14:textId="62FA5ED1" w:rsidR="00FE0BBB" w:rsidRDefault="00FE0BBB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80" w:type="dxa"/>
          </w:tcPr>
          <w:p w14:paraId="4705BFD7" w14:textId="3A146266" w:rsidR="00FE0BBB" w:rsidRDefault="00FE0BBB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80" w:type="dxa"/>
          </w:tcPr>
          <w:p w14:paraId="429D6A01" w14:textId="3B0FC12A" w:rsidR="00FE0BBB" w:rsidRDefault="00FE0BBB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81" w:type="dxa"/>
          </w:tcPr>
          <w:p w14:paraId="2BF88C78" w14:textId="6672477D" w:rsidR="00FE0BBB" w:rsidRDefault="00FE0BBB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A15C12" w14:paraId="2E778ACF" w14:textId="77777777" w:rsidTr="00B04E52">
        <w:trPr>
          <w:trHeight w:val="886"/>
        </w:trPr>
        <w:tc>
          <w:tcPr>
            <w:tcW w:w="1885" w:type="dxa"/>
          </w:tcPr>
          <w:p w14:paraId="6382D7CE" w14:textId="4816D09A" w:rsidR="00FE0BBB" w:rsidRDefault="00FE0BBB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Broj djece </w:t>
            </w:r>
            <w:r w:rsidR="00A15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uključene u školu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plivanj</w:t>
            </w:r>
            <w:r w:rsidR="00A15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790" w:type="dxa"/>
          </w:tcPr>
          <w:p w14:paraId="2D9DF2EC" w14:textId="08A98CD6" w:rsidR="00FE0BBB" w:rsidRDefault="00A15C12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80" w:type="dxa"/>
          </w:tcPr>
          <w:p w14:paraId="1F7D0F98" w14:textId="0B00CAD1" w:rsidR="00FE0BBB" w:rsidRDefault="00A15C12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780" w:type="dxa"/>
          </w:tcPr>
          <w:p w14:paraId="1BCBF51D" w14:textId="70343C20" w:rsidR="00FE0BBB" w:rsidRDefault="00A15C12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781" w:type="dxa"/>
          </w:tcPr>
          <w:p w14:paraId="7A872A88" w14:textId="7E1ADF8A" w:rsidR="00FE0BBB" w:rsidRDefault="00A15C12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  <w:tr w:rsidR="00A15C12" w14:paraId="5440BEDE" w14:textId="77777777" w:rsidTr="00B04E52">
        <w:trPr>
          <w:trHeight w:val="886"/>
        </w:trPr>
        <w:tc>
          <w:tcPr>
            <w:tcW w:w="1885" w:type="dxa"/>
          </w:tcPr>
          <w:p w14:paraId="50FAC70A" w14:textId="438E4D2F" w:rsidR="00FE0BBB" w:rsidRDefault="00FE0BBB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Broj </w:t>
            </w:r>
            <w:r w:rsidR="00A15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darivane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djece </w:t>
            </w:r>
            <w:r w:rsidR="00A15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povodom blagdana Sv. Nikole</w:t>
            </w:r>
          </w:p>
        </w:tc>
        <w:tc>
          <w:tcPr>
            <w:tcW w:w="1790" w:type="dxa"/>
          </w:tcPr>
          <w:p w14:paraId="3FB2ADB0" w14:textId="77777777" w:rsidR="00FE0BBB" w:rsidRDefault="00FE0BBB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80" w:type="dxa"/>
          </w:tcPr>
          <w:p w14:paraId="44BE17B9" w14:textId="77777777" w:rsidR="00FE0BBB" w:rsidRDefault="00FE0BBB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80" w:type="dxa"/>
          </w:tcPr>
          <w:p w14:paraId="4BA0E56E" w14:textId="77777777" w:rsidR="00FE0BBB" w:rsidRDefault="00FE0BBB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81" w:type="dxa"/>
          </w:tcPr>
          <w:p w14:paraId="768E82E7" w14:textId="77777777" w:rsidR="00FE0BBB" w:rsidRDefault="00FE0BBB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15C12" w14:paraId="09CA00D5" w14:textId="77777777" w:rsidTr="00B04E52">
        <w:trPr>
          <w:trHeight w:val="886"/>
        </w:trPr>
        <w:tc>
          <w:tcPr>
            <w:tcW w:w="1885" w:type="dxa"/>
          </w:tcPr>
          <w:p w14:paraId="0B75E1E0" w14:textId="669DC42D" w:rsidR="00FE0BBB" w:rsidRDefault="00FE0BBB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Broj </w:t>
            </w:r>
            <w:r w:rsidR="00A15C1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ostvarenih rezultata na školskim natjecanjima </w:t>
            </w:r>
          </w:p>
        </w:tc>
        <w:tc>
          <w:tcPr>
            <w:tcW w:w="1790" w:type="dxa"/>
          </w:tcPr>
          <w:p w14:paraId="4466F377" w14:textId="1D16B7D7" w:rsidR="00FE0BBB" w:rsidRDefault="00A15C12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80" w:type="dxa"/>
          </w:tcPr>
          <w:p w14:paraId="3C96F2B3" w14:textId="4AEDEC4D" w:rsidR="00FE0BBB" w:rsidRDefault="00A15C12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780" w:type="dxa"/>
          </w:tcPr>
          <w:p w14:paraId="05E98809" w14:textId="205FD046" w:rsidR="00FE0BBB" w:rsidRDefault="00A15C12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781" w:type="dxa"/>
          </w:tcPr>
          <w:p w14:paraId="6B146DED" w14:textId="2F10C02B" w:rsidR="00FE0BBB" w:rsidRDefault="00A15C12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  <w:tr w:rsidR="00A15C12" w14:paraId="44346C9D" w14:textId="77777777" w:rsidTr="00B04E52">
        <w:trPr>
          <w:trHeight w:val="886"/>
        </w:trPr>
        <w:tc>
          <w:tcPr>
            <w:tcW w:w="1885" w:type="dxa"/>
          </w:tcPr>
          <w:p w14:paraId="4B5E8F21" w14:textId="0B70FD14" w:rsidR="00FE0BBB" w:rsidRDefault="00A15C12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Broj djece radne bilježnice</w:t>
            </w:r>
          </w:p>
        </w:tc>
        <w:tc>
          <w:tcPr>
            <w:tcW w:w="1790" w:type="dxa"/>
          </w:tcPr>
          <w:p w14:paraId="05A5D460" w14:textId="7F1ED59F" w:rsidR="00FE0BBB" w:rsidRDefault="00A15C12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80" w:type="dxa"/>
          </w:tcPr>
          <w:p w14:paraId="45D1078B" w14:textId="58FCFE81" w:rsidR="00FE0BBB" w:rsidRDefault="00A15C12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110</w:t>
            </w:r>
          </w:p>
        </w:tc>
        <w:tc>
          <w:tcPr>
            <w:tcW w:w="1780" w:type="dxa"/>
          </w:tcPr>
          <w:p w14:paraId="7F1B40D3" w14:textId="3C5809A0" w:rsidR="00FE0BBB" w:rsidRDefault="00A15C12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110</w:t>
            </w:r>
          </w:p>
        </w:tc>
        <w:tc>
          <w:tcPr>
            <w:tcW w:w="1781" w:type="dxa"/>
          </w:tcPr>
          <w:p w14:paraId="5392DCFB" w14:textId="7E99DF00" w:rsidR="00FE0BBB" w:rsidRDefault="00A15C12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120</w:t>
            </w:r>
          </w:p>
        </w:tc>
      </w:tr>
    </w:tbl>
    <w:p w14:paraId="4AD219D4" w14:textId="77777777" w:rsidR="00FE0BBB" w:rsidRPr="009A446F" w:rsidRDefault="00FE0BBB" w:rsidP="00386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89BD8A7" w14:textId="77777777" w:rsidR="00801F19" w:rsidRDefault="00801F19" w:rsidP="00386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3F3B6FC" w14:textId="7BEEE124" w:rsidR="00801F19" w:rsidRPr="00A15C12" w:rsidRDefault="00A15C12" w:rsidP="00386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A15C1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Program  JAVNE POTREBE U KULTURI</w:t>
      </w:r>
    </w:p>
    <w:p w14:paraId="3906454F" w14:textId="77777777" w:rsidR="00A15C12" w:rsidRDefault="00A15C12" w:rsidP="00386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466CBE1F" w14:textId="70430612" w:rsidR="00801F19" w:rsidRDefault="00D53F86" w:rsidP="00386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53F8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Mjera Valorizacija i očuvanje kulturno povijesnih vrijednosti i poticanje razvoja kulturnog stvaralaštva odnosi se na poticanje kulturno umjetničkog amaterizma i manifestacija, sufinanciranje ustanova u kulturi, kao i realizaciju planiranih projekata kroz promicanje kulture i kulturnih sadržaja.</w:t>
      </w:r>
    </w:p>
    <w:p w14:paraId="564CE456" w14:textId="78A7D55C" w:rsidR="00D53F86" w:rsidRDefault="00D53F86" w:rsidP="00386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bookmarkStart w:id="3" w:name="_Hlk121903410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okviru ovog programa u 2023. godini planirana sredstva u svoti od 35.200,00 eura.</w:t>
      </w:r>
    </w:p>
    <w:bookmarkEnd w:id="3"/>
    <w:p w14:paraId="20B4BD8E" w14:textId="52B56103" w:rsidR="002C7FE3" w:rsidRDefault="002C7FE3" w:rsidP="00386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Aktivnost poticanje kulturno umjetničkog amaterizma i manifestacija odnosi se na </w:t>
      </w:r>
      <w:r w:rsidRPr="002C7FE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poticanje kulturnog rada i stvaralaštva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radom udruga</w:t>
      </w:r>
      <w:r w:rsidRPr="002C7FE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koje će pridonijeti razvitku i promicanju kulturnog života Općine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2132D79B" w14:textId="30BEBF11" w:rsidR="002C7FE3" w:rsidRDefault="00D53F86" w:rsidP="00386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Aktivnost Ustanova u kulturi odnosi se na Općinsku knjižnicu Sidonije Rubido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Erdody</w:t>
      </w:r>
      <w:proofErr w:type="spellEnd"/>
      <w:r w:rsidR="002C7FE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koja je u procesu zatvaranja. </w:t>
      </w:r>
    </w:p>
    <w:p w14:paraId="59B12DD8" w14:textId="077B6815" w:rsidR="00D53F86" w:rsidRDefault="002C7FE3" w:rsidP="00386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Aktivnost Mali Kalnik odnosi se na nastavak zaštitnih radova na kulturnom objektu Stari Grad Mali Kalnik, a za čiju su realizaciju</w:t>
      </w:r>
      <w:r w:rsidR="00D53F8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očekuje pozitivna odluka Ministarstva kulture.</w:t>
      </w:r>
    </w:p>
    <w:p w14:paraId="24549A5D" w14:textId="50C63D70" w:rsidR="002C7FE3" w:rsidRDefault="002C7FE3" w:rsidP="00386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Aktivnost Etno park odnosi se na radove popravka ograde na objektu Etno parka u naselju Kostanjevec Riječki.</w:t>
      </w:r>
    </w:p>
    <w:p w14:paraId="602FD634" w14:textId="5EA276D6" w:rsidR="002C7FE3" w:rsidRDefault="002C7FE3" w:rsidP="00386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Aktivnost Župa Uznesenja BDM odnosi se na </w:t>
      </w:r>
      <w:r w:rsidRPr="002C7FE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očuvanje kulturne i sakralne baštine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5"/>
        <w:gridCol w:w="1790"/>
        <w:gridCol w:w="1780"/>
        <w:gridCol w:w="1780"/>
        <w:gridCol w:w="1781"/>
      </w:tblGrid>
      <w:tr w:rsidR="002C7FE3" w14:paraId="3D6861D3" w14:textId="77777777" w:rsidTr="00B04E52">
        <w:tc>
          <w:tcPr>
            <w:tcW w:w="1885" w:type="dxa"/>
            <w:shd w:val="clear" w:color="auto" w:fill="D9D9D9" w:themeFill="background1" w:themeFillShade="D9"/>
          </w:tcPr>
          <w:p w14:paraId="167400EB" w14:textId="77777777" w:rsidR="002C7FE3" w:rsidRDefault="002C7FE3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Indikator uspješnosti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7B53FAE1" w14:textId="77777777" w:rsidR="002C7FE3" w:rsidRDefault="002C7FE3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Početna vrijednost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5FCC7CD4" w14:textId="77777777" w:rsidR="002C7FE3" w:rsidRDefault="002C7FE3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2023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42DDAADB" w14:textId="77777777" w:rsidR="002C7FE3" w:rsidRDefault="002C7FE3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2024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4CF0653B" w14:textId="77777777" w:rsidR="002C7FE3" w:rsidRDefault="002C7FE3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2025</w:t>
            </w:r>
          </w:p>
        </w:tc>
      </w:tr>
      <w:tr w:rsidR="002C7FE3" w14:paraId="6EBF0027" w14:textId="77777777" w:rsidTr="00B04E52">
        <w:trPr>
          <w:trHeight w:val="886"/>
        </w:trPr>
        <w:tc>
          <w:tcPr>
            <w:tcW w:w="1885" w:type="dxa"/>
          </w:tcPr>
          <w:p w14:paraId="687DA9E0" w14:textId="23B89A50" w:rsidR="002C7FE3" w:rsidRDefault="002C7FE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Broj organiziranih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manifestacija</w:t>
            </w:r>
          </w:p>
        </w:tc>
        <w:tc>
          <w:tcPr>
            <w:tcW w:w="1790" w:type="dxa"/>
          </w:tcPr>
          <w:p w14:paraId="37EAE87E" w14:textId="77777777" w:rsidR="002C7FE3" w:rsidRDefault="002C7FE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80" w:type="dxa"/>
          </w:tcPr>
          <w:p w14:paraId="49E5F5C0" w14:textId="5DE41FDD" w:rsidR="002C7FE3" w:rsidRDefault="002C7FE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80" w:type="dxa"/>
          </w:tcPr>
          <w:p w14:paraId="1611A7A3" w14:textId="169052E1" w:rsidR="002C7FE3" w:rsidRDefault="002C7FE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81" w:type="dxa"/>
          </w:tcPr>
          <w:p w14:paraId="3E58C65F" w14:textId="77777777" w:rsidR="002C7FE3" w:rsidRDefault="002C7FE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2C7FE3" w14:paraId="4B7D3B1F" w14:textId="77777777" w:rsidTr="00B04E52">
        <w:trPr>
          <w:trHeight w:val="886"/>
        </w:trPr>
        <w:tc>
          <w:tcPr>
            <w:tcW w:w="1885" w:type="dxa"/>
          </w:tcPr>
          <w:p w14:paraId="3075C99C" w14:textId="08EF6D0D" w:rsidR="002C7FE3" w:rsidRDefault="002C7FE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Rad kulturne ustanove</w:t>
            </w:r>
          </w:p>
        </w:tc>
        <w:tc>
          <w:tcPr>
            <w:tcW w:w="1790" w:type="dxa"/>
          </w:tcPr>
          <w:p w14:paraId="31C43FD0" w14:textId="347DD059" w:rsidR="002C7FE3" w:rsidRDefault="002C7FE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80" w:type="dxa"/>
          </w:tcPr>
          <w:p w14:paraId="50D0D5BE" w14:textId="5145D549" w:rsidR="002C7FE3" w:rsidRDefault="002C7FE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80" w:type="dxa"/>
          </w:tcPr>
          <w:p w14:paraId="76A4C94A" w14:textId="67833080" w:rsidR="002C7FE3" w:rsidRDefault="002C7FE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81" w:type="dxa"/>
          </w:tcPr>
          <w:p w14:paraId="2ACB11F9" w14:textId="01430411" w:rsidR="002C7FE3" w:rsidRDefault="002C7FE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2C7FE3" w14:paraId="06001498" w14:textId="77777777" w:rsidTr="00B04E52">
        <w:trPr>
          <w:trHeight w:val="886"/>
        </w:trPr>
        <w:tc>
          <w:tcPr>
            <w:tcW w:w="1885" w:type="dxa"/>
          </w:tcPr>
          <w:p w14:paraId="1E5200E9" w14:textId="4DA96F44" w:rsidR="002C7FE3" w:rsidRDefault="002C7FE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Broj izvedenih radova na kulturnim objektima</w:t>
            </w:r>
          </w:p>
        </w:tc>
        <w:tc>
          <w:tcPr>
            <w:tcW w:w="1790" w:type="dxa"/>
          </w:tcPr>
          <w:p w14:paraId="4AF9ACA8" w14:textId="6E29A04E" w:rsidR="002C7FE3" w:rsidRDefault="002C7FE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80" w:type="dxa"/>
          </w:tcPr>
          <w:p w14:paraId="676183D8" w14:textId="768E6478" w:rsidR="002C7FE3" w:rsidRDefault="002C7FE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80" w:type="dxa"/>
          </w:tcPr>
          <w:p w14:paraId="230BD501" w14:textId="32CC60B6" w:rsidR="002C7FE3" w:rsidRDefault="002C7FE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81" w:type="dxa"/>
          </w:tcPr>
          <w:p w14:paraId="17F7518C" w14:textId="65A6FA2F" w:rsidR="002C7FE3" w:rsidRDefault="002C7FE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2C7FE3" w14:paraId="2AFDB966" w14:textId="77777777" w:rsidTr="00B04E52">
        <w:trPr>
          <w:trHeight w:val="886"/>
        </w:trPr>
        <w:tc>
          <w:tcPr>
            <w:tcW w:w="1885" w:type="dxa"/>
          </w:tcPr>
          <w:p w14:paraId="4C22CF8E" w14:textId="4D5FB692" w:rsidR="002C7FE3" w:rsidRDefault="002C7FE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1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Broj </w:t>
            </w:r>
            <w:r w:rsidR="00931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sufinanciranih aktivnosti župe</w:t>
            </w:r>
          </w:p>
        </w:tc>
        <w:tc>
          <w:tcPr>
            <w:tcW w:w="1790" w:type="dxa"/>
          </w:tcPr>
          <w:p w14:paraId="6E81473C" w14:textId="4C8487B6" w:rsidR="002C7FE3" w:rsidRDefault="0093154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80" w:type="dxa"/>
          </w:tcPr>
          <w:p w14:paraId="7096C207" w14:textId="497C4B77" w:rsidR="002C7FE3" w:rsidRDefault="002C7FE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80" w:type="dxa"/>
          </w:tcPr>
          <w:p w14:paraId="629E82D9" w14:textId="4067E72D" w:rsidR="002C7FE3" w:rsidRDefault="002C7FE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81" w:type="dxa"/>
          </w:tcPr>
          <w:p w14:paraId="760EA5DB" w14:textId="6D1C861B" w:rsidR="002C7FE3" w:rsidRDefault="002C7FE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</w:tbl>
    <w:p w14:paraId="19B5E90E" w14:textId="10E80970" w:rsidR="002C7FE3" w:rsidRDefault="002C7FE3" w:rsidP="00386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9111E97" w14:textId="77777777" w:rsidR="00366949" w:rsidRDefault="00366949" w:rsidP="00386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5F2F2524" w14:textId="4ACB01CE" w:rsidR="00801F19" w:rsidRPr="00366949" w:rsidRDefault="00366949" w:rsidP="00386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366949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Program JAVNE POTREBE U SPORTU</w:t>
      </w:r>
    </w:p>
    <w:p w14:paraId="54DB1C1A" w14:textId="77777777" w:rsidR="00FE7C9C" w:rsidRPr="00FF2ED0" w:rsidRDefault="00FE7C9C" w:rsidP="00FE7C9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4D1F313" w14:textId="11156643" w:rsidR="00FE7C9C" w:rsidRPr="00DD0D41" w:rsidRDefault="00366949" w:rsidP="003669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669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Mjera Osnaživanje sporta odnosi se na aktivnosti Poticanje razvoja amaterskog sporta i rekreacije kroz dodjelu potpora te unaprjeđenje dostupnosti sportsko rekreacijskih sadržaja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te </w:t>
      </w:r>
      <w:r w:rsidRPr="003669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kroz re</w:t>
      </w:r>
      <w:r w:rsidR="00F96D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Pr="003669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lizaciju kapitalnog projekta Sportsko rekreacijska građevina.</w:t>
      </w:r>
    </w:p>
    <w:p w14:paraId="356713BE" w14:textId="7FBBC8AE" w:rsidR="00FE7C9C" w:rsidRDefault="00F96D69" w:rsidP="00F96D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F96D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okviru ovog programa u 2023. godini planirana sredstva u svoti od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140</w:t>
      </w:r>
      <w:r w:rsidRPr="00F96D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</w:t>
      </w:r>
      <w:r w:rsidRPr="00F96D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00,00 eura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620EC946" w14:textId="6F88E644" w:rsidR="00F96D69" w:rsidRDefault="00F96D69" w:rsidP="00F96D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F96D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Planom se u dijelu Poticanje razvoja amaterskog sporta i rekreacije</w:t>
      </w:r>
      <w:r w:rsidRPr="00F96D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F96D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nastoji poticati i promicati sportsko-rekreacijske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F96D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aktivnosti, osobito djece i mladeži, osigurati uvjete za provođenje treninga, organiziranje i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F96D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provođenje natjecanja, poticati takve aktivnosti građanstva, kao i druge sportsko-rekreacijske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F96D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aktivnosti koje su u funkciji unaprjeđenja i čuvanja zdravlja i podizanja psihofizičkih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F96D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sposobnosti građana i prevenciji bolesti, te promicanja bavljenja sportom općenito.</w:t>
      </w:r>
    </w:p>
    <w:p w14:paraId="71F6BBC1" w14:textId="10FF261B" w:rsidR="00F96D69" w:rsidRDefault="00F96D69" w:rsidP="00F96D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Aktivnošću sportsko rekreacijska građevina planira se I. faza izgradnje objekta sportsko rekreacijske namjene u naselju Gornja Rijeka.</w:t>
      </w:r>
    </w:p>
    <w:p w14:paraId="2765839F" w14:textId="77777777" w:rsidR="00F96D69" w:rsidRPr="00DD0D41" w:rsidRDefault="00F96D69" w:rsidP="00F96D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5"/>
        <w:gridCol w:w="1790"/>
        <w:gridCol w:w="1780"/>
        <w:gridCol w:w="1780"/>
        <w:gridCol w:w="1781"/>
      </w:tblGrid>
      <w:tr w:rsidR="00F96D69" w14:paraId="5154BCDA" w14:textId="77777777" w:rsidTr="00B04E52">
        <w:tc>
          <w:tcPr>
            <w:tcW w:w="1885" w:type="dxa"/>
            <w:shd w:val="clear" w:color="auto" w:fill="D9D9D9" w:themeFill="background1" w:themeFillShade="D9"/>
          </w:tcPr>
          <w:p w14:paraId="2EC5E342" w14:textId="77777777" w:rsidR="00F96D69" w:rsidRDefault="00F96D69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Indikator uspješnosti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78AC1D6F" w14:textId="77777777" w:rsidR="00F96D69" w:rsidRDefault="00F96D69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Početna vrijednost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7DF22FF2" w14:textId="77777777" w:rsidR="00F96D69" w:rsidRDefault="00F96D69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2023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4F26443C" w14:textId="77777777" w:rsidR="00F96D69" w:rsidRDefault="00F96D69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2024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0A148C3D" w14:textId="77777777" w:rsidR="00F96D69" w:rsidRDefault="00F96D69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2025</w:t>
            </w:r>
          </w:p>
        </w:tc>
      </w:tr>
      <w:tr w:rsidR="00F96D69" w14:paraId="37FAC00E" w14:textId="77777777" w:rsidTr="00B04E52">
        <w:trPr>
          <w:trHeight w:val="886"/>
        </w:trPr>
        <w:tc>
          <w:tcPr>
            <w:tcW w:w="1885" w:type="dxa"/>
          </w:tcPr>
          <w:p w14:paraId="3402D129" w14:textId="16AB52EC" w:rsidR="00F96D69" w:rsidRPr="00F96D69" w:rsidRDefault="00F96D69" w:rsidP="00F96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9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Broj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sufinanciranih </w:t>
            </w:r>
            <w:r w:rsidRPr="00F9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udruga iz</w:t>
            </w:r>
          </w:p>
          <w:p w14:paraId="6B1EEA28" w14:textId="77777777" w:rsidR="00F96D69" w:rsidRPr="00F96D69" w:rsidRDefault="00F96D69" w:rsidP="00F96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9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područja sporta i</w:t>
            </w:r>
          </w:p>
          <w:p w14:paraId="1C09FFB0" w14:textId="481995A6" w:rsidR="00F96D69" w:rsidRDefault="00F96D69" w:rsidP="00F96D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9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rekreacije </w:t>
            </w:r>
          </w:p>
          <w:p w14:paraId="3ADDD5FB" w14:textId="2C7E0AB2" w:rsidR="00F96D69" w:rsidRDefault="00F96D69" w:rsidP="00F96D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90" w:type="dxa"/>
          </w:tcPr>
          <w:p w14:paraId="6B66CF67" w14:textId="77777777" w:rsidR="00F96D69" w:rsidRDefault="00F96D69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80" w:type="dxa"/>
          </w:tcPr>
          <w:p w14:paraId="622F9EB9" w14:textId="2B4F0D11" w:rsidR="00F96D69" w:rsidRDefault="00F96D69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80" w:type="dxa"/>
          </w:tcPr>
          <w:p w14:paraId="57E9063B" w14:textId="12B518CD" w:rsidR="00F96D69" w:rsidRDefault="00F96D69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81" w:type="dxa"/>
          </w:tcPr>
          <w:p w14:paraId="21A0FC46" w14:textId="488518DC" w:rsidR="00F96D69" w:rsidRDefault="00F96D69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F96D69" w14:paraId="6F4B350A" w14:textId="77777777" w:rsidTr="00B04E52">
        <w:trPr>
          <w:trHeight w:val="886"/>
        </w:trPr>
        <w:tc>
          <w:tcPr>
            <w:tcW w:w="1885" w:type="dxa"/>
          </w:tcPr>
          <w:p w14:paraId="29A69C86" w14:textId="5EA25D30" w:rsidR="00F96D69" w:rsidRDefault="00F96D69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9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Broj novoizgrađenih sportsko rekreacijskih objekata</w:t>
            </w:r>
          </w:p>
        </w:tc>
        <w:tc>
          <w:tcPr>
            <w:tcW w:w="1790" w:type="dxa"/>
          </w:tcPr>
          <w:p w14:paraId="77CF866F" w14:textId="7F2D3F86" w:rsidR="00F96D69" w:rsidRDefault="00F96D69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80" w:type="dxa"/>
          </w:tcPr>
          <w:p w14:paraId="6F6554A5" w14:textId="216B33E7" w:rsidR="00F96D69" w:rsidRDefault="00F96D69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80" w:type="dxa"/>
          </w:tcPr>
          <w:p w14:paraId="1D6D35C1" w14:textId="741B1EB5" w:rsidR="00F96D69" w:rsidRDefault="00F96D69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81" w:type="dxa"/>
          </w:tcPr>
          <w:p w14:paraId="01B3F1AD" w14:textId="7E33F54C" w:rsidR="00F96D69" w:rsidRDefault="00F96D69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</w:tbl>
    <w:p w14:paraId="4E6D32F8" w14:textId="77777777" w:rsidR="00FE7C9C" w:rsidRPr="00DD0D41" w:rsidRDefault="00FE7C9C" w:rsidP="00FE7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1B6EC736" w14:textId="35111DFC" w:rsidR="00FE7C9C" w:rsidRDefault="00FE7C9C" w:rsidP="00FE7C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CB82B7B" w14:textId="77777777" w:rsidR="00F96D69" w:rsidRDefault="00F96D69" w:rsidP="00FE7C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03DD309F" w14:textId="7068ECD7" w:rsidR="00FE7C9C" w:rsidRDefault="00F96D69" w:rsidP="00FE7C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F96D69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lastRenderedPageBreak/>
        <w:t>Program ZDRAVSTVO I SOCIJALNA SKRB</w:t>
      </w:r>
    </w:p>
    <w:p w14:paraId="0452E853" w14:textId="7BA76123" w:rsidR="00F96D69" w:rsidRDefault="00F96D69" w:rsidP="00FE7C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1AE7147C" w14:textId="6398E215" w:rsidR="00B313C1" w:rsidRDefault="00B313C1" w:rsidP="00B313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13C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Poticanje demografske obnove i zadržavanje postojećeg stanovništva obuhvaća sufinanciranje prehrane učenika i pomoći za novorođenčad kroz aktivnost provedb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</w:t>
      </w:r>
      <w:r w:rsidRPr="00B313C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mjera pronatalitetne politike.</w:t>
      </w:r>
    </w:p>
    <w:p w14:paraId="0CE3BE14" w14:textId="386BCEBE" w:rsidR="00B313C1" w:rsidRPr="00B313C1" w:rsidRDefault="00B313C1" w:rsidP="00B313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13C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Socijalno uključivanje ranjivih skupina i podizanje svijesti o mogućnostima razvoja </w:t>
      </w:r>
    </w:p>
    <w:p w14:paraId="5F466344" w14:textId="165E63FB" w:rsidR="00F96D69" w:rsidRDefault="00B313C1" w:rsidP="00B313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13C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socijalnog poduzetništva mjera je kojom se pruža socijalna skrb osjetljivim skupinama, a uključuje aktivnost sufinanciranje troškova </w:t>
      </w:r>
      <w:proofErr w:type="spellStart"/>
      <w:r w:rsidRPr="00B313C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gerontodomaćica</w:t>
      </w:r>
      <w:proofErr w:type="spellEnd"/>
      <w:r w:rsidRPr="00B313C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kroz osiguravanje socijalne usluge pomoći za starije i nemoćne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te podmirenje troškova stanovanja korisnicima pomoći za uzdržavanje.</w:t>
      </w:r>
    </w:p>
    <w:p w14:paraId="0063D9FE" w14:textId="52477F21" w:rsidR="00B313C1" w:rsidRDefault="00B313C1" w:rsidP="00B313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13C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Mjera Razvoj zdravstvene infrastrukture, dostupnost i razvoj zdravstvenih usluga odnosi se na smanjenje broja oboljelih osoba, pad stope bolovanja, invaliditeta te smanjenje smrtnosti stanovništva. Ova mjera uključuje realizaciju aktivnosti sufinanciranja dežurstva ljekarni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1BE4E876" w14:textId="21D171BB" w:rsidR="00B313C1" w:rsidRDefault="00B313C1" w:rsidP="00B313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Aktivnost Socijalne udruge odnosi se na financiranje programa i projekata udruga iz područja s</w:t>
      </w:r>
      <w:r w:rsidRPr="00B313C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ocijalna i zdravstvena skrb i humanitarne djelatnosti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putem javnog natječaja.</w:t>
      </w:r>
    </w:p>
    <w:p w14:paraId="7B04D0E5" w14:textId="2F379AA4" w:rsidR="0021513E" w:rsidRDefault="0021513E" w:rsidP="00B313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Aktivnost Ljekarna Križevci odnosi se na sufinanciranje dežurstva Ljekarne Križevci.</w:t>
      </w:r>
    </w:p>
    <w:p w14:paraId="27D61768" w14:textId="63067B2A" w:rsidR="00B313C1" w:rsidRDefault="00B313C1" w:rsidP="00B313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okviru ovog programa </w:t>
      </w:r>
      <w:r w:rsidRPr="00B313C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2023. godini planirana sredstva u svoti od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29.470,00</w:t>
      </w:r>
      <w:r w:rsidRPr="00B313C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eura.</w:t>
      </w:r>
    </w:p>
    <w:p w14:paraId="0AAFDFCA" w14:textId="18290095" w:rsidR="00B313C1" w:rsidRDefault="00B313C1" w:rsidP="00B313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5"/>
        <w:gridCol w:w="1790"/>
        <w:gridCol w:w="1780"/>
        <w:gridCol w:w="1780"/>
        <w:gridCol w:w="1781"/>
      </w:tblGrid>
      <w:tr w:rsidR="00B313C1" w14:paraId="0E8C4B5C" w14:textId="77777777" w:rsidTr="00B04E52">
        <w:tc>
          <w:tcPr>
            <w:tcW w:w="1885" w:type="dxa"/>
            <w:shd w:val="clear" w:color="auto" w:fill="D9D9D9" w:themeFill="background1" w:themeFillShade="D9"/>
          </w:tcPr>
          <w:p w14:paraId="1EC085B5" w14:textId="77777777" w:rsidR="00B313C1" w:rsidRDefault="00B313C1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Indikator uspješnosti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5AD633F7" w14:textId="77777777" w:rsidR="00B313C1" w:rsidRDefault="00B313C1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Početna vrijednost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669461F2" w14:textId="77777777" w:rsidR="00B313C1" w:rsidRDefault="00B313C1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2023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657E6B3C" w14:textId="77777777" w:rsidR="00B313C1" w:rsidRDefault="00B313C1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2024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3DE4D355" w14:textId="77777777" w:rsidR="00B313C1" w:rsidRDefault="00B313C1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2025</w:t>
            </w:r>
          </w:p>
        </w:tc>
      </w:tr>
      <w:tr w:rsidR="00B313C1" w14:paraId="5464A81F" w14:textId="77777777" w:rsidTr="00B04E52">
        <w:trPr>
          <w:trHeight w:val="886"/>
        </w:trPr>
        <w:tc>
          <w:tcPr>
            <w:tcW w:w="1885" w:type="dxa"/>
          </w:tcPr>
          <w:p w14:paraId="016D5725" w14:textId="6C20F32C" w:rsidR="00B313C1" w:rsidRPr="00B313C1" w:rsidRDefault="00B313C1" w:rsidP="00B313C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Broj djece </w:t>
            </w:r>
            <w:r w:rsidR="0021513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uključene u program sufinanciranja prehrane</w:t>
            </w:r>
          </w:p>
        </w:tc>
        <w:tc>
          <w:tcPr>
            <w:tcW w:w="1790" w:type="dxa"/>
          </w:tcPr>
          <w:p w14:paraId="5AB4D7BE" w14:textId="5D984252" w:rsidR="00B313C1" w:rsidRDefault="0021513E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780" w:type="dxa"/>
          </w:tcPr>
          <w:p w14:paraId="66C581CB" w14:textId="558CEF51" w:rsidR="00B313C1" w:rsidRDefault="0021513E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780" w:type="dxa"/>
          </w:tcPr>
          <w:p w14:paraId="42113205" w14:textId="351DCC7C" w:rsidR="00B313C1" w:rsidRDefault="0021513E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781" w:type="dxa"/>
          </w:tcPr>
          <w:p w14:paraId="28B8CB86" w14:textId="1AB2478C" w:rsidR="00B313C1" w:rsidRDefault="0021513E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  <w:tr w:rsidR="00B313C1" w14:paraId="3167D108" w14:textId="77777777" w:rsidTr="00B04E52">
        <w:trPr>
          <w:trHeight w:val="886"/>
        </w:trPr>
        <w:tc>
          <w:tcPr>
            <w:tcW w:w="1885" w:type="dxa"/>
          </w:tcPr>
          <w:p w14:paraId="61E8D34C" w14:textId="7CC8FB37" w:rsidR="00B313C1" w:rsidRPr="0021513E" w:rsidRDefault="0021513E" w:rsidP="00B313C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1513E">
              <w:rPr>
                <w:rFonts w:ascii="Arial" w:hAnsi="Arial" w:cs="Arial"/>
                <w:sz w:val="24"/>
                <w:szCs w:val="24"/>
              </w:rPr>
              <w:t>Broj korisnika pomoći u pokrivanju troškova stanovanja</w:t>
            </w:r>
          </w:p>
        </w:tc>
        <w:tc>
          <w:tcPr>
            <w:tcW w:w="1790" w:type="dxa"/>
          </w:tcPr>
          <w:p w14:paraId="3BFEEE7D" w14:textId="7E47F853" w:rsidR="00B313C1" w:rsidRPr="00B313C1" w:rsidRDefault="0021513E" w:rsidP="00B313C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780" w:type="dxa"/>
          </w:tcPr>
          <w:p w14:paraId="3E10101F" w14:textId="09052EA8" w:rsidR="00B313C1" w:rsidRPr="00B313C1" w:rsidRDefault="0021513E" w:rsidP="00B313C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780" w:type="dxa"/>
          </w:tcPr>
          <w:p w14:paraId="09473F85" w14:textId="51212B49" w:rsidR="00B313C1" w:rsidRPr="00B313C1" w:rsidRDefault="0021513E" w:rsidP="00B313C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781" w:type="dxa"/>
          </w:tcPr>
          <w:p w14:paraId="0D5C8505" w14:textId="414DCB88" w:rsidR="00B313C1" w:rsidRPr="00B313C1" w:rsidRDefault="0021513E" w:rsidP="00B313C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  <w:tr w:rsidR="0021513E" w14:paraId="4870102A" w14:textId="77777777" w:rsidTr="00B04E52">
        <w:trPr>
          <w:trHeight w:val="886"/>
        </w:trPr>
        <w:tc>
          <w:tcPr>
            <w:tcW w:w="1885" w:type="dxa"/>
          </w:tcPr>
          <w:p w14:paraId="66E53728" w14:textId="5425BD67" w:rsidR="0021513E" w:rsidRPr="0021513E" w:rsidRDefault="0021513E" w:rsidP="00215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13E">
              <w:rPr>
                <w:rFonts w:ascii="Arial" w:hAnsi="Arial" w:cs="Arial"/>
                <w:sz w:val="24"/>
                <w:szCs w:val="24"/>
              </w:rPr>
              <w:t>Broj korisnika pomoći u kući</w:t>
            </w:r>
          </w:p>
        </w:tc>
        <w:tc>
          <w:tcPr>
            <w:tcW w:w="1790" w:type="dxa"/>
          </w:tcPr>
          <w:p w14:paraId="0281F2C5" w14:textId="517C4FB1" w:rsidR="0021513E" w:rsidRDefault="0021513E" w:rsidP="0021513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780" w:type="dxa"/>
          </w:tcPr>
          <w:p w14:paraId="4E4B1EFF" w14:textId="03593492" w:rsidR="0021513E" w:rsidRDefault="0021513E" w:rsidP="0021513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780" w:type="dxa"/>
          </w:tcPr>
          <w:p w14:paraId="32F0F5A8" w14:textId="6329F9B3" w:rsidR="0021513E" w:rsidRDefault="0021513E" w:rsidP="0021513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781" w:type="dxa"/>
          </w:tcPr>
          <w:p w14:paraId="610CF06B" w14:textId="7C92ABB0" w:rsidR="0021513E" w:rsidRDefault="0021513E" w:rsidP="0021513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  <w:tr w:rsidR="00B313C1" w14:paraId="62AF7FEF" w14:textId="77777777" w:rsidTr="00B04E52">
        <w:trPr>
          <w:trHeight w:val="886"/>
        </w:trPr>
        <w:tc>
          <w:tcPr>
            <w:tcW w:w="1885" w:type="dxa"/>
          </w:tcPr>
          <w:p w14:paraId="7700D712" w14:textId="557E45CA" w:rsidR="00B313C1" w:rsidRDefault="00B313C1" w:rsidP="00B313C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B313C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Broj novorođene djece u kalendarskoj godini</w:t>
            </w:r>
          </w:p>
        </w:tc>
        <w:tc>
          <w:tcPr>
            <w:tcW w:w="1790" w:type="dxa"/>
          </w:tcPr>
          <w:p w14:paraId="7647C951" w14:textId="47017329" w:rsidR="00B313C1" w:rsidRDefault="00B313C1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780" w:type="dxa"/>
          </w:tcPr>
          <w:p w14:paraId="3B032B53" w14:textId="6071BE9E" w:rsidR="00B313C1" w:rsidRDefault="00B313C1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780" w:type="dxa"/>
          </w:tcPr>
          <w:p w14:paraId="03A1F595" w14:textId="57E50FBC" w:rsidR="00B313C1" w:rsidRDefault="00B313C1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781" w:type="dxa"/>
          </w:tcPr>
          <w:p w14:paraId="77571437" w14:textId="640A745F" w:rsidR="00B313C1" w:rsidRDefault="00B313C1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21</w:t>
            </w:r>
          </w:p>
        </w:tc>
      </w:tr>
      <w:tr w:rsidR="00B313C1" w14:paraId="0BC9A83A" w14:textId="77777777" w:rsidTr="00B04E52">
        <w:trPr>
          <w:trHeight w:val="886"/>
        </w:trPr>
        <w:tc>
          <w:tcPr>
            <w:tcW w:w="1885" w:type="dxa"/>
          </w:tcPr>
          <w:p w14:paraId="15ACDCB6" w14:textId="77777777" w:rsidR="00B313C1" w:rsidRPr="00F96D69" w:rsidRDefault="00B313C1" w:rsidP="00B3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9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Broj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sufinanciranih </w:t>
            </w:r>
            <w:r w:rsidRPr="00F9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udruga iz</w:t>
            </w:r>
          </w:p>
          <w:p w14:paraId="2F874119" w14:textId="393F6564" w:rsidR="00B313C1" w:rsidRDefault="00B313C1" w:rsidP="00B313C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9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područja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socijalne i zdravstvene skrbi</w:t>
            </w:r>
          </w:p>
          <w:p w14:paraId="01CBDAB4" w14:textId="4CB9F9B1" w:rsidR="00B313C1" w:rsidRDefault="00B313C1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90" w:type="dxa"/>
          </w:tcPr>
          <w:p w14:paraId="0491EDEE" w14:textId="77777777" w:rsidR="00B313C1" w:rsidRDefault="00B313C1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80" w:type="dxa"/>
          </w:tcPr>
          <w:p w14:paraId="6D618253" w14:textId="31932B10" w:rsidR="00B313C1" w:rsidRDefault="00B313C1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80" w:type="dxa"/>
          </w:tcPr>
          <w:p w14:paraId="50D1AA32" w14:textId="57534C82" w:rsidR="00B313C1" w:rsidRDefault="00B313C1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81" w:type="dxa"/>
          </w:tcPr>
          <w:p w14:paraId="167B1B0E" w14:textId="07E31459" w:rsidR="00B313C1" w:rsidRDefault="00B313C1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</w:tbl>
    <w:p w14:paraId="78081071" w14:textId="77777777" w:rsidR="00B313C1" w:rsidRDefault="00B313C1" w:rsidP="00B313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559E63E9" w14:textId="4D5C3E98" w:rsidR="00B313C1" w:rsidRDefault="00B313C1" w:rsidP="00B313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6DA1945" w14:textId="58086AEB" w:rsidR="0060034D" w:rsidRDefault="0060034D" w:rsidP="00B313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55FAA711" w14:textId="5A09B539" w:rsidR="0060034D" w:rsidRPr="0060034D" w:rsidRDefault="0060034D" w:rsidP="00B313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0034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lastRenderedPageBreak/>
        <w:t>Program PROTUPOŽARNA I CIVILNA ZAŠTITA</w:t>
      </w:r>
    </w:p>
    <w:p w14:paraId="417A3FEC" w14:textId="09F31003" w:rsidR="0060034D" w:rsidRDefault="0060034D" w:rsidP="00B313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1814A83" w14:textId="77777777" w:rsidR="0060034D" w:rsidRDefault="0060034D" w:rsidP="006003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0034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Mjerom Razvoj sustava civilne zaštite i poboljšanje sustava zaštite i spašavanja od velikih nesreća doprinosi se jačanju sustava civilne zaštite na području Općine Gornja Rijeka. Glavne aktivnosti uključuju izradu planskih dokumenata civilne zaštite, rad dobrovoljnih vatrogasnih društava i službe spašavanja odnosno pružanje vatrogasne i civilne zaštite. </w:t>
      </w:r>
    </w:p>
    <w:p w14:paraId="4CB9FD4F" w14:textId="194CDB2D" w:rsidR="0060034D" w:rsidRDefault="0060034D" w:rsidP="006003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0034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Ključn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</w:t>
      </w:r>
      <w:r w:rsidRPr="0060034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aktivnost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</w:t>
      </w:r>
      <w:r w:rsidRPr="0060034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iz područja vatrogastva </w:t>
      </w:r>
      <w:r w:rsidRPr="0060034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provodit će se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sufinanciranjem rada Vatrogasne zajednice Općine Gornja Rijeka gdje su osigurana sredstva za</w:t>
      </w:r>
      <w:r w:rsidRPr="0060034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materijaln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</w:t>
      </w:r>
      <w:r w:rsidRPr="0060034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troškov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e zajednice, </w:t>
      </w:r>
      <w:r w:rsidRPr="0060034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naknad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</w:t>
      </w:r>
      <w:r w:rsidRPr="0060034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dobrovoljnim vatrogascima za gašenje požara</w:t>
      </w:r>
      <w:r w:rsidRPr="0060034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 izrada </w:t>
      </w:r>
      <w:r w:rsidRPr="0060034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planskih dokumenata protupožarne zaštite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(nova Procjena i plan zaštite od požara na području Općine Gornja Rijeka).</w:t>
      </w:r>
      <w:r w:rsidRPr="0060034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</w:p>
    <w:p w14:paraId="34810C37" w14:textId="5E4CBB91" w:rsidR="0060034D" w:rsidRDefault="0060034D" w:rsidP="006E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Ključne aktivnosti iz područja civilne zaštite provodit će se osiguranjem sredstava za vježbe iz pod</w:t>
      </w:r>
      <w:r w:rsidR="006E5EE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ručja </w:t>
      </w:r>
      <w:r w:rsidRPr="0060034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civiln</w:t>
      </w:r>
      <w:r w:rsidR="006E5EE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</w:t>
      </w:r>
      <w:r w:rsidRPr="0060034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zaštit</w:t>
      </w:r>
      <w:r w:rsidR="006E5EE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e, </w:t>
      </w:r>
      <w:r w:rsidRPr="0060034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naknad</w:t>
      </w:r>
      <w:r w:rsidR="006E5EE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om</w:t>
      </w:r>
      <w:r w:rsidRPr="0060034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štete uzrokovane prirodnim nepogodama</w:t>
      </w:r>
      <w:r w:rsidRPr="0060034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="006E5EE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</w:t>
      </w:r>
      <w:r w:rsidRPr="0060034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izrad</w:t>
      </w:r>
      <w:r w:rsidR="006E5EE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om</w:t>
      </w:r>
      <w:r w:rsidRPr="0060034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planskih dokumenata civilne zaštite</w:t>
      </w:r>
      <w:r w:rsidRPr="0060034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="006E5EE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(novi </w:t>
      </w:r>
      <w:r w:rsidRPr="0060034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="006E5EEA" w:rsidRPr="006E5EE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Plan djelovanja civilne zaštite</w:t>
      </w:r>
      <w:r w:rsidR="006E5EE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).</w:t>
      </w:r>
    </w:p>
    <w:p w14:paraId="40C48CCE" w14:textId="019B9100" w:rsidR="006E5EEA" w:rsidRDefault="006E5EEA" w:rsidP="006E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E5EE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okviru ovog programa u 2023. godini planirana sredstva u svoti od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53.610,00</w:t>
      </w:r>
      <w:r w:rsidRPr="006E5EE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eura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5"/>
        <w:gridCol w:w="1790"/>
        <w:gridCol w:w="1780"/>
        <w:gridCol w:w="1780"/>
        <w:gridCol w:w="1781"/>
      </w:tblGrid>
      <w:tr w:rsidR="006E5EEA" w14:paraId="0F5E08AF" w14:textId="77777777" w:rsidTr="00B04E52">
        <w:tc>
          <w:tcPr>
            <w:tcW w:w="1885" w:type="dxa"/>
            <w:shd w:val="clear" w:color="auto" w:fill="D9D9D9" w:themeFill="background1" w:themeFillShade="D9"/>
          </w:tcPr>
          <w:p w14:paraId="1D495C74" w14:textId="77777777" w:rsidR="006E5EEA" w:rsidRDefault="006E5EEA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Indikator uspješnosti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226C8E35" w14:textId="77777777" w:rsidR="006E5EEA" w:rsidRDefault="006E5EEA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Početna vrijednost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39984658" w14:textId="77777777" w:rsidR="006E5EEA" w:rsidRDefault="006E5EEA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2023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21CF7590" w14:textId="77777777" w:rsidR="006E5EEA" w:rsidRDefault="006E5EEA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2024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2EDDD5C1" w14:textId="77777777" w:rsidR="006E5EEA" w:rsidRDefault="006E5EEA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2025</w:t>
            </w:r>
          </w:p>
        </w:tc>
      </w:tr>
      <w:tr w:rsidR="006E5EEA" w14:paraId="1BAFD7AD" w14:textId="77777777" w:rsidTr="00B04E52">
        <w:trPr>
          <w:trHeight w:val="886"/>
        </w:trPr>
        <w:tc>
          <w:tcPr>
            <w:tcW w:w="1885" w:type="dxa"/>
          </w:tcPr>
          <w:p w14:paraId="257FE490" w14:textId="6ECF78FB" w:rsidR="006E5EEA" w:rsidRPr="00B313C1" w:rsidRDefault="006E5EE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Broj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DVD-a i VZO uključenih u protupožarnu zaštitu</w:t>
            </w:r>
          </w:p>
        </w:tc>
        <w:tc>
          <w:tcPr>
            <w:tcW w:w="1790" w:type="dxa"/>
          </w:tcPr>
          <w:p w14:paraId="36702AA0" w14:textId="6F1475D9" w:rsidR="006E5EEA" w:rsidRDefault="006E5EE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80" w:type="dxa"/>
          </w:tcPr>
          <w:p w14:paraId="08200C74" w14:textId="7EFA01D6" w:rsidR="006E5EEA" w:rsidRDefault="006E5EE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80" w:type="dxa"/>
          </w:tcPr>
          <w:p w14:paraId="508A66D3" w14:textId="58256042" w:rsidR="006E5EEA" w:rsidRDefault="006E5EE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81" w:type="dxa"/>
          </w:tcPr>
          <w:p w14:paraId="68979EB1" w14:textId="2CEAA503" w:rsidR="006E5EEA" w:rsidRDefault="006E5EE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6E5EEA" w14:paraId="52A645E7" w14:textId="77777777" w:rsidTr="00B04E52">
        <w:trPr>
          <w:trHeight w:val="886"/>
        </w:trPr>
        <w:tc>
          <w:tcPr>
            <w:tcW w:w="1885" w:type="dxa"/>
          </w:tcPr>
          <w:p w14:paraId="43F1C67D" w14:textId="2353663F" w:rsidR="006E5EEA" w:rsidRPr="0021513E" w:rsidRDefault="006E5EE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E5EEA">
              <w:rPr>
                <w:rFonts w:ascii="Arial" w:hAnsi="Arial" w:cs="Arial"/>
                <w:sz w:val="24"/>
                <w:szCs w:val="24"/>
              </w:rPr>
              <w:t>Ukupan broj pripadnika sustava civilne zaštite na području JLS</w:t>
            </w:r>
          </w:p>
        </w:tc>
        <w:tc>
          <w:tcPr>
            <w:tcW w:w="1790" w:type="dxa"/>
          </w:tcPr>
          <w:p w14:paraId="2D587D8E" w14:textId="362A1828" w:rsidR="006E5EEA" w:rsidRPr="00B313C1" w:rsidRDefault="006E5EE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780" w:type="dxa"/>
          </w:tcPr>
          <w:p w14:paraId="36D589C0" w14:textId="4C756AA7" w:rsidR="006E5EEA" w:rsidRPr="00B313C1" w:rsidRDefault="006E5EE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780" w:type="dxa"/>
          </w:tcPr>
          <w:p w14:paraId="39126A6F" w14:textId="2EB87280" w:rsidR="006E5EEA" w:rsidRPr="00B313C1" w:rsidRDefault="006E5EE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781" w:type="dxa"/>
          </w:tcPr>
          <w:p w14:paraId="1289FC71" w14:textId="76913012" w:rsidR="006E5EEA" w:rsidRPr="00B313C1" w:rsidRDefault="006E5EE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</w:t>
            </w:r>
          </w:p>
        </w:tc>
      </w:tr>
    </w:tbl>
    <w:p w14:paraId="48165F0D" w14:textId="40C9202F" w:rsidR="006E5EEA" w:rsidRDefault="006E5EEA" w:rsidP="006E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0B1C4276" w14:textId="77777777" w:rsidR="006E5EEA" w:rsidRDefault="006E5EEA" w:rsidP="006E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EE47879" w14:textId="73DD47E6" w:rsidR="006E5EEA" w:rsidRPr="006E5EEA" w:rsidRDefault="006E5EEA" w:rsidP="006E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E5EE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Program ODRŽAVANJE KOMUNALNE INFRASTRUKTURE</w:t>
      </w:r>
    </w:p>
    <w:p w14:paraId="5E197062" w14:textId="562E5EBD" w:rsidR="006E5EEA" w:rsidRDefault="006E5EEA" w:rsidP="006E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4BF56980" w14:textId="11E99D0D" w:rsidR="006E5EEA" w:rsidRDefault="006E5EEA" w:rsidP="006E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E5EE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Mjera Komunalno gospodarstvo obuhvaća aktivnosti održavanja komunalnih objekata i infrastrukture te održavanje javnih površina, a uključuje godišnje održavanje nerazvrstanih cesta, javnih zelenih površina i javne rasvjete, groblja, održavanje čistoće javnih površina, deratizaciju i dezinsekciju, veterinarske usluge i održavanje građevina i uređaja javne namjene</w:t>
      </w:r>
      <w:r w:rsidR="00EC68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4A3ABEA2" w14:textId="08F68F5A" w:rsidR="00EC68E1" w:rsidRDefault="00EC68E1" w:rsidP="006E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okviru održavanja nerazvrstanih cesta planira se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šljunčanje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cesta,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</w:t>
      </w:r>
      <w:r w:rsidRPr="00EC68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alčiranje</w:t>
      </w:r>
      <w:proofErr w:type="spellEnd"/>
      <w:r w:rsidRPr="00EC68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bankina i cestovnih jaraka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Pr="00EC68E1"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</w:t>
      </w:r>
      <w:r w:rsidRPr="00EC68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acije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</w:t>
      </w:r>
      <w:r w:rsidRPr="00EC68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ljene</w:t>
      </w:r>
      <w:proofErr w:type="spellEnd"/>
      <w:r w:rsidRPr="00EC68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cestovnih jaraka i uređenje odvodnje u svrhu zaštite prometnica – nerazvrstanih cesta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 </w:t>
      </w:r>
      <w:r w:rsidRPr="00EC68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nabava i postava vertikalne prometne signalizacije na novoasfaltiranim cestama, obnova dotrajale signalizacije, nabava putokaza i prometnih ogledala za naselja i nabava ostale prometne signalizacije po potrebi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</w:t>
      </w:r>
    </w:p>
    <w:p w14:paraId="6BEBB70E" w14:textId="29CF30B6" w:rsidR="00EC68E1" w:rsidRDefault="00EC68E1" w:rsidP="00EC6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okviru aktivnosti održavanje javnih zelenih površina planira se o</w:t>
      </w:r>
      <w:r w:rsidRPr="00EC68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državanje parkova i zelenih površina što obuhvaća rušenje i orezivanje zelenila, košnju i sjetvu trave, sadnju zelenila i cvijeća i čišćenje zelenih površina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0C8C71B0" w14:textId="393749C7" w:rsidR="00EC68E1" w:rsidRDefault="00EC68E1" w:rsidP="00EC6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okviru aktivnosti održavanje javne rasvjete planira se </w:t>
      </w:r>
      <w:r w:rsidRPr="00EC68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zamjena žarulja, svjetiljki i stupova po potrebi te postava i skidanje postojećeg nakita jednom godišnje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kao i </w:t>
      </w:r>
      <w:r w:rsidR="00675E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</w:t>
      </w:r>
      <w:r w:rsidRPr="00EC68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trošak električne energije za javnu rasvjetu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5F0C614A" w14:textId="0D31555B" w:rsidR="00EC68E1" w:rsidRDefault="00EC68E1" w:rsidP="00EC6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U okviru aktivnosti održavanje groblja planira se o</w:t>
      </w:r>
      <w:r w:rsidRPr="00EC68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državanje mrtvačnica na mjesnim grobljima u naselju </w:t>
      </w:r>
      <w:proofErr w:type="spellStart"/>
      <w:r w:rsidRPr="00EC68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Dropkovec</w:t>
      </w:r>
      <w:proofErr w:type="spellEnd"/>
      <w:r w:rsidRPr="00EC68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Gornja Rijeka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38A42AF2" w14:textId="1408511C" w:rsidR="00EC68E1" w:rsidRDefault="00EC68E1" w:rsidP="00EC6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okviru aktivnosti održavanje čistoće javnih površina planira se č</w:t>
      </w:r>
      <w:r w:rsidRPr="00EC68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išćenje nerazvrstanih cesta i poljskih putova od snijega i leda (zimska služba)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č</w:t>
      </w:r>
      <w:r w:rsidRPr="00EC68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išćenje površina javne namjene, postavljanje i čišćenje košarica za otpatke i uklanjanje otpada koje je nepoznata osoba odbacila na javnu površinu ili zemljište u vlasništvu Općine</w:t>
      </w:r>
    </w:p>
    <w:p w14:paraId="4599245B" w14:textId="6E34EC45" w:rsidR="00EC68E1" w:rsidRDefault="00EC68E1" w:rsidP="00EC6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okviru aktivnosti deratizacija i dezinsekcija planira se </w:t>
      </w:r>
      <w:r w:rsidRPr="00EC68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Usluga deratizacije i dezinsekcije jednom godišnje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7F59155D" w14:textId="67EB8FD7" w:rsidR="00EC68E1" w:rsidRDefault="00EC68E1" w:rsidP="00EC6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okviru aktivnosti veterinarske usluge planira se </w:t>
      </w:r>
      <w:r w:rsidR="009722F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</w:t>
      </w:r>
      <w:r w:rsidRPr="00EC68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klanjanje uginulih životinja i lešina s javnih površina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p</w:t>
      </w:r>
      <w:r w:rsidRPr="00EC68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ostupanje s napuštenim i izgubljenim životinjama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7CCD15BC" w14:textId="269ED43C" w:rsidR="00EC68E1" w:rsidRDefault="00EC68E1" w:rsidP="00EC6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okviru aktivnosti održavanje građevina i uređaja javne namjene planira</w:t>
      </w:r>
      <w:r w:rsidR="00795AB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ju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se </w:t>
      </w:r>
      <w:r w:rsidR="00795AB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</w:t>
      </w:r>
      <w:r w:rsidR="00795AB7" w:rsidRPr="00795AB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državanje, popravci i čišćenje predmeta i uređaja javne namjene</w:t>
      </w:r>
      <w:r w:rsidR="00795AB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(vidikovac, klupe, dječja igrališta, javni zdenci i slično).</w:t>
      </w:r>
    </w:p>
    <w:p w14:paraId="2F0CB6A7" w14:textId="6F19026B" w:rsidR="00795AB7" w:rsidRDefault="00795AB7" w:rsidP="00795AB7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bookmarkStart w:id="4" w:name="_Hlk121909058"/>
      <w:r w:rsidRPr="00795AB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okviru ovog programa u 2023. godini planirana sredstva u svoti od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85.530</w:t>
      </w:r>
      <w:r w:rsidRPr="00795AB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,00 eura.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5"/>
        <w:gridCol w:w="1790"/>
        <w:gridCol w:w="1780"/>
        <w:gridCol w:w="1780"/>
        <w:gridCol w:w="1781"/>
      </w:tblGrid>
      <w:tr w:rsidR="00795AB7" w14:paraId="5DE63B88" w14:textId="77777777" w:rsidTr="00B04E52">
        <w:tc>
          <w:tcPr>
            <w:tcW w:w="1885" w:type="dxa"/>
            <w:shd w:val="clear" w:color="auto" w:fill="D9D9D9" w:themeFill="background1" w:themeFillShade="D9"/>
          </w:tcPr>
          <w:bookmarkEnd w:id="4"/>
          <w:p w14:paraId="60C74BC7" w14:textId="77777777" w:rsidR="00795AB7" w:rsidRDefault="00795AB7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Indikator uspješnosti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58B2F758" w14:textId="77777777" w:rsidR="00795AB7" w:rsidRDefault="00795AB7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Početna vrijednost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64C7E254" w14:textId="77777777" w:rsidR="00795AB7" w:rsidRDefault="00795AB7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2023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634297EA" w14:textId="77777777" w:rsidR="00795AB7" w:rsidRDefault="00795AB7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2024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0CCADF53" w14:textId="77777777" w:rsidR="00795AB7" w:rsidRDefault="00795AB7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2025</w:t>
            </w:r>
          </w:p>
        </w:tc>
      </w:tr>
      <w:tr w:rsidR="00795AB7" w14:paraId="57F7C8CD" w14:textId="77777777" w:rsidTr="00B04E52">
        <w:trPr>
          <w:trHeight w:val="886"/>
        </w:trPr>
        <w:tc>
          <w:tcPr>
            <w:tcW w:w="1885" w:type="dxa"/>
          </w:tcPr>
          <w:p w14:paraId="6486BC14" w14:textId="28FBF814" w:rsidR="00795AB7" w:rsidRPr="00715433" w:rsidRDefault="0071543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723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Km održavanih nerazvrstanih cesta</w:t>
            </w:r>
          </w:p>
        </w:tc>
        <w:tc>
          <w:tcPr>
            <w:tcW w:w="1790" w:type="dxa"/>
          </w:tcPr>
          <w:p w14:paraId="1FEA25C8" w14:textId="3E6BD923" w:rsidR="00795AB7" w:rsidRDefault="007238A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73</w:t>
            </w:r>
          </w:p>
        </w:tc>
        <w:tc>
          <w:tcPr>
            <w:tcW w:w="1780" w:type="dxa"/>
          </w:tcPr>
          <w:p w14:paraId="74B82D50" w14:textId="28D6CCE2" w:rsidR="00795AB7" w:rsidRDefault="007238A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73</w:t>
            </w:r>
          </w:p>
        </w:tc>
        <w:tc>
          <w:tcPr>
            <w:tcW w:w="1780" w:type="dxa"/>
          </w:tcPr>
          <w:p w14:paraId="58AF5716" w14:textId="42340621" w:rsidR="00795AB7" w:rsidRDefault="007238A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73</w:t>
            </w:r>
          </w:p>
        </w:tc>
        <w:tc>
          <w:tcPr>
            <w:tcW w:w="1781" w:type="dxa"/>
          </w:tcPr>
          <w:p w14:paraId="59ACDF1A" w14:textId="73341E5D" w:rsidR="00795AB7" w:rsidRDefault="007238A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73</w:t>
            </w:r>
          </w:p>
        </w:tc>
      </w:tr>
      <w:tr w:rsidR="00795AB7" w14:paraId="00DA9ED1" w14:textId="77777777" w:rsidTr="00B04E52">
        <w:trPr>
          <w:trHeight w:val="886"/>
        </w:trPr>
        <w:tc>
          <w:tcPr>
            <w:tcW w:w="1885" w:type="dxa"/>
          </w:tcPr>
          <w:p w14:paraId="57DF50F0" w14:textId="0EF79540" w:rsidR="00795AB7" w:rsidRPr="00715433" w:rsidRDefault="0071543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71543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m² održavanih javnih zelenih površina</w:t>
            </w:r>
          </w:p>
        </w:tc>
        <w:tc>
          <w:tcPr>
            <w:tcW w:w="1790" w:type="dxa"/>
          </w:tcPr>
          <w:p w14:paraId="2D30F9AE" w14:textId="3CE866F1" w:rsidR="00795AB7" w:rsidRPr="00B313C1" w:rsidRDefault="0071543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2000</w:t>
            </w:r>
          </w:p>
        </w:tc>
        <w:tc>
          <w:tcPr>
            <w:tcW w:w="1780" w:type="dxa"/>
          </w:tcPr>
          <w:p w14:paraId="4AE750AB" w14:textId="61A6811D" w:rsidR="00795AB7" w:rsidRPr="00B313C1" w:rsidRDefault="0071543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2000</w:t>
            </w:r>
          </w:p>
        </w:tc>
        <w:tc>
          <w:tcPr>
            <w:tcW w:w="1780" w:type="dxa"/>
          </w:tcPr>
          <w:p w14:paraId="270E7C66" w14:textId="2A89F78A" w:rsidR="00795AB7" w:rsidRPr="00B313C1" w:rsidRDefault="0071543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2100</w:t>
            </w:r>
          </w:p>
        </w:tc>
        <w:tc>
          <w:tcPr>
            <w:tcW w:w="1781" w:type="dxa"/>
          </w:tcPr>
          <w:p w14:paraId="71C72B72" w14:textId="607F235D" w:rsidR="00795AB7" w:rsidRPr="00B313C1" w:rsidRDefault="0071543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2100</w:t>
            </w:r>
          </w:p>
        </w:tc>
      </w:tr>
      <w:tr w:rsidR="00795AB7" w14:paraId="1E9761AF" w14:textId="77777777" w:rsidTr="00B04E52">
        <w:trPr>
          <w:trHeight w:val="886"/>
        </w:trPr>
        <w:tc>
          <w:tcPr>
            <w:tcW w:w="1885" w:type="dxa"/>
          </w:tcPr>
          <w:p w14:paraId="5E0B68B4" w14:textId="4AA02944" w:rsidR="00795AB7" w:rsidRPr="0021513E" w:rsidRDefault="00675EE2" w:rsidP="00B04E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Broj </w:t>
            </w:r>
            <w:r w:rsidR="00715433">
              <w:rPr>
                <w:rFonts w:ascii="Arial" w:hAnsi="Arial" w:cs="Arial"/>
                <w:sz w:val="24"/>
                <w:szCs w:val="24"/>
              </w:rPr>
              <w:t xml:space="preserve">održavanih </w:t>
            </w:r>
            <w:r>
              <w:rPr>
                <w:rFonts w:ascii="Arial" w:hAnsi="Arial" w:cs="Arial"/>
                <w:sz w:val="24"/>
                <w:szCs w:val="24"/>
              </w:rPr>
              <w:t xml:space="preserve">svjetiljaka </w:t>
            </w:r>
            <w:r w:rsidR="00715433">
              <w:rPr>
                <w:rFonts w:ascii="Arial" w:hAnsi="Arial" w:cs="Arial"/>
                <w:sz w:val="24"/>
                <w:szCs w:val="24"/>
              </w:rPr>
              <w:t>javne rasvjete</w:t>
            </w:r>
          </w:p>
        </w:tc>
        <w:tc>
          <w:tcPr>
            <w:tcW w:w="1790" w:type="dxa"/>
          </w:tcPr>
          <w:p w14:paraId="76BCA4BE" w14:textId="35713BE4" w:rsidR="00795AB7" w:rsidRDefault="0071543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364</w:t>
            </w:r>
          </w:p>
        </w:tc>
        <w:tc>
          <w:tcPr>
            <w:tcW w:w="1780" w:type="dxa"/>
          </w:tcPr>
          <w:p w14:paraId="3E091325" w14:textId="5ADD0C2C" w:rsidR="00795AB7" w:rsidRDefault="0071543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379</w:t>
            </w:r>
          </w:p>
        </w:tc>
        <w:tc>
          <w:tcPr>
            <w:tcW w:w="1780" w:type="dxa"/>
          </w:tcPr>
          <w:p w14:paraId="7D3051AC" w14:textId="3F7F1A33" w:rsidR="00795AB7" w:rsidRDefault="0071543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379</w:t>
            </w:r>
          </w:p>
        </w:tc>
        <w:tc>
          <w:tcPr>
            <w:tcW w:w="1781" w:type="dxa"/>
          </w:tcPr>
          <w:p w14:paraId="41BA2E84" w14:textId="1C9C0831" w:rsidR="00795AB7" w:rsidRDefault="0071543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379</w:t>
            </w:r>
          </w:p>
        </w:tc>
      </w:tr>
      <w:tr w:rsidR="00795AB7" w14:paraId="77199F75" w14:textId="77777777" w:rsidTr="00B04E52">
        <w:trPr>
          <w:trHeight w:val="886"/>
        </w:trPr>
        <w:tc>
          <w:tcPr>
            <w:tcW w:w="1885" w:type="dxa"/>
          </w:tcPr>
          <w:p w14:paraId="308B4759" w14:textId="12BB104C" w:rsidR="00795AB7" w:rsidRDefault="00795AB7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B313C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Broj </w:t>
            </w:r>
            <w:r w:rsidR="00972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groblja koja se održavaju</w:t>
            </w:r>
          </w:p>
        </w:tc>
        <w:tc>
          <w:tcPr>
            <w:tcW w:w="1790" w:type="dxa"/>
          </w:tcPr>
          <w:p w14:paraId="6A3CF3D3" w14:textId="2D6CDD59" w:rsidR="00795AB7" w:rsidRDefault="00795AB7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80" w:type="dxa"/>
          </w:tcPr>
          <w:p w14:paraId="3F62E555" w14:textId="7454649D" w:rsidR="00795AB7" w:rsidRDefault="009722F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80" w:type="dxa"/>
          </w:tcPr>
          <w:p w14:paraId="5004B523" w14:textId="47E81289" w:rsidR="00795AB7" w:rsidRDefault="009722F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81" w:type="dxa"/>
          </w:tcPr>
          <w:p w14:paraId="5FA5CF96" w14:textId="274973B1" w:rsidR="00795AB7" w:rsidRDefault="00795AB7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9722FA" w14:paraId="1CF1E810" w14:textId="77777777" w:rsidTr="00B04E52">
        <w:trPr>
          <w:trHeight w:val="886"/>
        </w:trPr>
        <w:tc>
          <w:tcPr>
            <w:tcW w:w="1885" w:type="dxa"/>
          </w:tcPr>
          <w:p w14:paraId="23152FFF" w14:textId="0B93032D" w:rsidR="009722FA" w:rsidRDefault="00675EE2" w:rsidP="009722F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23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Kilometri nerazvrstanih cesta-zimska služba</w:t>
            </w:r>
          </w:p>
        </w:tc>
        <w:tc>
          <w:tcPr>
            <w:tcW w:w="1790" w:type="dxa"/>
          </w:tcPr>
          <w:p w14:paraId="7EDEFE4F" w14:textId="0BC5B2E1" w:rsidR="009722FA" w:rsidRDefault="007238A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16,00</w:t>
            </w:r>
          </w:p>
        </w:tc>
        <w:tc>
          <w:tcPr>
            <w:tcW w:w="1780" w:type="dxa"/>
          </w:tcPr>
          <w:p w14:paraId="4BCF1123" w14:textId="77415A83" w:rsidR="009722FA" w:rsidRDefault="007238A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16,00</w:t>
            </w:r>
          </w:p>
        </w:tc>
        <w:tc>
          <w:tcPr>
            <w:tcW w:w="1780" w:type="dxa"/>
          </w:tcPr>
          <w:p w14:paraId="61D1500B" w14:textId="28F6C67B" w:rsidR="009722FA" w:rsidRDefault="007238A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16,50</w:t>
            </w:r>
          </w:p>
        </w:tc>
        <w:tc>
          <w:tcPr>
            <w:tcW w:w="1781" w:type="dxa"/>
          </w:tcPr>
          <w:p w14:paraId="35F89827" w14:textId="166B8AC0" w:rsidR="009722FA" w:rsidRDefault="007238A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17,00</w:t>
            </w:r>
          </w:p>
        </w:tc>
      </w:tr>
      <w:tr w:rsidR="009722FA" w14:paraId="0AC3306F" w14:textId="77777777" w:rsidTr="00B04E52">
        <w:trPr>
          <w:trHeight w:val="886"/>
        </w:trPr>
        <w:tc>
          <w:tcPr>
            <w:tcW w:w="1885" w:type="dxa"/>
          </w:tcPr>
          <w:p w14:paraId="4AA68947" w14:textId="3504E180" w:rsidR="009722FA" w:rsidRDefault="009722FA" w:rsidP="009722F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Broj kućanstava u kojima se provodi deratizacija</w:t>
            </w:r>
          </w:p>
        </w:tc>
        <w:tc>
          <w:tcPr>
            <w:tcW w:w="1790" w:type="dxa"/>
          </w:tcPr>
          <w:p w14:paraId="71ED4327" w14:textId="6580D0E4" w:rsidR="009722FA" w:rsidRDefault="00675EE2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550</w:t>
            </w:r>
          </w:p>
        </w:tc>
        <w:tc>
          <w:tcPr>
            <w:tcW w:w="1780" w:type="dxa"/>
          </w:tcPr>
          <w:p w14:paraId="3636319E" w14:textId="2A3E2A01" w:rsidR="009722FA" w:rsidRDefault="00675EE2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560</w:t>
            </w:r>
          </w:p>
        </w:tc>
        <w:tc>
          <w:tcPr>
            <w:tcW w:w="1780" w:type="dxa"/>
          </w:tcPr>
          <w:p w14:paraId="581A5D61" w14:textId="554A3784" w:rsidR="009722FA" w:rsidRDefault="00675EE2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560</w:t>
            </w:r>
          </w:p>
        </w:tc>
        <w:tc>
          <w:tcPr>
            <w:tcW w:w="1781" w:type="dxa"/>
          </w:tcPr>
          <w:p w14:paraId="067D2A0F" w14:textId="59A0A703" w:rsidR="009722FA" w:rsidRDefault="00675EE2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560</w:t>
            </w:r>
          </w:p>
        </w:tc>
      </w:tr>
      <w:tr w:rsidR="009722FA" w14:paraId="63E1DD2D" w14:textId="77777777" w:rsidTr="00B04E52">
        <w:trPr>
          <w:trHeight w:val="886"/>
        </w:trPr>
        <w:tc>
          <w:tcPr>
            <w:tcW w:w="1885" w:type="dxa"/>
          </w:tcPr>
          <w:p w14:paraId="545BE8B4" w14:textId="6A03F64B" w:rsidR="009722FA" w:rsidRDefault="009722FA" w:rsidP="009722F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Broj zbrinutih napuštenih životinja</w:t>
            </w:r>
          </w:p>
        </w:tc>
        <w:tc>
          <w:tcPr>
            <w:tcW w:w="1790" w:type="dxa"/>
          </w:tcPr>
          <w:p w14:paraId="64FB1A7A" w14:textId="350C9621" w:rsidR="009722FA" w:rsidRDefault="009722F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80" w:type="dxa"/>
          </w:tcPr>
          <w:p w14:paraId="1033B967" w14:textId="3EE845A2" w:rsidR="009722FA" w:rsidRDefault="009722F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80" w:type="dxa"/>
          </w:tcPr>
          <w:p w14:paraId="2B5C5A4B" w14:textId="6FC422ED" w:rsidR="009722FA" w:rsidRDefault="009722F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81" w:type="dxa"/>
          </w:tcPr>
          <w:p w14:paraId="1100B9BA" w14:textId="527CDE73" w:rsidR="009722FA" w:rsidRDefault="009722F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9722FA" w14:paraId="1386C070" w14:textId="77777777" w:rsidTr="00B04E52">
        <w:trPr>
          <w:trHeight w:val="886"/>
        </w:trPr>
        <w:tc>
          <w:tcPr>
            <w:tcW w:w="1885" w:type="dxa"/>
          </w:tcPr>
          <w:p w14:paraId="2DC69393" w14:textId="459305B6" w:rsidR="009722FA" w:rsidRPr="00F96D69" w:rsidRDefault="009722FA" w:rsidP="009722F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Broj uklonjenih lešina s prometnica</w:t>
            </w:r>
          </w:p>
        </w:tc>
        <w:tc>
          <w:tcPr>
            <w:tcW w:w="1790" w:type="dxa"/>
          </w:tcPr>
          <w:p w14:paraId="36183596" w14:textId="344EFD2C" w:rsidR="009722FA" w:rsidRDefault="009722F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80" w:type="dxa"/>
          </w:tcPr>
          <w:p w14:paraId="59CC8465" w14:textId="55534398" w:rsidR="009722FA" w:rsidRDefault="009722F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80" w:type="dxa"/>
          </w:tcPr>
          <w:p w14:paraId="16000CC8" w14:textId="76550A6A" w:rsidR="009722FA" w:rsidRDefault="009722F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81" w:type="dxa"/>
          </w:tcPr>
          <w:p w14:paraId="1AF71253" w14:textId="377D6970" w:rsidR="009722FA" w:rsidRDefault="009722F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715433" w14:paraId="5BAEAF3F" w14:textId="77777777" w:rsidTr="00B04E52">
        <w:trPr>
          <w:trHeight w:val="886"/>
        </w:trPr>
        <w:tc>
          <w:tcPr>
            <w:tcW w:w="1885" w:type="dxa"/>
          </w:tcPr>
          <w:p w14:paraId="4873298D" w14:textId="6849B988" w:rsidR="00795AB7" w:rsidRDefault="00795AB7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9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Broj </w:t>
            </w:r>
            <w:r w:rsidR="00972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održavanih objekata i uređaja javne namjene</w:t>
            </w:r>
          </w:p>
        </w:tc>
        <w:tc>
          <w:tcPr>
            <w:tcW w:w="1790" w:type="dxa"/>
          </w:tcPr>
          <w:p w14:paraId="050DE2EA" w14:textId="77777777" w:rsidR="00795AB7" w:rsidRDefault="00795AB7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80" w:type="dxa"/>
          </w:tcPr>
          <w:p w14:paraId="00C6D293" w14:textId="37A4AD76" w:rsidR="00795AB7" w:rsidRDefault="009722F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780" w:type="dxa"/>
          </w:tcPr>
          <w:p w14:paraId="66890148" w14:textId="439F6980" w:rsidR="00795AB7" w:rsidRDefault="00795AB7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  <w:r w:rsidR="00972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81" w:type="dxa"/>
          </w:tcPr>
          <w:p w14:paraId="3103039F" w14:textId="07CF213A" w:rsidR="00795AB7" w:rsidRDefault="009722FA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</w:t>
            </w:r>
          </w:p>
        </w:tc>
      </w:tr>
    </w:tbl>
    <w:p w14:paraId="2D7EAA6C" w14:textId="77777777" w:rsidR="00795AB7" w:rsidRPr="00795AB7" w:rsidRDefault="00795AB7" w:rsidP="00795AB7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06A60309" w14:textId="77777777" w:rsidR="00EC68E1" w:rsidRPr="00EC68E1" w:rsidRDefault="00EC68E1" w:rsidP="00EC6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46C0F755" w14:textId="504F6345" w:rsidR="006E5EEA" w:rsidRPr="007238AA" w:rsidRDefault="007238AA" w:rsidP="006E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7238A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Program  GRADNJA OBJEKATA I UREĐAJA JAVNE NAMJENE</w:t>
      </w:r>
    </w:p>
    <w:p w14:paraId="10A040C9" w14:textId="6EE21604" w:rsidR="007238AA" w:rsidRDefault="007238AA" w:rsidP="006E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2737DBA" w14:textId="6C672C04" w:rsidR="007238AA" w:rsidRDefault="007238AA" w:rsidP="006E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Program gradnje objekata i uređaja komunalne infrastrukture obuhvaća aktivnosti uređenja građevine javne namjene, evidentiranje komunalne infrastrukture, uređenje javnih zelenih površina i javnu rasvjetu.</w:t>
      </w:r>
    </w:p>
    <w:p w14:paraId="660EA051" w14:textId="5EEB6C40" w:rsidR="007238AA" w:rsidRDefault="007238AA" w:rsidP="006E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Unutar aktivnosti </w:t>
      </w:r>
      <w:r w:rsidR="004379F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javne zelene površine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planirana je r</w:t>
      </w:r>
      <w:r w:rsidRPr="007238A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ekonstrukcija javne zelene površine u naselju Kostanjevec Riječki (ograđivanje i uređenje), </w:t>
      </w:r>
      <w:proofErr w:type="spellStart"/>
      <w:r w:rsidRPr="007238A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kčbr</w:t>
      </w:r>
      <w:proofErr w:type="spellEnd"/>
      <w:r w:rsidRPr="007238A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2105 k.o. Gornja Rijeka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7A18BC73" w14:textId="628DD1F3" w:rsidR="007238AA" w:rsidRDefault="007238AA" w:rsidP="006E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Unutar aktivnosti javna rasvjeta planirano je r</w:t>
      </w:r>
      <w:r w:rsidRPr="007238A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ekonstrukcija javne rasvjete u naseljima Kolarec, </w:t>
      </w:r>
      <w:proofErr w:type="spellStart"/>
      <w:r w:rsidRPr="007238A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Deklešanec</w:t>
      </w:r>
      <w:proofErr w:type="spellEnd"/>
      <w:r w:rsidRPr="007238A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Gornja Rijeka (Križevačka ulica, Vinogradska ulica, Ulica Kralja Bele IV, Jablanova ulica, </w:t>
      </w:r>
      <w:proofErr w:type="spellStart"/>
      <w:r w:rsidRPr="007238A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Novoselska</w:t>
      </w:r>
      <w:proofErr w:type="spellEnd"/>
      <w:r w:rsidRPr="007238A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ulica), Kostanjevec Riječki, </w:t>
      </w:r>
      <w:proofErr w:type="spellStart"/>
      <w:r w:rsidRPr="007238A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Štrigovec</w:t>
      </w:r>
      <w:proofErr w:type="spellEnd"/>
      <w:r w:rsidRPr="007238A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Donja Rijeka.</w:t>
      </w:r>
    </w:p>
    <w:p w14:paraId="75BC3862" w14:textId="1F71F98F" w:rsidR="007238AA" w:rsidRDefault="007238AA" w:rsidP="006E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Unutar aktivnosti </w:t>
      </w:r>
      <w:r w:rsidR="00FE67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</w:t>
      </w:r>
      <w:r w:rsidR="00FE67D6" w:rsidRPr="00FE67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rađevine uređaji i predmeti javne namjene</w:t>
      </w:r>
      <w:r w:rsidR="00FE67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planirano je uređenje uređaja javne namjene (križ) u naseljima Donja Rijeka, </w:t>
      </w:r>
      <w:proofErr w:type="spellStart"/>
      <w:r w:rsidR="00FE67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Štrigovec</w:t>
      </w:r>
      <w:proofErr w:type="spellEnd"/>
      <w:r w:rsidR="00FE67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</w:t>
      </w:r>
      <w:proofErr w:type="spellStart"/>
      <w:r w:rsidR="00FE67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Pofuki</w:t>
      </w:r>
      <w:proofErr w:type="spellEnd"/>
      <w:r w:rsidR="00FE67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te troškovi evidentiranja postojeće komunalne infrastrukture.</w:t>
      </w:r>
    </w:p>
    <w:p w14:paraId="727F96E0" w14:textId="3D304ABC" w:rsidR="00FE67D6" w:rsidRDefault="00FE67D6" w:rsidP="006E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bookmarkStart w:id="5" w:name="_Hlk121910697"/>
      <w:r w:rsidRPr="00FE67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okviru ovog programa u 2023. godini planirana sredstva u svoti od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30.220,00</w:t>
      </w:r>
      <w:r w:rsidRPr="00FE67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eura.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5"/>
        <w:gridCol w:w="1790"/>
        <w:gridCol w:w="1780"/>
        <w:gridCol w:w="1780"/>
        <w:gridCol w:w="1781"/>
      </w:tblGrid>
      <w:tr w:rsidR="00FE67D6" w14:paraId="471F480E" w14:textId="77777777" w:rsidTr="00B04E52">
        <w:tc>
          <w:tcPr>
            <w:tcW w:w="1885" w:type="dxa"/>
            <w:shd w:val="clear" w:color="auto" w:fill="D9D9D9" w:themeFill="background1" w:themeFillShade="D9"/>
          </w:tcPr>
          <w:bookmarkEnd w:id="5"/>
          <w:p w14:paraId="57FC703B" w14:textId="77777777" w:rsidR="00FE67D6" w:rsidRDefault="00FE67D6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Indikator uspješnosti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0A6A5A02" w14:textId="77777777" w:rsidR="00FE67D6" w:rsidRDefault="00FE67D6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Početna vrijednost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2D0BB8A6" w14:textId="77777777" w:rsidR="00FE67D6" w:rsidRDefault="00FE67D6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2023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35B77B71" w14:textId="77777777" w:rsidR="00FE67D6" w:rsidRDefault="00FE67D6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2024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5B076E4C" w14:textId="77777777" w:rsidR="00FE67D6" w:rsidRDefault="00FE67D6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2025</w:t>
            </w:r>
          </w:p>
        </w:tc>
      </w:tr>
      <w:tr w:rsidR="00FE67D6" w14:paraId="0DBBA8B2" w14:textId="77777777" w:rsidTr="00B04E52">
        <w:trPr>
          <w:trHeight w:val="886"/>
        </w:trPr>
        <w:tc>
          <w:tcPr>
            <w:tcW w:w="1885" w:type="dxa"/>
          </w:tcPr>
          <w:p w14:paraId="161C10E3" w14:textId="7C1E60A1" w:rsidR="00FE67D6" w:rsidRPr="00715433" w:rsidRDefault="00FE67D6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Broj uređenih</w:t>
            </w:r>
            <w:r w:rsidR="004379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javnih zelenih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površina </w:t>
            </w:r>
          </w:p>
        </w:tc>
        <w:tc>
          <w:tcPr>
            <w:tcW w:w="1790" w:type="dxa"/>
          </w:tcPr>
          <w:p w14:paraId="4DC09919" w14:textId="79FB052E" w:rsidR="00FE67D6" w:rsidRDefault="004379F8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80" w:type="dxa"/>
          </w:tcPr>
          <w:p w14:paraId="70BE3C9B" w14:textId="3A31B682" w:rsidR="00FE67D6" w:rsidRDefault="004379F8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80" w:type="dxa"/>
          </w:tcPr>
          <w:p w14:paraId="4D27EF0F" w14:textId="7278B1D5" w:rsidR="00FE67D6" w:rsidRDefault="004379F8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81" w:type="dxa"/>
          </w:tcPr>
          <w:p w14:paraId="100AE9E5" w14:textId="30E8D0BD" w:rsidR="00FE67D6" w:rsidRDefault="004379F8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FE67D6" w14:paraId="151131D5" w14:textId="77777777" w:rsidTr="00B04E52">
        <w:trPr>
          <w:trHeight w:val="886"/>
        </w:trPr>
        <w:tc>
          <w:tcPr>
            <w:tcW w:w="1885" w:type="dxa"/>
          </w:tcPr>
          <w:p w14:paraId="73437879" w14:textId="2EC7A8B1" w:rsidR="00FE67D6" w:rsidRPr="00715433" w:rsidRDefault="00FE67D6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Broj novih svjetiljaka javne rasvjete</w:t>
            </w:r>
          </w:p>
        </w:tc>
        <w:tc>
          <w:tcPr>
            <w:tcW w:w="1790" w:type="dxa"/>
          </w:tcPr>
          <w:p w14:paraId="7E71A28E" w14:textId="27EA0C50" w:rsidR="00FE67D6" w:rsidRPr="00B313C1" w:rsidRDefault="00FE67D6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80" w:type="dxa"/>
          </w:tcPr>
          <w:p w14:paraId="6876114D" w14:textId="58E71022" w:rsidR="00FE67D6" w:rsidRPr="00B313C1" w:rsidRDefault="00FE67D6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780" w:type="dxa"/>
          </w:tcPr>
          <w:p w14:paraId="1482B096" w14:textId="71A921F9" w:rsidR="00FE67D6" w:rsidRPr="00B313C1" w:rsidRDefault="00FE67D6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81" w:type="dxa"/>
          </w:tcPr>
          <w:p w14:paraId="74BD1666" w14:textId="00895408" w:rsidR="00FE67D6" w:rsidRPr="00B313C1" w:rsidRDefault="00FE67D6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4379F8" w14:paraId="6574B092" w14:textId="77777777" w:rsidTr="00B04E52">
        <w:trPr>
          <w:trHeight w:val="886"/>
        </w:trPr>
        <w:tc>
          <w:tcPr>
            <w:tcW w:w="1885" w:type="dxa"/>
          </w:tcPr>
          <w:p w14:paraId="158D5611" w14:textId="0C8963F8" w:rsidR="004379F8" w:rsidRDefault="004379F8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Broj uređenih građevina javne namjene</w:t>
            </w:r>
          </w:p>
        </w:tc>
        <w:tc>
          <w:tcPr>
            <w:tcW w:w="1790" w:type="dxa"/>
          </w:tcPr>
          <w:p w14:paraId="6A2B9314" w14:textId="0DCCE2E2" w:rsidR="004379F8" w:rsidRDefault="004379F8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80" w:type="dxa"/>
          </w:tcPr>
          <w:p w14:paraId="24B65C5B" w14:textId="0828BE03" w:rsidR="004379F8" w:rsidRDefault="004379F8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80" w:type="dxa"/>
          </w:tcPr>
          <w:p w14:paraId="0301CCBB" w14:textId="1E0E3EA0" w:rsidR="004379F8" w:rsidRDefault="004379F8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81" w:type="dxa"/>
          </w:tcPr>
          <w:p w14:paraId="7717C1DA" w14:textId="2385492F" w:rsidR="004379F8" w:rsidRDefault="004379F8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</w:tbl>
    <w:p w14:paraId="65FA8CE7" w14:textId="292FFFCB" w:rsidR="00FE67D6" w:rsidRDefault="00FE67D6" w:rsidP="006E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58694C5E" w14:textId="77777777" w:rsidR="006B2766" w:rsidRDefault="006B2766" w:rsidP="006E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3174C4C5" w14:textId="06CF43D1" w:rsidR="006B2766" w:rsidRPr="006B2766" w:rsidRDefault="006B2766" w:rsidP="006E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B276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Program JAVNI RED I SIGURNOST</w:t>
      </w:r>
    </w:p>
    <w:p w14:paraId="69308E48" w14:textId="5AA388C4" w:rsidR="006B2766" w:rsidRDefault="006B2766" w:rsidP="006E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38AB08BE" w14:textId="2B614914" w:rsidR="006B2766" w:rsidRDefault="006B2766" w:rsidP="006B27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Programom javnog reda i sigurnosti </w:t>
      </w:r>
      <w:r w:rsidRPr="006B276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stvaraju se uvjeti za zadovoljavanje potreba Općine u aktivnostima HGSS – Stanica Koprivnica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putem </w:t>
      </w:r>
      <w:r w:rsidRPr="006B276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spašavanj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Pr="006B276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na visinama i visokim objektima u slučaju potresa, vremenskih nepogoda i drugih nesreća na nepristupačnim prostorima,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6B276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spašavanje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</w:t>
      </w:r>
      <w:r w:rsidRPr="006B276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iz podzemnih objekata,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6B276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dežurstva i spašavanja za vrijeme specifičnih sportskih, turističkih i drugih aktivnosti u prirodi,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6B276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davanje sigurnosnih preporuka osobama i organizatorima turističkih, sportskih i drugih aktivnosti u prirodi,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6B276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provođenje obuke spašavanja organiziranjem vježbi, seminara i tečajeva.</w:t>
      </w:r>
    </w:p>
    <w:p w14:paraId="4E3D4FA5" w14:textId="4CA7C300" w:rsidR="006B2766" w:rsidRPr="006B2766" w:rsidRDefault="006B2766" w:rsidP="006B27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B276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okviru ovog programa u 2023. godini planirana sredstva u svoti od </w:t>
      </w:r>
      <w:r w:rsidR="006932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2.000,00</w:t>
      </w:r>
      <w:r w:rsidRPr="006B276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eura.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5"/>
        <w:gridCol w:w="1790"/>
        <w:gridCol w:w="1780"/>
        <w:gridCol w:w="1780"/>
        <w:gridCol w:w="1781"/>
      </w:tblGrid>
      <w:tr w:rsidR="006932D3" w14:paraId="2CDF1A31" w14:textId="77777777" w:rsidTr="00B04E52">
        <w:tc>
          <w:tcPr>
            <w:tcW w:w="1885" w:type="dxa"/>
            <w:shd w:val="clear" w:color="auto" w:fill="D9D9D9" w:themeFill="background1" w:themeFillShade="D9"/>
          </w:tcPr>
          <w:p w14:paraId="6611255B" w14:textId="77777777" w:rsidR="006932D3" w:rsidRDefault="006932D3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Indikator uspješnosti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3AD2F936" w14:textId="77777777" w:rsidR="006932D3" w:rsidRDefault="006932D3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Početna vrijednost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4AAF6EB3" w14:textId="77777777" w:rsidR="006932D3" w:rsidRDefault="006932D3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2023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473699F3" w14:textId="77777777" w:rsidR="006932D3" w:rsidRDefault="006932D3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2024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14BCDFB7" w14:textId="77777777" w:rsidR="006932D3" w:rsidRDefault="006932D3" w:rsidP="00B04E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Ciljna 2025</w:t>
            </w:r>
          </w:p>
        </w:tc>
      </w:tr>
      <w:tr w:rsidR="006932D3" w14:paraId="7ED1B019" w14:textId="77777777" w:rsidTr="00B04E52">
        <w:trPr>
          <w:trHeight w:val="886"/>
        </w:trPr>
        <w:tc>
          <w:tcPr>
            <w:tcW w:w="1885" w:type="dxa"/>
          </w:tcPr>
          <w:p w14:paraId="05FC91D0" w14:textId="4DA79762" w:rsidR="006932D3" w:rsidRPr="00715433" w:rsidRDefault="006932D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Broj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sufinanciranih stanica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790" w:type="dxa"/>
          </w:tcPr>
          <w:p w14:paraId="45727B08" w14:textId="77777777" w:rsidR="006932D3" w:rsidRDefault="006932D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80" w:type="dxa"/>
          </w:tcPr>
          <w:p w14:paraId="53E6AAA9" w14:textId="77777777" w:rsidR="006932D3" w:rsidRDefault="006932D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80" w:type="dxa"/>
          </w:tcPr>
          <w:p w14:paraId="532DFD8B" w14:textId="6579C0BF" w:rsidR="006932D3" w:rsidRDefault="006932D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81" w:type="dxa"/>
          </w:tcPr>
          <w:p w14:paraId="2664A9C5" w14:textId="761456F2" w:rsidR="006932D3" w:rsidRDefault="006932D3" w:rsidP="00B04E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</w:tbl>
    <w:p w14:paraId="4EC2A024" w14:textId="147B2DAE" w:rsidR="006B2766" w:rsidRPr="00F96D69" w:rsidRDefault="006B2766" w:rsidP="006E5E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sectPr w:rsidR="006B2766" w:rsidRPr="00F96D6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F61D5"/>
    <w:multiLevelType w:val="hybridMultilevel"/>
    <w:tmpl w:val="B0DEBF58"/>
    <w:lvl w:ilvl="0" w:tplc="418E32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45C3A"/>
    <w:multiLevelType w:val="hybridMultilevel"/>
    <w:tmpl w:val="AA86822E"/>
    <w:lvl w:ilvl="0" w:tplc="820A37C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407711">
    <w:abstractNumId w:val="1"/>
  </w:num>
  <w:num w:numId="2" w16cid:durableId="1016082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21A28C"/>
    <w:rsid w:val="00001918"/>
    <w:rsid w:val="000C6817"/>
    <w:rsid w:val="000D6287"/>
    <w:rsid w:val="000F522D"/>
    <w:rsid w:val="00106D8A"/>
    <w:rsid w:val="00140678"/>
    <w:rsid w:val="00167D8C"/>
    <w:rsid w:val="001D39DA"/>
    <w:rsid w:val="0021513E"/>
    <w:rsid w:val="0022224B"/>
    <w:rsid w:val="002B1307"/>
    <w:rsid w:val="002C7FE3"/>
    <w:rsid w:val="002D14BB"/>
    <w:rsid w:val="002E239C"/>
    <w:rsid w:val="00366949"/>
    <w:rsid w:val="0038656E"/>
    <w:rsid w:val="003A1A7E"/>
    <w:rsid w:val="00424CCD"/>
    <w:rsid w:val="004379F8"/>
    <w:rsid w:val="00444D00"/>
    <w:rsid w:val="004453E7"/>
    <w:rsid w:val="00471FE1"/>
    <w:rsid w:val="0060034D"/>
    <w:rsid w:val="006725CC"/>
    <w:rsid w:val="00675EE2"/>
    <w:rsid w:val="006932D3"/>
    <w:rsid w:val="006B2766"/>
    <w:rsid w:val="006E5EEA"/>
    <w:rsid w:val="00715433"/>
    <w:rsid w:val="007238AA"/>
    <w:rsid w:val="00790AC9"/>
    <w:rsid w:val="00795AB7"/>
    <w:rsid w:val="007A5D6A"/>
    <w:rsid w:val="007B1CA3"/>
    <w:rsid w:val="007F32DD"/>
    <w:rsid w:val="0080129C"/>
    <w:rsid w:val="00801F19"/>
    <w:rsid w:val="008A0D05"/>
    <w:rsid w:val="008E6CC3"/>
    <w:rsid w:val="00931543"/>
    <w:rsid w:val="009722FA"/>
    <w:rsid w:val="009A446F"/>
    <w:rsid w:val="009F6FD6"/>
    <w:rsid w:val="00A11C4A"/>
    <w:rsid w:val="00A15C12"/>
    <w:rsid w:val="00A257B1"/>
    <w:rsid w:val="00A60634"/>
    <w:rsid w:val="00B313C1"/>
    <w:rsid w:val="00BB7AE6"/>
    <w:rsid w:val="00BC5545"/>
    <w:rsid w:val="00BE5B6B"/>
    <w:rsid w:val="00CF0679"/>
    <w:rsid w:val="00D206DC"/>
    <w:rsid w:val="00D53F86"/>
    <w:rsid w:val="00DE5935"/>
    <w:rsid w:val="00E070CF"/>
    <w:rsid w:val="00EC68E1"/>
    <w:rsid w:val="00EE6DB8"/>
    <w:rsid w:val="00F14419"/>
    <w:rsid w:val="00F938E8"/>
    <w:rsid w:val="00F96D69"/>
    <w:rsid w:val="00FA72B4"/>
    <w:rsid w:val="00FC17DA"/>
    <w:rsid w:val="00FE0BBB"/>
    <w:rsid w:val="00FE67D6"/>
    <w:rsid w:val="00FE7C9C"/>
    <w:rsid w:val="3521A28C"/>
    <w:rsid w:val="4A9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A28C"/>
  <w15:chartTrackingRefBased/>
  <w15:docId w15:val="{A518F726-AC74-4049-8489-03F198FD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A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57B1"/>
    <w:pPr>
      <w:ind w:left="720"/>
      <w:contextualSpacing/>
    </w:pPr>
  </w:style>
  <w:style w:type="table" w:styleId="Reetkatablice">
    <w:name w:val="Table Grid"/>
    <w:basedOn w:val="Obinatablica"/>
    <w:uiPriority w:val="39"/>
    <w:rsid w:val="003A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3915</Words>
  <Characters>22318</Characters>
  <Application>Microsoft Office Word</Application>
  <DocSecurity>0</DocSecurity>
  <Lines>185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op</dc:creator>
  <cp:keywords/>
  <dc:description/>
  <cp:lastModifiedBy>Korisnik</cp:lastModifiedBy>
  <cp:revision>9</cp:revision>
  <dcterms:created xsi:type="dcterms:W3CDTF">2022-12-14T07:49:00Z</dcterms:created>
  <dcterms:modified xsi:type="dcterms:W3CDTF">2022-12-14T10:59:00Z</dcterms:modified>
</cp:coreProperties>
</file>