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AD4" w14:textId="77777777" w:rsidR="009D40B7" w:rsidRDefault="0056092E">
      <w:pPr>
        <w:pStyle w:val="Standard"/>
        <w:tabs>
          <w:tab w:val="left" w:pos="1080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KOMUNALNO PODUZEĆE GORNJA RIJEKA d.o.o.</w:t>
      </w:r>
    </w:p>
    <w:p w14:paraId="06C480C7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</w:t>
      </w:r>
      <w:proofErr w:type="spellStart"/>
      <w:r>
        <w:rPr>
          <w:sz w:val="28"/>
          <w:szCs w:val="28"/>
        </w:rPr>
        <w:t>Sidonije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Erdödy</w:t>
      </w:r>
      <w:proofErr w:type="spellEnd"/>
      <w:r>
        <w:rPr>
          <w:sz w:val="28"/>
          <w:szCs w:val="28"/>
        </w:rPr>
        <w:t xml:space="preserve"> 3, 48268 Gornja Rijeka </w:t>
      </w:r>
    </w:p>
    <w:p w14:paraId="3B8D0C37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MB: 2280124, OIB: 77723557751</w:t>
      </w:r>
    </w:p>
    <w:p w14:paraId="2D1A5D1E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IBAN: HR4323600001101980221</w:t>
      </w:r>
    </w:p>
    <w:p w14:paraId="67731825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Tel./fax: 048/855-449</w:t>
      </w:r>
    </w:p>
    <w:p w14:paraId="457231E3" w14:textId="77777777" w:rsidR="009D40B7" w:rsidRDefault="009D40B7">
      <w:pPr>
        <w:pStyle w:val="Standard"/>
        <w:jc w:val="center"/>
      </w:pPr>
    </w:p>
    <w:p w14:paraId="48F0A143" w14:textId="77777777" w:rsidR="009D40B7" w:rsidRDefault="009D40B7">
      <w:pPr>
        <w:pStyle w:val="Standard"/>
        <w:jc w:val="center"/>
      </w:pPr>
    </w:p>
    <w:p w14:paraId="52677256" w14:textId="77777777" w:rsidR="009D40B7" w:rsidRDefault="009D40B7">
      <w:pPr>
        <w:pStyle w:val="Standard"/>
        <w:jc w:val="center"/>
      </w:pPr>
    </w:p>
    <w:p w14:paraId="659A35C4" w14:textId="77777777" w:rsidR="009D40B7" w:rsidRDefault="009D40B7">
      <w:pPr>
        <w:pStyle w:val="Standard"/>
        <w:jc w:val="center"/>
      </w:pPr>
    </w:p>
    <w:p w14:paraId="680D88F3" w14:textId="77777777" w:rsidR="009D40B7" w:rsidRDefault="009D40B7">
      <w:pPr>
        <w:pStyle w:val="Standard"/>
        <w:jc w:val="center"/>
      </w:pPr>
    </w:p>
    <w:p w14:paraId="6A4BCFEE" w14:textId="77777777" w:rsidR="009D40B7" w:rsidRDefault="009D40B7">
      <w:pPr>
        <w:pStyle w:val="Standard"/>
        <w:jc w:val="center"/>
      </w:pPr>
    </w:p>
    <w:p w14:paraId="7974CEC0" w14:textId="77777777" w:rsidR="009D40B7" w:rsidRDefault="009D40B7">
      <w:pPr>
        <w:pStyle w:val="Standard"/>
        <w:jc w:val="center"/>
      </w:pPr>
    </w:p>
    <w:p w14:paraId="112C8E2B" w14:textId="77777777" w:rsidR="009D40B7" w:rsidRDefault="009D40B7">
      <w:pPr>
        <w:pStyle w:val="Standard"/>
        <w:jc w:val="center"/>
      </w:pPr>
    </w:p>
    <w:p w14:paraId="7556C92E" w14:textId="77777777" w:rsidR="009D40B7" w:rsidRDefault="009D40B7">
      <w:pPr>
        <w:pStyle w:val="Standard"/>
        <w:jc w:val="center"/>
      </w:pPr>
    </w:p>
    <w:p w14:paraId="1D70E771" w14:textId="77777777" w:rsidR="009D40B7" w:rsidRDefault="009D40B7">
      <w:pPr>
        <w:pStyle w:val="Standard"/>
        <w:jc w:val="center"/>
      </w:pPr>
    </w:p>
    <w:p w14:paraId="0F6BAC1A" w14:textId="77777777" w:rsidR="009D40B7" w:rsidRDefault="009D40B7">
      <w:pPr>
        <w:pStyle w:val="Standard"/>
        <w:jc w:val="center"/>
      </w:pPr>
    </w:p>
    <w:p w14:paraId="30B610F3" w14:textId="77777777" w:rsidR="009D40B7" w:rsidRDefault="0056092E">
      <w:pPr>
        <w:pStyle w:val="Standard"/>
      </w:pPr>
      <w:r>
        <w:t xml:space="preserve">                                         </w:t>
      </w:r>
    </w:p>
    <w:p w14:paraId="53B51A42" w14:textId="77777777" w:rsidR="009D40B7" w:rsidRDefault="009D40B7">
      <w:pPr>
        <w:pStyle w:val="Standard"/>
        <w:jc w:val="center"/>
      </w:pPr>
    </w:p>
    <w:p w14:paraId="65BD49F7" w14:textId="3FE8DBD6" w:rsidR="009D40B7" w:rsidRDefault="0056092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Investicijski plan, program rada i financijski plan poduzeća za 202</w:t>
      </w:r>
      <w:r w:rsidR="00D039AD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. godinu</w:t>
      </w:r>
    </w:p>
    <w:p w14:paraId="29CB6977" w14:textId="77777777" w:rsidR="009D40B7" w:rsidRDefault="009D40B7">
      <w:pPr>
        <w:pStyle w:val="Standard"/>
        <w:jc w:val="center"/>
      </w:pPr>
    </w:p>
    <w:p w14:paraId="7B99C0CF" w14:textId="77777777" w:rsidR="009D40B7" w:rsidRDefault="009D40B7">
      <w:pPr>
        <w:pStyle w:val="Standard"/>
        <w:jc w:val="center"/>
      </w:pPr>
    </w:p>
    <w:p w14:paraId="5486C972" w14:textId="77777777" w:rsidR="009D40B7" w:rsidRDefault="009D40B7">
      <w:pPr>
        <w:pStyle w:val="Standard"/>
        <w:jc w:val="center"/>
      </w:pPr>
    </w:p>
    <w:p w14:paraId="51EB0B2E" w14:textId="77777777" w:rsidR="009D40B7" w:rsidRDefault="009D40B7">
      <w:pPr>
        <w:pStyle w:val="Standard"/>
        <w:jc w:val="center"/>
      </w:pPr>
    </w:p>
    <w:p w14:paraId="4118CBB6" w14:textId="77777777" w:rsidR="009D40B7" w:rsidRDefault="009D40B7">
      <w:pPr>
        <w:pStyle w:val="Standard"/>
        <w:jc w:val="center"/>
      </w:pPr>
    </w:p>
    <w:p w14:paraId="6F4BE373" w14:textId="77777777" w:rsidR="009D40B7" w:rsidRDefault="009D40B7">
      <w:pPr>
        <w:pStyle w:val="Standard"/>
        <w:jc w:val="center"/>
      </w:pPr>
    </w:p>
    <w:p w14:paraId="4D61A6EA" w14:textId="77777777" w:rsidR="009D40B7" w:rsidRDefault="009D40B7">
      <w:pPr>
        <w:pStyle w:val="Standard"/>
        <w:jc w:val="center"/>
      </w:pPr>
    </w:p>
    <w:p w14:paraId="364D4DD4" w14:textId="77777777" w:rsidR="009D40B7" w:rsidRDefault="009D40B7">
      <w:pPr>
        <w:pStyle w:val="Standard"/>
        <w:jc w:val="center"/>
      </w:pPr>
    </w:p>
    <w:p w14:paraId="4EAF8A4B" w14:textId="77777777" w:rsidR="009D40B7" w:rsidRDefault="009D40B7">
      <w:pPr>
        <w:pStyle w:val="Standard"/>
        <w:jc w:val="center"/>
      </w:pPr>
    </w:p>
    <w:p w14:paraId="3F5935A4" w14:textId="77777777" w:rsidR="009D40B7" w:rsidRDefault="009D40B7">
      <w:pPr>
        <w:pStyle w:val="Standard"/>
        <w:jc w:val="center"/>
      </w:pPr>
    </w:p>
    <w:p w14:paraId="5C6B989D" w14:textId="77777777" w:rsidR="009D40B7" w:rsidRDefault="009D40B7">
      <w:pPr>
        <w:pStyle w:val="Standard"/>
      </w:pPr>
    </w:p>
    <w:p w14:paraId="26CA962E" w14:textId="77777777" w:rsidR="009D40B7" w:rsidRDefault="009D40B7">
      <w:pPr>
        <w:pStyle w:val="Standard"/>
      </w:pPr>
    </w:p>
    <w:p w14:paraId="44F01FB4" w14:textId="77777777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Ovaj program rada i plan razvoja izrađen je u cilju prikazivanja poslovanja i razvoja poduzeća. Svi korisnici informacija iz ovog dokumenta obavezni su čuvati njegovu povjerljivost.</w:t>
      </w:r>
    </w:p>
    <w:p w14:paraId="4AFD10AF" w14:textId="77777777" w:rsidR="009D40B7" w:rsidRDefault="009D40B7">
      <w:pPr>
        <w:pStyle w:val="Standard"/>
        <w:jc w:val="center"/>
        <w:rPr>
          <w:sz w:val="28"/>
          <w:szCs w:val="28"/>
        </w:rPr>
      </w:pPr>
    </w:p>
    <w:p w14:paraId="6975F0AC" w14:textId="77777777" w:rsidR="009D40B7" w:rsidRDefault="009D40B7">
      <w:pPr>
        <w:pStyle w:val="Standard"/>
        <w:jc w:val="center"/>
        <w:rPr>
          <w:sz w:val="28"/>
          <w:szCs w:val="28"/>
        </w:rPr>
      </w:pPr>
    </w:p>
    <w:p w14:paraId="6C9EF449" w14:textId="77777777" w:rsidR="009D40B7" w:rsidRDefault="009D40B7">
      <w:pPr>
        <w:pStyle w:val="Standard"/>
        <w:rPr>
          <w:sz w:val="28"/>
          <w:szCs w:val="28"/>
        </w:rPr>
      </w:pPr>
    </w:p>
    <w:p w14:paraId="290E93C0" w14:textId="419CA9CB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30.12.202</w:t>
      </w:r>
      <w:r w:rsidR="00E7044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F46F0B6" w14:textId="2DB85E60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9AD">
        <w:rPr>
          <w:sz w:val="28"/>
          <w:szCs w:val="28"/>
        </w:rPr>
        <w:t xml:space="preserve">v.d. </w:t>
      </w:r>
      <w:r>
        <w:rPr>
          <w:sz w:val="28"/>
          <w:szCs w:val="28"/>
        </w:rPr>
        <w:t xml:space="preserve">Direktor </w:t>
      </w:r>
    </w:p>
    <w:p w14:paraId="4F8D464A" w14:textId="15D1ADAF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9AD">
        <w:rPr>
          <w:sz w:val="28"/>
          <w:szCs w:val="28"/>
        </w:rPr>
        <w:t xml:space="preserve">Mladen </w:t>
      </w:r>
      <w:proofErr w:type="spellStart"/>
      <w:r w:rsidR="00D039AD">
        <w:rPr>
          <w:sz w:val="28"/>
          <w:szCs w:val="28"/>
        </w:rPr>
        <w:t>Zelčić</w:t>
      </w:r>
      <w:proofErr w:type="spellEnd"/>
    </w:p>
    <w:p w14:paraId="79CE6C5B" w14:textId="77777777" w:rsidR="009D40B7" w:rsidRDefault="009D40B7">
      <w:pPr>
        <w:pStyle w:val="Standard"/>
        <w:rPr>
          <w:sz w:val="28"/>
          <w:szCs w:val="28"/>
        </w:rPr>
      </w:pPr>
    </w:p>
    <w:p w14:paraId="7F1FD957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OSNOVNI PODACI</w:t>
      </w:r>
    </w:p>
    <w:p w14:paraId="03E1C93C" w14:textId="77777777" w:rsidR="009D40B7" w:rsidRDefault="009D40B7">
      <w:pPr>
        <w:pStyle w:val="Standard"/>
        <w:rPr>
          <w:sz w:val="28"/>
          <w:szCs w:val="28"/>
        </w:rPr>
      </w:pPr>
    </w:p>
    <w:p w14:paraId="07F1A232" w14:textId="77777777" w:rsidR="009D40B7" w:rsidRDefault="009D40B7">
      <w:pPr>
        <w:pStyle w:val="Standard"/>
        <w:rPr>
          <w:sz w:val="28"/>
          <w:szCs w:val="28"/>
        </w:rPr>
      </w:pPr>
    </w:p>
    <w:p w14:paraId="5BE80FC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0B17D2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41A84A0" w14:textId="77777777" w:rsidR="009D40B7" w:rsidRDefault="0056092E">
      <w:pPr>
        <w:pStyle w:val="Standard"/>
        <w:spacing w:line="276" w:lineRule="auto"/>
      </w:pPr>
      <w:r>
        <w:rPr>
          <w:b/>
          <w:bCs/>
          <w:sz w:val="28"/>
          <w:szCs w:val="28"/>
        </w:rPr>
        <w:t>Naziv tvrtke: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KOMUNALNO PODUZEĆE GORNJA RIJEKA</w:t>
      </w:r>
    </w:p>
    <w:p w14:paraId="685ED0F4" w14:textId="77777777" w:rsidR="009D40B7" w:rsidRDefault="0056092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>d.o.o. za obavljanje komunalne djelatnosti</w:t>
      </w:r>
    </w:p>
    <w:p w14:paraId="188310E3" w14:textId="77777777" w:rsidR="009D40B7" w:rsidRDefault="009D40B7">
      <w:pPr>
        <w:pStyle w:val="Standard"/>
        <w:rPr>
          <w:sz w:val="28"/>
          <w:szCs w:val="28"/>
        </w:rPr>
      </w:pPr>
    </w:p>
    <w:p w14:paraId="772B8BAF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Sjedište: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Trg </w:t>
      </w:r>
      <w:proofErr w:type="spellStart"/>
      <w:r>
        <w:rPr>
          <w:sz w:val="28"/>
          <w:szCs w:val="28"/>
        </w:rPr>
        <w:t>Sidonije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Rubido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Erdödy</w:t>
      </w:r>
      <w:proofErr w:type="spellEnd"/>
      <w:r>
        <w:rPr>
          <w:sz w:val="28"/>
          <w:szCs w:val="28"/>
        </w:rPr>
        <w:t xml:space="preserve"> 3</w:t>
      </w:r>
    </w:p>
    <w:p w14:paraId="5C9AB3C1" w14:textId="77777777" w:rsidR="009D40B7" w:rsidRDefault="009D40B7">
      <w:pPr>
        <w:pStyle w:val="Standard"/>
        <w:rPr>
          <w:sz w:val="28"/>
          <w:szCs w:val="28"/>
        </w:rPr>
      </w:pPr>
    </w:p>
    <w:p w14:paraId="35EEE4A1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Pravni oblik: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Društvo s ograničenom odgovornošću</w:t>
      </w:r>
    </w:p>
    <w:p w14:paraId="28C5D572" w14:textId="77777777" w:rsidR="009D40B7" w:rsidRDefault="009D40B7">
      <w:pPr>
        <w:pStyle w:val="Standard"/>
        <w:rPr>
          <w:sz w:val="28"/>
          <w:szCs w:val="28"/>
        </w:rPr>
      </w:pPr>
    </w:p>
    <w:p w14:paraId="489A51E7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Djelatnost: uslužne: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Djelatnosti uređenja i održavanja krajolika NKD 8130</w:t>
      </w:r>
    </w:p>
    <w:p w14:paraId="6344DC70" w14:textId="77777777" w:rsidR="009D40B7" w:rsidRDefault="009D40B7">
      <w:pPr>
        <w:pStyle w:val="Standard"/>
        <w:rPr>
          <w:sz w:val="28"/>
          <w:szCs w:val="28"/>
        </w:rPr>
      </w:pPr>
    </w:p>
    <w:p w14:paraId="63C9A680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Registarski sud: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Trgovački sud u Varaždinu</w:t>
      </w:r>
    </w:p>
    <w:p w14:paraId="4A057955" w14:textId="77777777" w:rsidR="009D40B7" w:rsidRDefault="009D40B7">
      <w:pPr>
        <w:pStyle w:val="Standard"/>
        <w:rPr>
          <w:sz w:val="28"/>
          <w:szCs w:val="28"/>
        </w:rPr>
      </w:pPr>
    </w:p>
    <w:p w14:paraId="4F0C7CE2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Matični broj: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02280124</w:t>
      </w:r>
    </w:p>
    <w:p w14:paraId="2D1FBD20" w14:textId="77777777" w:rsidR="009D40B7" w:rsidRDefault="009D40B7">
      <w:pPr>
        <w:pStyle w:val="Standard"/>
        <w:rPr>
          <w:sz w:val="28"/>
          <w:szCs w:val="28"/>
        </w:rPr>
      </w:pPr>
    </w:p>
    <w:p w14:paraId="35A731FE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OIB: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77723557751</w:t>
      </w:r>
    </w:p>
    <w:p w14:paraId="6A35AE0B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2862D4DB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IBAN:                                       </w:t>
      </w:r>
      <w:r>
        <w:rPr>
          <w:sz w:val="28"/>
          <w:szCs w:val="28"/>
        </w:rPr>
        <w:t>HR4323600001101980221 – Zagrebačka banka</w:t>
      </w:r>
    </w:p>
    <w:p w14:paraId="728CAEDF" w14:textId="77777777" w:rsidR="009D40B7" w:rsidRDefault="009D40B7">
      <w:pPr>
        <w:pStyle w:val="Standard"/>
        <w:rPr>
          <w:sz w:val="28"/>
          <w:szCs w:val="28"/>
        </w:rPr>
      </w:pPr>
    </w:p>
    <w:p w14:paraId="1A1D8EA2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Godina osnivanja: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2007.</w:t>
      </w:r>
    </w:p>
    <w:p w14:paraId="7AF5ACCC" w14:textId="77777777" w:rsidR="009D40B7" w:rsidRDefault="009D40B7">
      <w:pPr>
        <w:pStyle w:val="Standard"/>
        <w:rPr>
          <w:sz w:val="28"/>
          <w:szCs w:val="28"/>
        </w:rPr>
      </w:pPr>
    </w:p>
    <w:p w14:paraId="3DF3070B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Temeljni kapital: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310.000,00 kn</w:t>
      </w:r>
    </w:p>
    <w:p w14:paraId="2F62116E" w14:textId="77777777" w:rsidR="009D40B7" w:rsidRDefault="009D40B7">
      <w:pPr>
        <w:pStyle w:val="Standard"/>
        <w:rPr>
          <w:sz w:val="28"/>
          <w:szCs w:val="28"/>
        </w:rPr>
      </w:pPr>
    </w:p>
    <w:p w14:paraId="60437A08" w14:textId="0C2FD96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Predsjednik uprave: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169C">
        <w:rPr>
          <w:sz w:val="28"/>
          <w:szCs w:val="28"/>
        </w:rPr>
        <w:t xml:space="preserve">Mlade </w:t>
      </w:r>
      <w:proofErr w:type="spellStart"/>
      <w:r w:rsidR="00BA169C">
        <w:rPr>
          <w:sz w:val="28"/>
          <w:szCs w:val="28"/>
        </w:rPr>
        <w:t>Zelčić</w:t>
      </w:r>
      <w:proofErr w:type="spellEnd"/>
      <w:r w:rsidR="00BA169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169C">
        <w:rPr>
          <w:sz w:val="28"/>
          <w:szCs w:val="28"/>
        </w:rPr>
        <w:t>v.d.</w:t>
      </w:r>
      <w:r>
        <w:rPr>
          <w:sz w:val="28"/>
          <w:szCs w:val="28"/>
        </w:rPr>
        <w:t xml:space="preserve"> direktor</w:t>
      </w:r>
    </w:p>
    <w:p w14:paraId="17AD7347" w14:textId="77777777" w:rsidR="009D40B7" w:rsidRDefault="009D40B7">
      <w:pPr>
        <w:pStyle w:val="Standard"/>
        <w:rPr>
          <w:sz w:val="28"/>
          <w:szCs w:val="28"/>
        </w:rPr>
      </w:pPr>
    </w:p>
    <w:p w14:paraId="742C339F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Vlasnička struktura: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Općina Gornja Rijeka 100%</w:t>
      </w:r>
    </w:p>
    <w:p w14:paraId="5EC549E1" w14:textId="77777777" w:rsidR="009D40B7" w:rsidRDefault="009D40B7">
      <w:pPr>
        <w:pStyle w:val="Standard"/>
        <w:rPr>
          <w:sz w:val="28"/>
          <w:szCs w:val="28"/>
        </w:rPr>
      </w:pPr>
    </w:p>
    <w:p w14:paraId="51B024F6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Skupština: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Načelnik općine Fištrović Darko</w:t>
      </w:r>
    </w:p>
    <w:p w14:paraId="6D86E49B" w14:textId="77777777" w:rsidR="009D40B7" w:rsidRDefault="009D40B7">
      <w:pPr>
        <w:pStyle w:val="Standard"/>
        <w:rPr>
          <w:sz w:val="28"/>
          <w:szCs w:val="28"/>
        </w:rPr>
      </w:pPr>
    </w:p>
    <w:p w14:paraId="6AFCF615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5797380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F50B05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58903D1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2464547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8088C6E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B002AD5" w14:textId="77777777" w:rsidR="009D40B7" w:rsidRDefault="009D40B7">
      <w:pPr>
        <w:pStyle w:val="Standard"/>
        <w:rPr>
          <w:sz w:val="28"/>
          <w:szCs w:val="28"/>
        </w:rPr>
      </w:pPr>
    </w:p>
    <w:p w14:paraId="1078032D" w14:textId="77777777" w:rsidR="009D40B7" w:rsidRDefault="009D40B7">
      <w:pPr>
        <w:pStyle w:val="Standard"/>
        <w:rPr>
          <w:sz w:val="28"/>
          <w:szCs w:val="28"/>
        </w:rPr>
      </w:pPr>
    </w:p>
    <w:p w14:paraId="671E87FF" w14:textId="77777777" w:rsidR="009D40B7" w:rsidRDefault="009D40B7">
      <w:pPr>
        <w:pStyle w:val="Standard"/>
        <w:rPr>
          <w:sz w:val="28"/>
          <w:szCs w:val="28"/>
        </w:rPr>
      </w:pPr>
    </w:p>
    <w:p w14:paraId="195439C0" w14:textId="77777777" w:rsidR="009D40B7" w:rsidRDefault="009D40B7">
      <w:pPr>
        <w:pStyle w:val="Standard"/>
        <w:rPr>
          <w:sz w:val="28"/>
          <w:szCs w:val="28"/>
        </w:rPr>
      </w:pPr>
    </w:p>
    <w:p w14:paraId="4F3834BE" w14:textId="77777777" w:rsidR="009D40B7" w:rsidRDefault="009D40B7">
      <w:pPr>
        <w:pStyle w:val="Standard"/>
        <w:rPr>
          <w:b/>
          <w:bCs/>
          <w:sz w:val="30"/>
          <w:szCs w:val="30"/>
        </w:rPr>
      </w:pPr>
    </w:p>
    <w:p w14:paraId="3A4C4D7E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C45A6E7" w14:textId="77777777" w:rsidR="009D40B7" w:rsidRDefault="0056092E">
      <w:pPr>
        <w:pStyle w:val="Standard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PLAN RADA</w:t>
      </w:r>
    </w:p>
    <w:p w14:paraId="3720B460" w14:textId="77777777" w:rsidR="009D40B7" w:rsidRDefault="009D40B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7CB49326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Komunalno poduzeće Gornja Rijeka d.o.o. u svom djelokrugu poslovanja registrirano je za čitav niz djelatnosti. </w:t>
      </w:r>
    </w:p>
    <w:p w14:paraId="367E1590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je ugovorno vezano s Općinom Gornja Rijeka za obavljanje određenih komunalnih poslova te je imenovano upravom groblja.</w:t>
      </w:r>
    </w:p>
    <w:p w14:paraId="1E0DF96D" w14:textId="77777777" w:rsidR="009D40B7" w:rsidRDefault="009D40B7">
      <w:pPr>
        <w:pStyle w:val="Standard"/>
        <w:jc w:val="both"/>
        <w:rPr>
          <w:sz w:val="28"/>
          <w:szCs w:val="28"/>
        </w:rPr>
      </w:pPr>
    </w:p>
    <w:p w14:paraId="19268259" w14:textId="0C614C56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također posjeduje određenu opremu i iskustvo u obavljanju </w:t>
      </w:r>
      <w:proofErr w:type="spellStart"/>
      <w:r>
        <w:rPr>
          <w:sz w:val="28"/>
          <w:szCs w:val="28"/>
        </w:rPr>
        <w:t>hortikulturalnih</w:t>
      </w:r>
      <w:proofErr w:type="spellEnd"/>
      <w:r>
        <w:rPr>
          <w:sz w:val="28"/>
          <w:szCs w:val="28"/>
        </w:rPr>
        <w:t xml:space="preserve">  radova te radova sanacije i uređenja okoliša. Također, poduzeće posjeduje i kombinirani rovokopač JCB 4CX</w:t>
      </w:r>
      <w:r w:rsidR="00BA169C">
        <w:rPr>
          <w:sz w:val="28"/>
          <w:szCs w:val="28"/>
        </w:rPr>
        <w:t xml:space="preserve"> te pripadajuće žlice (korpe) za prednju i zadnju ruku, ralicu za čišćenje snijega</w:t>
      </w:r>
      <w:r>
        <w:rPr>
          <w:sz w:val="28"/>
          <w:szCs w:val="28"/>
        </w:rPr>
        <w:t>, kamion Mercedes te traktor Renault Ares 656 RZ</w:t>
      </w:r>
      <w:r w:rsidR="008D738E">
        <w:rPr>
          <w:sz w:val="28"/>
          <w:szCs w:val="28"/>
        </w:rPr>
        <w:t xml:space="preserve"> sa pripadajućim priključcima (</w:t>
      </w:r>
      <w:proofErr w:type="spellStart"/>
      <w:r w:rsidR="008D738E">
        <w:rPr>
          <w:sz w:val="28"/>
          <w:szCs w:val="28"/>
        </w:rPr>
        <w:t>malčar</w:t>
      </w:r>
      <w:proofErr w:type="spellEnd"/>
      <w:r w:rsidR="008D738E">
        <w:rPr>
          <w:sz w:val="28"/>
          <w:szCs w:val="28"/>
        </w:rPr>
        <w:t xml:space="preserve">, ralica za čišćenje snijega te </w:t>
      </w:r>
      <w:proofErr w:type="spellStart"/>
      <w:r w:rsidR="008D738E">
        <w:rPr>
          <w:sz w:val="28"/>
          <w:szCs w:val="28"/>
        </w:rPr>
        <w:t>rastepać</w:t>
      </w:r>
      <w:proofErr w:type="spellEnd"/>
      <w:r w:rsidR="008D738E">
        <w:rPr>
          <w:sz w:val="28"/>
          <w:szCs w:val="28"/>
        </w:rPr>
        <w:t xml:space="preserve"> za posipanje soli) </w:t>
      </w:r>
      <w:r>
        <w:rPr>
          <w:sz w:val="28"/>
          <w:szCs w:val="28"/>
        </w:rPr>
        <w:t xml:space="preserve"> što poduzeću omogućuje izvođenje većih zahvata sanacije terena i strojnih iskopa, kao i svih vrsta uređenja zemljišta većeg obujma.</w:t>
      </w:r>
    </w:p>
    <w:p w14:paraId="75634933" w14:textId="77777777" w:rsidR="009D40B7" w:rsidRDefault="009D40B7">
      <w:pPr>
        <w:pStyle w:val="Standard"/>
        <w:jc w:val="both"/>
        <w:rPr>
          <w:sz w:val="28"/>
          <w:szCs w:val="28"/>
        </w:rPr>
      </w:pPr>
    </w:p>
    <w:p w14:paraId="7CFC248E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nastoji kvalitetnim izvođenjem radova i konkurentskim cijenama privući što veći broj potencijalnih korisnika naših usluga te time postići zadovoljavajuću iskoristivost radnih kapaciteta navedenih strojeva. Zadovoljstvo kupaca naših usluga ključno je u strategijskom usmjeravanju poduzeća.</w:t>
      </w:r>
    </w:p>
    <w:p w14:paraId="701365AD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ima jasnu perspektivu razvoja koja se temelji na postizanju maksimalne iskorištenosti sadašnjih kapaciteta te proširenju djelatnosti u skladu s tržišnim kretanjima i potrebama kupaca naših usluga. U tom pogledu nužna je nabava kvalitetne opreme i strojeva za izvršavanje radova </w:t>
      </w:r>
      <w:proofErr w:type="spellStart"/>
      <w:r>
        <w:rPr>
          <w:sz w:val="28"/>
          <w:szCs w:val="28"/>
        </w:rPr>
        <w:t>hortikulturalnog</w:t>
      </w:r>
      <w:proofErr w:type="spellEnd"/>
      <w:r>
        <w:rPr>
          <w:sz w:val="28"/>
          <w:szCs w:val="28"/>
        </w:rPr>
        <w:t xml:space="preserve"> uređenja, kao i opreme za izvođenje manjih građevinskih radova, što je direktno vezano uz povećanje poslovne aktivnosti poduzeća koja se pak nadovezuje na postizanje konkurentnosti u pružanju usluga, a samim time i povećanja potražnje. </w:t>
      </w:r>
    </w:p>
    <w:p w14:paraId="3330950F" w14:textId="77777777" w:rsidR="009D40B7" w:rsidRDefault="009D40B7">
      <w:pPr>
        <w:pStyle w:val="Standard"/>
        <w:jc w:val="both"/>
        <w:rPr>
          <w:sz w:val="26"/>
          <w:szCs w:val="26"/>
        </w:rPr>
      </w:pPr>
    </w:p>
    <w:p w14:paraId="69D339FC" w14:textId="77777777" w:rsidR="009D40B7" w:rsidRDefault="009D40B7">
      <w:pPr>
        <w:pStyle w:val="Standard"/>
        <w:rPr>
          <w:bCs/>
          <w:sz w:val="26"/>
          <w:szCs w:val="26"/>
        </w:rPr>
      </w:pPr>
    </w:p>
    <w:p w14:paraId="67647B1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4D24B6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2A3EE3C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45F74DA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B6A37E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4EED8D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A0217C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D5745C7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81C88E8" w14:textId="77777777" w:rsidR="009D40B7" w:rsidRDefault="005609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INVESTICIJSKI PLAN                   </w:t>
      </w:r>
    </w:p>
    <w:p w14:paraId="29BD0D2A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54AED8C7" w14:textId="77777777" w:rsidR="009D40B7" w:rsidRDefault="005609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dugotrajne imovine:</w:t>
      </w:r>
    </w:p>
    <w:p w14:paraId="52BF1FEF" w14:textId="77777777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9390545" w14:textId="666591BF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Motorni trimer za travu </w:t>
      </w:r>
      <w:r w:rsidR="00286B7F">
        <w:rPr>
          <w:sz w:val="28"/>
          <w:szCs w:val="28"/>
        </w:rPr>
        <w:t>(leđni)</w:t>
      </w:r>
      <w:r>
        <w:rPr>
          <w:sz w:val="28"/>
          <w:szCs w:val="28"/>
        </w:rPr>
        <w:t xml:space="preserve">                                       1 kom          -    </w:t>
      </w:r>
      <w:r w:rsidR="00D039AD">
        <w:rPr>
          <w:sz w:val="28"/>
          <w:szCs w:val="28"/>
        </w:rPr>
        <w:t>7</w:t>
      </w:r>
      <w:r>
        <w:rPr>
          <w:sz w:val="28"/>
          <w:szCs w:val="28"/>
        </w:rPr>
        <w:t>.000,00 kn</w:t>
      </w:r>
    </w:p>
    <w:p w14:paraId="6D928F35" w14:textId="70298B06" w:rsidR="00875315" w:rsidRDefault="008753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Motorna kosilica za travu                                     </w:t>
      </w:r>
      <w:r w:rsidR="00286B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 kom          -</w:t>
      </w:r>
      <w:r w:rsidR="00286B7F">
        <w:rPr>
          <w:sz w:val="28"/>
          <w:szCs w:val="28"/>
        </w:rPr>
        <w:t xml:space="preserve">    4.000,00 kn</w:t>
      </w:r>
    </w:p>
    <w:p w14:paraId="621D5F92" w14:textId="77777777" w:rsidR="00D039AD" w:rsidRDefault="00D039AD">
      <w:pPr>
        <w:pStyle w:val="Standard"/>
      </w:pPr>
    </w:p>
    <w:p w14:paraId="6B8BDBB1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6F77F4E8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67FB5FCA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PLANIRANI PRIHODI:</w:t>
      </w:r>
    </w:p>
    <w:p w14:paraId="3196BDCC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6419"/>
        <w:gridCol w:w="2077"/>
      </w:tblGrid>
      <w:tr w:rsidR="009D40B7" w14:paraId="7A6C25E4" w14:textId="77777777">
        <w:trPr>
          <w:trHeight w:val="283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06C9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3865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prihoda</w:t>
            </w:r>
            <w:proofErr w:type="spellEnd"/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3969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9D40B7" w14:paraId="3FAEE4AC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973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B8E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5E07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185.000,00</w:t>
            </w:r>
          </w:p>
        </w:tc>
      </w:tr>
      <w:tr w:rsidR="009D40B7" w14:paraId="407AF74A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61D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65C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ukopa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FE0C" w14:textId="52FABCC7" w:rsidR="009D40B7" w:rsidRDefault="00875315">
            <w:pPr>
              <w:suppressLineNumbers/>
              <w:jc w:val="right"/>
            </w:pPr>
            <w:r>
              <w:rPr>
                <w:sz w:val="28"/>
                <w:szCs w:val="28"/>
              </w:rPr>
              <w:t>60</w:t>
            </w:r>
            <w:r w:rsidR="0056092E">
              <w:rPr>
                <w:sz w:val="28"/>
                <w:szCs w:val="28"/>
              </w:rPr>
              <w:t>.000,00</w:t>
            </w:r>
          </w:p>
        </w:tc>
      </w:tr>
      <w:tr w:rsidR="009D40B7" w14:paraId="76942BF1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9F0F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75152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DFB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0E9C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160.000,00</w:t>
            </w:r>
          </w:p>
        </w:tc>
      </w:tr>
      <w:tr w:rsidR="009D40B7" w14:paraId="6FA1065B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C26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75153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A03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prodaje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mjesta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dozvola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izgradnju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grobljima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02F3" w14:textId="7FC1DFA7" w:rsidR="009D40B7" w:rsidRDefault="00875315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20</w:t>
            </w:r>
            <w:r w:rsidR="0056092E">
              <w:rPr>
                <w:color w:val="000000"/>
                <w:sz w:val="28"/>
                <w:szCs w:val="28"/>
                <w:lang w:val="en-US" w:eastAsia="en-US" w:bidi="en-US"/>
              </w:rPr>
              <w:t>.000,00</w:t>
            </w:r>
          </w:p>
        </w:tc>
      </w:tr>
      <w:tr w:rsidR="009D40B7" w14:paraId="04DE61C9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C85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75154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B86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zelenih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površina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187E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45.000,00</w:t>
            </w:r>
          </w:p>
        </w:tc>
      </w:tr>
      <w:tr w:rsidR="009D40B7" w14:paraId="6B0CA30D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FE7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75155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CA2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zimske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službe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9568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20.000,00</w:t>
            </w:r>
          </w:p>
        </w:tc>
      </w:tr>
      <w:tr w:rsidR="009D40B7" w14:paraId="3DB54E48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159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7520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3DD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u </w:t>
            </w:r>
            <w:proofErr w:type="spellStart"/>
            <w:r>
              <w:rPr>
                <w:color w:val="000000"/>
                <w:lang w:val="en-US" w:eastAsia="en-US" w:bidi="en-US"/>
              </w:rPr>
              <w:t>graditeljstvu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5897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170.000,00</w:t>
            </w:r>
          </w:p>
        </w:tc>
      </w:tr>
      <w:tr w:rsidR="009D40B7" w14:paraId="4C8692A2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E73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771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FDC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kamata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469B" w14:textId="77777777" w:rsidR="009D40B7" w:rsidRDefault="0056092E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2.000,00</w:t>
            </w:r>
          </w:p>
        </w:tc>
      </w:tr>
      <w:tr w:rsidR="009D40B7" w14:paraId="527AEEE6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210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7826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CAA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naknadno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naplaćenih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prethodnih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godina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62F3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9D40B7" w14:paraId="557E29D8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D9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7839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BFF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ostalih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poslovanja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2F9B" w14:textId="77777777" w:rsidR="009D40B7" w:rsidRDefault="0056092E">
            <w:pPr>
              <w:suppressLineNumber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1.000,00</w:t>
            </w:r>
          </w:p>
        </w:tc>
      </w:tr>
      <w:tr w:rsidR="009D40B7" w14:paraId="2470D802" w14:textId="77777777">
        <w:trPr>
          <w:trHeight w:val="283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29D2" w14:textId="77777777" w:rsidR="009D40B7" w:rsidRDefault="009D40B7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93BC7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F6A5" w14:textId="6005BCC6" w:rsidR="009D40B7" w:rsidRDefault="00286B7F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713</w:t>
            </w:r>
            <w:r w:rsidR="0056092E">
              <w:rPr>
                <w:b/>
                <w:bCs/>
                <w:color w:val="000000"/>
                <w:lang w:val="en-US" w:eastAsia="en-US" w:bidi="en-US"/>
              </w:rPr>
              <w:t>.000,00</w:t>
            </w:r>
          </w:p>
        </w:tc>
      </w:tr>
    </w:tbl>
    <w:p w14:paraId="181B83D2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729CC084" w14:textId="77777777" w:rsidR="009D40B7" w:rsidRDefault="009D40B7">
      <w:pPr>
        <w:pStyle w:val="Standard"/>
        <w:rPr>
          <w:bCs/>
          <w:sz w:val="20"/>
          <w:szCs w:val="20"/>
        </w:rPr>
      </w:pPr>
    </w:p>
    <w:p w14:paraId="02926EC2" w14:textId="77777777" w:rsidR="009D40B7" w:rsidRDefault="009D40B7">
      <w:pPr>
        <w:pStyle w:val="Standard"/>
        <w:rPr>
          <w:bCs/>
          <w:sz w:val="20"/>
          <w:szCs w:val="20"/>
        </w:rPr>
      </w:pPr>
    </w:p>
    <w:p w14:paraId="46AFC40B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RASHODI POSLOVANJA:</w:t>
      </w:r>
    </w:p>
    <w:p w14:paraId="6000C359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6421"/>
        <w:gridCol w:w="2072"/>
      </w:tblGrid>
      <w:tr w:rsidR="009D40B7" w14:paraId="0F948E0B" w14:textId="77777777">
        <w:trPr>
          <w:trHeight w:val="255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06A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D590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rashoda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C52F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9D40B7" w14:paraId="0FD4EDD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FA1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F443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Osnovni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sirovine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A45A" w14:textId="77777777" w:rsidR="009D40B7" w:rsidRDefault="0056092E">
            <w:pPr>
              <w:suppressLineNumbers/>
              <w:jc w:val="right"/>
            </w:pPr>
            <w:r>
              <w:t>40.000,00</w:t>
            </w:r>
          </w:p>
        </w:tc>
      </w:tr>
      <w:tr w:rsidR="009D40B7" w14:paraId="48CCCBA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D5BF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0AA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Poluproizvodi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ugradnju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A146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21DA5E5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9B9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969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Pomoćni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material (</w:t>
            </w:r>
            <w:proofErr w:type="spellStart"/>
            <w:r>
              <w:rPr>
                <w:color w:val="000000"/>
                <w:lang w:val="en-US" w:eastAsia="en-US" w:bidi="en-US"/>
              </w:rPr>
              <w:t>mazivo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ljepila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svrdla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pile </w:t>
            </w:r>
            <w:proofErr w:type="spellStart"/>
            <w:r>
              <w:rPr>
                <w:color w:val="000000"/>
                <w:lang w:val="en-US" w:eastAsia="en-US" w:bidi="en-US"/>
              </w:rPr>
              <w:t>itd</w:t>
            </w:r>
            <w:proofErr w:type="spellEnd"/>
            <w:r>
              <w:rPr>
                <w:color w:val="000000"/>
                <w:lang w:val="en-US" w:eastAsia="en-US" w:bidi="en-US"/>
              </w:rPr>
              <w:t>.)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41C7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569D674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EA9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4004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E15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Potrošni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material za </w:t>
            </w:r>
            <w:proofErr w:type="spellStart"/>
            <w:r>
              <w:rPr>
                <w:color w:val="000000"/>
                <w:lang w:val="en-US" w:eastAsia="en-US" w:bidi="en-US"/>
              </w:rPr>
              <w:t>čišćenje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B66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75B0952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46B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BE1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HTZ </w:t>
            </w:r>
            <w:proofErr w:type="spellStart"/>
            <w:r>
              <w:rPr>
                <w:color w:val="000000"/>
                <w:lang w:val="en-US" w:eastAsia="en-US" w:bidi="en-US"/>
              </w:rPr>
              <w:t>zaštitu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 w:bidi="en-US"/>
              </w:rPr>
              <w:t>radna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odjeća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obuća</w:t>
            </w:r>
            <w:proofErr w:type="spellEnd"/>
            <w:r>
              <w:rPr>
                <w:color w:val="000000"/>
                <w:lang w:val="en-US" w:eastAsia="en-US" w:bidi="en-US"/>
              </w:rPr>
              <w:t>)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54E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771C383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E45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lastRenderedPageBreak/>
              <w:t>4009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EDB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opći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pogona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847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13A2023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B3A2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07E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Uredski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B9C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2A6E770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7415" w14:textId="77777777" w:rsidR="009D40B7" w:rsidRDefault="0056092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4040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38C0" w14:textId="77777777" w:rsidR="009D40B7" w:rsidRDefault="0056092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Trošak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sitnog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inventara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DF8A" w14:textId="77777777" w:rsidR="009D40B7" w:rsidRDefault="0056092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500,00</w:t>
            </w:r>
          </w:p>
        </w:tc>
      </w:tr>
      <w:tr w:rsidR="009D40B7" w14:paraId="0F010AB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A687" w14:textId="77777777" w:rsidR="009D40B7" w:rsidRDefault="0056092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7876" w14:textId="77777777" w:rsidR="009D40B7" w:rsidRDefault="0056092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Potrošeni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rezervni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djelovi</w:t>
            </w:r>
            <w:proofErr w:type="spellEnd"/>
            <w:r>
              <w:rPr>
                <w:lang w:val="en-US" w:eastAsia="en-US" w:bidi="en-US"/>
              </w:rPr>
              <w:t xml:space="preserve"> za </w:t>
            </w:r>
            <w:proofErr w:type="spellStart"/>
            <w:r>
              <w:rPr>
                <w:lang w:val="en-US" w:eastAsia="en-US" w:bidi="en-US"/>
              </w:rPr>
              <w:t>popravak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vlastite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opreme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249A" w14:textId="77777777" w:rsidR="009D40B7" w:rsidRDefault="0056092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4.000,00</w:t>
            </w:r>
          </w:p>
        </w:tc>
      </w:tr>
      <w:tr w:rsidR="009D40B7" w14:paraId="5242BFB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5E4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4051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91AD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opreme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objekata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94A7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03E4DC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51F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4063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D74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Dizelsko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gorivo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benzin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motorno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ulje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BBB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50.000,00</w:t>
            </w:r>
          </w:p>
        </w:tc>
      </w:tr>
      <w:tr w:rsidR="009D40B7" w14:paraId="61D5AA0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9864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310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telefona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interneta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0B8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7.000,00</w:t>
            </w:r>
          </w:p>
        </w:tc>
      </w:tr>
      <w:tr w:rsidR="009D40B7" w14:paraId="3A9F67A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13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F03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Poštanski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055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3C9BD86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15B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4111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CED9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koperanata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zajedničkim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trećima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36D8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9D40B7" w14:paraId="61BF9C8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E2C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B8D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Nabavljene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investicijsko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popravak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E8D1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15.000,00</w:t>
            </w:r>
          </w:p>
        </w:tc>
      </w:tr>
      <w:tr w:rsidR="009D40B7" w14:paraId="48CBA6B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B1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0A27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web </w:t>
            </w:r>
            <w:proofErr w:type="spellStart"/>
            <w:r>
              <w:rPr>
                <w:color w:val="000000"/>
                <w:lang w:val="en-US" w:eastAsia="en-US" w:bidi="en-US"/>
              </w:rPr>
              <w:t>stranica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769F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035CC90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F5C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973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okoliša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AF0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3.000,00</w:t>
            </w:r>
          </w:p>
        </w:tc>
      </w:tr>
      <w:tr w:rsidR="009D40B7" w14:paraId="15BE733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E6B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4132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A823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registracije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dostavnih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teretnih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AD34" w14:textId="5FFD493E" w:rsidR="009D40B7" w:rsidRDefault="00175E3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10</w:t>
            </w:r>
            <w:r w:rsidR="0056092E">
              <w:rPr>
                <w:color w:val="000000"/>
                <w:lang w:val="en-US" w:eastAsia="en-US" w:bidi="en-US"/>
              </w:rPr>
              <w:t>.000,00</w:t>
            </w:r>
          </w:p>
        </w:tc>
      </w:tr>
      <w:tr w:rsidR="009D40B7" w14:paraId="025969B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D2B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4164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6B0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Knjigovodstvene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EBDE" w14:textId="58B728C2" w:rsidR="009D40B7" w:rsidRDefault="00175E3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</w:t>
            </w:r>
            <w:r w:rsidR="0056092E">
              <w:rPr>
                <w:color w:val="000000"/>
                <w:lang w:val="en-US" w:eastAsia="en-US" w:bidi="en-US"/>
              </w:rPr>
              <w:t>.</w:t>
            </w:r>
            <w:r>
              <w:rPr>
                <w:color w:val="000000"/>
                <w:lang w:val="en-US" w:eastAsia="en-US" w:bidi="en-US"/>
              </w:rPr>
              <w:t>0</w:t>
            </w:r>
            <w:r w:rsidR="0056092E">
              <w:rPr>
                <w:color w:val="000000"/>
                <w:lang w:val="en-US" w:eastAsia="en-US" w:bidi="en-US"/>
              </w:rPr>
              <w:t>00,00</w:t>
            </w:r>
          </w:p>
        </w:tc>
      </w:tr>
      <w:tr w:rsidR="009D40B7" w14:paraId="60956BA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183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4167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29E3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Odvjetničke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bilježničke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B88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607E69C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EAD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4179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DEE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komunalne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ekološke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deponiranje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otpada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FE3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11.000,00</w:t>
            </w:r>
          </w:p>
        </w:tc>
      </w:tr>
      <w:tr w:rsidR="009D40B7" w14:paraId="44BFE49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449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49A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Neto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DFD5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250.000,00</w:t>
            </w:r>
          </w:p>
        </w:tc>
      </w:tr>
      <w:tr w:rsidR="009D40B7" w14:paraId="1D94254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4D0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4220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DD6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doprinosa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poreza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prireza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A18C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72.000,00</w:t>
            </w:r>
          </w:p>
        </w:tc>
      </w:tr>
      <w:tr w:rsidR="009D40B7" w14:paraId="7097250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7E6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904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zdravstveno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ozljede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zapošljavanje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E3D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53.000,00</w:t>
            </w:r>
          </w:p>
        </w:tc>
      </w:tr>
      <w:tr w:rsidR="009D40B7" w14:paraId="409529A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103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573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benificirani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staž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6EA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29C1E4A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54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4302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B12E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Amortizacija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ostalih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385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20.000,00</w:t>
            </w:r>
          </w:p>
        </w:tc>
      </w:tr>
      <w:tr w:rsidR="009D40B7" w14:paraId="43EC53F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F212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4450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608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Vrijednosna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usklađenja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kupaca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DEA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30.000,00</w:t>
            </w:r>
          </w:p>
        </w:tc>
      </w:tr>
      <w:tr w:rsidR="009D40B7" w14:paraId="16BE3A9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D84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532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posao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 </w:t>
            </w:r>
            <w:proofErr w:type="spellStart"/>
            <w:r>
              <w:rPr>
                <w:color w:val="000000"/>
                <w:lang w:val="en-US" w:eastAsia="en-US" w:bidi="en-US"/>
              </w:rPr>
              <w:t>posla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781F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27.000,00</w:t>
            </w:r>
          </w:p>
        </w:tc>
      </w:tr>
      <w:tr w:rsidR="009D40B7" w14:paraId="562BB61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94E5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BD25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Prigodne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nagrade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</w:t>
            </w:r>
            <w:proofErr w:type="spellStart"/>
            <w:r>
              <w:rPr>
                <w:color w:val="000000"/>
                <w:lang w:val="en-US" w:eastAsia="en-US" w:bidi="en-US"/>
              </w:rPr>
              <w:t>božićnice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uskrsnice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E91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9D40B7" w14:paraId="3AD13C3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08F7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DFC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Premije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osiguranja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sredstava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uključujući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kasko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567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4.500,00</w:t>
            </w:r>
          </w:p>
        </w:tc>
      </w:tr>
      <w:tr w:rsidR="009D40B7" w14:paraId="5C97A990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CE6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CC0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platnog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bankovne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8E6C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2.500,00</w:t>
            </w:r>
          </w:p>
        </w:tc>
      </w:tr>
      <w:tr w:rsidR="009D40B7" w14:paraId="0CF399D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DB78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627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Članarine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komori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HGK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0B5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50962F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C47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4686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916B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uporabe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računalnih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programa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A846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227A170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930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B82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proofErr w:type="gramStart"/>
            <w:r>
              <w:rPr>
                <w:color w:val="000000"/>
                <w:lang w:val="en-US" w:eastAsia="en-US" w:bidi="en-US"/>
              </w:rPr>
              <w:t>priručnike,časopise</w:t>
            </w:r>
            <w:proofErr w:type="spellEnd"/>
            <w:proofErr w:type="gram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stručnu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literaturu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A1F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23BD2E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BF75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BE8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sistematskih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kontrolnih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liječničkih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pregleda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FE69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7A1F81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53D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4698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44F7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licenciranja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certifikata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95F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24A53C8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0A0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4799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99F6A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nespomenuti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financijski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87B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70A37BE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928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0215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570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Nabavka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dugotrajne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imovine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4EB0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6.000,00</w:t>
            </w:r>
          </w:p>
        </w:tc>
      </w:tr>
      <w:tr w:rsidR="009D40B7" w14:paraId="7ADD3A44" w14:textId="77777777">
        <w:trPr>
          <w:trHeight w:val="283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D93C" w14:textId="77777777" w:rsidR="009D40B7" w:rsidRDefault="009D40B7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BE2C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5CA0" w14:textId="0CB4492A" w:rsidR="009D40B7" w:rsidRDefault="0076590B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647</w:t>
            </w:r>
            <w:r w:rsidR="0056092E">
              <w:rPr>
                <w:b/>
                <w:bCs/>
                <w:color w:val="000000"/>
                <w:lang w:val="en-US" w:eastAsia="en-US" w:bidi="en-US"/>
              </w:rPr>
              <w:t>.500,00</w:t>
            </w:r>
          </w:p>
        </w:tc>
      </w:tr>
    </w:tbl>
    <w:p w14:paraId="1411423C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526B144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686B63C1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7ADECC3C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504E13EE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5E5F6E4C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0E17357A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2B6B30F5" w14:textId="77777777" w:rsidR="009D40B7" w:rsidRDefault="0056092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FINANCIJSKI POKAZATELJ</w:t>
      </w:r>
    </w:p>
    <w:p w14:paraId="4A420437" w14:textId="77777777" w:rsidR="009D40B7" w:rsidRDefault="009D40B7">
      <w:pPr>
        <w:pStyle w:val="Standard"/>
        <w:spacing w:line="360" w:lineRule="auto"/>
        <w:rPr>
          <w:sz w:val="28"/>
          <w:szCs w:val="28"/>
        </w:rPr>
      </w:pPr>
    </w:p>
    <w:p w14:paraId="61A88A52" w14:textId="2EF4FFDF" w:rsidR="009D40B7" w:rsidRDefault="0056092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Planirani ukupni prihodi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70443">
        <w:rPr>
          <w:sz w:val="28"/>
          <w:szCs w:val="28"/>
        </w:rPr>
        <w:t>713</w:t>
      </w:r>
      <w:r>
        <w:rPr>
          <w:sz w:val="28"/>
          <w:szCs w:val="28"/>
        </w:rPr>
        <w:t>.000,00 kn</w:t>
      </w:r>
    </w:p>
    <w:p w14:paraId="19CF4B8D" w14:textId="57EFF0A9" w:rsidR="009D40B7" w:rsidRDefault="0056092E">
      <w:pPr>
        <w:pStyle w:val="Standard"/>
        <w:spacing w:line="360" w:lineRule="auto"/>
      </w:pPr>
      <w:r>
        <w:rPr>
          <w:sz w:val="28"/>
          <w:szCs w:val="28"/>
        </w:rPr>
        <w:t>Planirani ukupni rashodi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64</w:t>
      </w:r>
      <w:r w:rsidR="00E7044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.500,00 kn</w:t>
      </w:r>
    </w:p>
    <w:p w14:paraId="409218F2" w14:textId="0CE0EC31" w:rsidR="009D40B7" w:rsidRDefault="0056092E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Planirani dobitak</w:t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E70443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.500,00 kn</w:t>
      </w:r>
    </w:p>
    <w:p w14:paraId="3FD3C2A6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9DF1FC4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FD2644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55E4CAB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DAFF12C" w14:textId="77777777" w:rsidR="009D40B7" w:rsidRDefault="009D40B7">
      <w:pPr>
        <w:pStyle w:val="Standard"/>
        <w:rPr>
          <w:sz w:val="28"/>
          <w:szCs w:val="28"/>
        </w:rPr>
      </w:pPr>
    </w:p>
    <w:p w14:paraId="31C3EF8A" w14:textId="2A354A49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30.12.202</w:t>
      </w:r>
      <w:r w:rsidR="00E7044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44C950B5" w14:textId="77777777" w:rsidR="009D40B7" w:rsidRDefault="009D40B7">
      <w:pPr>
        <w:pStyle w:val="Standard"/>
        <w:rPr>
          <w:sz w:val="28"/>
          <w:szCs w:val="28"/>
        </w:rPr>
      </w:pPr>
    </w:p>
    <w:p w14:paraId="7A2A05D8" w14:textId="2811E111" w:rsidR="009D40B7" w:rsidRDefault="0056092E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0443">
        <w:rPr>
          <w:sz w:val="28"/>
          <w:szCs w:val="28"/>
        </w:rPr>
        <w:t>v.d.</w:t>
      </w:r>
      <w:r>
        <w:rPr>
          <w:sz w:val="28"/>
          <w:szCs w:val="28"/>
        </w:rPr>
        <w:t xml:space="preserve"> Direktor </w:t>
      </w:r>
    </w:p>
    <w:p w14:paraId="392F245C" w14:textId="0FB44735" w:rsidR="009D40B7" w:rsidRDefault="0056092E">
      <w:pPr>
        <w:pStyle w:val="Standard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70443">
        <w:rPr>
          <w:sz w:val="28"/>
          <w:szCs w:val="28"/>
        </w:rPr>
        <w:t>Mladen Zelčić</w:t>
      </w:r>
    </w:p>
    <w:sectPr w:rsidR="009D40B7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5733" w14:textId="77777777" w:rsidR="00756B52" w:rsidRDefault="00756B52">
      <w:r>
        <w:separator/>
      </w:r>
    </w:p>
  </w:endnote>
  <w:endnote w:type="continuationSeparator" w:id="0">
    <w:p w14:paraId="53B0431E" w14:textId="77777777" w:rsidR="00756B52" w:rsidRDefault="0075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62C7" w14:textId="77777777" w:rsidR="004077B2" w:rsidRDefault="0056092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9295C9C" w14:textId="77777777" w:rsidR="004077B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4277" w14:textId="77777777" w:rsidR="00756B52" w:rsidRDefault="00756B52">
      <w:r>
        <w:rPr>
          <w:color w:val="000000"/>
        </w:rPr>
        <w:separator/>
      </w:r>
    </w:p>
  </w:footnote>
  <w:footnote w:type="continuationSeparator" w:id="0">
    <w:p w14:paraId="3783B37D" w14:textId="77777777" w:rsidR="00756B52" w:rsidRDefault="0075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B7"/>
    <w:rsid w:val="000904FE"/>
    <w:rsid w:val="001015EC"/>
    <w:rsid w:val="00175E3E"/>
    <w:rsid w:val="001F6E31"/>
    <w:rsid w:val="00286B7F"/>
    <w:rsid w:val="003B75A6"/>
    <w:rsid w:val="0056092E"/>
    <w:rsid w:val="00756B52"/>
    <w:rsid w:val="0076590B"/>
    <w:rsid w:val="00875315"/>
    <w:rsid w:val="008D738E"/>
    <w:rsid w:val="009D40B7"/>
    <w:rsid w:val="00BA169C"/>
    <w:rsid w:val="00D039AD"/>
    <w:rsid w:val="00E70443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B829"/>
  <w15:docId w15:val="{A8FF9643-E73F-4571-8B69-EAE0E12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15EA-A7C7-42E4-953B-D836F4B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Komunalno poduzeće Gornja Rijeka</cp:lastModifiedBy>
  <cp:revision>2</cp:revision>
  <cp:lastPrinted>2021-01-28T12:53:00Z</cp:lastPrinted>
  <dcterms:created xsi:type="dcterms:W3CDTF">2023-02-06T07:32:00Z</dcterms:created>
  <dcterms:modified xsi:type="dcterms:W3CDTF">2023-02-06T07:32:00Z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