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7D30934D" w14:textId="77777777" w:rsidR="00F82719" w:rsidRPr="00C245F8" w:rsidRDefault="00F82719" w:rsidP="001D3EBA">
      <w:pPr>
        <w:rPr>
          <w:rFonts w:cstheme="minorHAnsi"/>
          <w:b/>
          <w:color w:val="000000" w:themeColor="text1"/>
          <w:sz w:val="24"/>
          <w:szCs w:val="24"/>
        </w:rPr>
      </w:pPr>
      <w:bookmarkStart w:id="0" w:name="_Hlk149306702"/>
      <w:bookmarkEnd w:id="0"/>
    </w:p>
    <w:p w14:paraId="7D29C84C" w14:textId="1BD1D904" w:rsidR="00F82719" w:rsidRPr="008A7F4F" w:rsidRDefault="008A7F4F" w:rsidP="008A7F4F">
      <w:pPr>
        <w:ind w:left="426"/>
        <w:rPr>
          <w:rFonts w:cstheme="minorHAnsi"/>
          <w:b/>
          <w:bCs/>
          <w:color w:val="2F5496" w:themeColor="accent1" w:themeShade="BF"/>
          <w:sz w:val="32"/>
          <w:szCs w:val="32"/>
        </w:rPr>
      </w:pPr>
      <w:r w:rsidRPr="008A7F4F">
        <w:rPr>
          <w:b/>
          <w:bCs/>
          <w:noProof/>
          <w:color w:val="2F5496" w:themeColor="accent1" w:themeShade="BF"/>
          <w:sz w:val="32"/>
          <w:szCs w:val="32"/>
          <w:lang w:eastAsia="hr-HR"/>
        </w:rPr>
        <w:t>OPĆINA GORNJA RIJEKA</w:t>
      </w:r>
    </w:p>
    <w:p w14:paraId="68A01757" w14:textId="74AA7B99" w:rsidR="00F82719" w:rsidRPr="008A7F4F" w:rsidRDefault="00F82719" w:rsidP="006D42C9">
      <w:pPr>
        <w:jc w:val="center"/>
        <w:rPr>
          <w:rFonts w:cstheme="minorHAnsi"/>
          <w:b/>
          <w:color w:val="2F5496" w:themeColor="accent1" w:themeShade="BF"/>
          <w:sz w:val="36"/>
          <w:szCs w:val="36"/>
        </w:rPr>
      </w:pPr>
    </w:p>
    <w:p w14:paraId="4B549F68" w14:textId="08743852" w:rsidR="008A7F4F" w:rsidRPr="008A7F4F" w:rsidRDefault="008A7F4F" w:rsidP="006D42C9">
      <w:pPr>
        <w:jc w:val="center"/>
        <w:rPr>
          <w:rFonts w:cstheme="minorHAnsi"/>
          <w:b/>
          <w:color w:val="2F5496" w:themeColor="accent1" w:themeShade="BF"/>
          <w:sz w:val="36"/>
          <w:szCs w:val="36"/>
        </w:rPr>
      </w:pPr>
    </w:p>
    <w:p w14:paraId="6DA1459A" w14:textId="18B401C9" w:rsidR="008A7F4F" w:rsidRDefault="008A7F4F" w:rsidP="006D42C9">
      <w:pPr>
        <w:jc w:val="center"/>
        <w:rPr>
          <w:rFonts w:cstheme="minorHAnsi"/>
          <w:b/>
          <w:color w:val="2F5496" w:themeColor="accent1" w:themeShade="BF"/>
          <w:sz w:val="36"/>
          <w:szCs w:val="36"/>
        </w:rPr>
      </w:pPr>
    </w:p>
    <w:p w14:paraId="4CB54B98" w14:textId="77777777" w:rsidR="008A7F4F" w:rsidRPr="008A7F4F" w:rsidRDefault="008A7F4F" w:rsidP="006D42C9">
      <w:pPr>
        <w:jc w:val="center"/>
        <w:rPr>
          <w:rFonts w:cstheme="minorHAnsi"/>
          <w:b/>
          <w:color w:val="2F5496" w:themeColor="accent1" w:themeShade="BF"/>
          <w:sz w:val="36"/>
          <w:szCs w:val="36"/>
        </w:rPr>
      </w:pPr>
    </w:p>
    <w:p w14:paraId="28442F52" w14:textId="057BAD0D" w:rsidR="008A7F4F" w:rsidRPr="008A7F4F" w:rsidRDefault="00F82719" w:rsidP="00F82719">
      <w:pPr>
        <w:jc w:val="center"/>
        <w:rPr>
          <w:rFonts w:cstheme="minorHAnsi"/>
          <w:color w:val="2F5496" w:themeColor="accent1" w:themeShade="BF"/>
        </w:rPr>
      </w:pPr>
      <w:r w:rsidRPr="008A7F4F">
        <w:rPr>
          <w:rFonts w:cstheme="minorHAnsi"/>
          <w:b/>
          <w:color w:val="2F5496" w:themeColor="accent1" w:themeShade="BF"/>
          <w:sz w:val="36"/>
          <w:szCs w:val="36"/>
        </w:rPr>
        <w:t>V</w:t>
      </w:r>
      <w:r w:rsidR="008A7F4F" w:rsidRPr="008A7F4F">
        <w:rPr>
          <w:rFonts w:cstheme="minorHAnsi"/>
          <w:b/>
          <w:color w:val="2F5496" w:themeColor="accent1" w:themeShade="BF"/>
          <w:sz w:val="36"/>
          <w:szCs w:val="36"/>
        </w:rPr>
        <w:t>ODIČ ZA GRAĐANE</w:t>
      </w:r>
    </w:p>
    <w:p w14:paraId="1A61A497" w14:textId="0E612EF3" w:rsidR="00F82719" w:rsidRPr="008A7F4F" w:rsidRDefault="008A7F4F" w:rsidP="00F82719">
      <w:pPr>
        <w:jc w:val="center"/>
        <w:rPr>
          <w:rFonts w:cstheme="minorHAnsi"/>
          <w:b/>
          <w:color w:val="2F5496" w:themeColor="accent1" w:themeShade="BF"/>
          <w:sz w:val="36"/>
          <w:szCs w:val="36"/>
        </w:rPr>
      </w:pPr>
      <w:r w:rsidRPr="008A7F4F">
        <w:rPr>
          <w:rFonts w:cstheme="minorHAnsi"/>
          <w:b/>
          <w:bCs/>
          <w:color w:val="2F5496" w:themeColor="accent1" w:themeShade="BF"/>
          <w:sz w:val="36"/>
          <w:szCs w:val="36"/>
        </w:rPr>
        <w:t>Proračun Općine Gornja Rijeka za</w:t>
      </w:r>
      <w:r w:rsidRPr="008A7F4F">
        <w:rPr>
          <w:rFonts w:cstheme="minorHAnsi"/>
          <w:color w:val="2F5496" w:themeColor="accent1" w:themeShade="BF"/>
        </w:rPr>
        <w:t xml:space="preserve"> </w:t>
      </w:r>
      <w:r w:rsidR="00572279" w:rsidRPr="008A7F4F">
        <w:rPr>
          <w:rFonts w:cstheme="minorHAnsi"/>
          <w:b/>
          <w:color w:val="2F5496" w:themeColor="accent1" w:themeShade="BF"/>
          <w:sz w:val="36"/>
          <w:szCs w:val="36"/>
        </w:rPr>
        <w:t xml:space="preserve"> 202</w:t>
      </w:r>
      <w:r w:rsidR="006F65F2">
        <w:rPr>
          <w:rFonts w:cstheme="minorHAnsi"/>
          <w:b/>
          <w:color w:val="2F5496" w:themeColor="accent1" w:themeShade="BF"/>
          <w:sz w:val="36"/>
          <w:szCs w:val="36"/>
        </w:rPr>
        <w:t>5</w:t>
      </w:r>
      <w:r w:rsidR="00572279" w:rsidRPr="008A7F4F">
        <w:rPr>
          <w:rFonts w:cstheme="minorHAnsi"/>
          <w:b/>
          <w:color w:val="2F5496" w:themeColor="accent1" w:themeShade="BF"/>
          <w:sz w:val="36"/>
          <w:szCs w:val="36"/>
        </w:rPr>
        <w:t xml:space="preserve">. </w:t>
      </w:r>
    </w:p>
    <w:p w14:paraId="6FB34030" w14:textId="4A7EFC45" w:rsidR="008A7F4F" w:rsidRDefault="008A7F4F" w:rsidP="00F82719">
      <w:pPr>
        <w:jc w:val="center"/>
        <w:rPr>
          <w:rFonts w:cstheme="minorHAnsi"/>
          <w:b/>
          <w:color w:val="4472C4" w:themeColor="accent1"/>
          <w:sz w:val="36"/>
          <w:szCs w:val="36"/>
        </w:rPr>
      </w:pPr>
      <w:r w:rsidRPr="008A7F4F">
        <w:rPr>
          <w:rFonts w:cstheme="minorHAnsi"/>
          <w:b/>
          <w:color w:val="2F5496" w:themeColor="accent1" w:themeShade="BF"/>
          <w:sz w:val="36"/>
          <w:szCs w:val="36"/>
        </w:rPr>
        <w:t>i projekcije za 202</w:t>
      </w:r>
      <w:r w:rsidR="006F65F2">
        <w:rPr>
          <w:rFonts w:cstheme="minorHAnsi"/>
          <w:b/>
          <w:color w:val="2F5496" w:themeColor="accent1" w:themeShade="BF"/>
          <w:sz w:val="36"/>
          <w:szCs w:val="36"/>
        </w:rPr>
        <w:t>6</w:t>
      </w:r>
      <w:r w:rsidRPr="008A7F4F">
        <w:rPr>
          <w:rFonts w:cstheme="minorHAnsi"/>
          <w:b/>
          <w:color w:val="2F5496" w:themeColor="accent1" w:themeShade="BF"/>
          <w:sz w:val="36"/>
          <w:szCs w:val="36"/>
        </w:rPr>
        <w:t>. i 202</w:t>
      </w:r>
      <w:r w:rsidR="006F65F2">
        <w:rPr>
          <w:rFonts w:cstheme="minorHAnsi"/>
          <w:b/>
          <w:color w:val="2F5496" w:themeColor="accent1" w:themeShade="BF"/>
          <w:sz w:val="36"/>
          <w:szCs w:val="36"/>
        </w:rPr>
        <w:t>7</w:t>
      </w:r>
      <w:r w:rsidRPr="008A7F4F">
        <w:rPr>
          <w:rFonts w:cstheme="minorHAnsi"/>
          <w:b/>
          <w:color w:val="2F5496" w:themeColor="accent1" w:themeShade="BF"/>
          <w:sz w:val="36"/>
          <w:szCs w:val="36"/>
        </w:rPr>
        <w:t>. godinu</w:t>
      </w:r>
    </w:p>
    <w:p w14:paraId="23069CD5" w14:textId="77777777" w:rsidR="00AD0569" w:rsidRPr="00B6007A" w:rsidRDefault="00AD0569" w:rsidP="00F82719">
      <w:pPr>
        <w:jc w:val="center"/>
        <w:rPr>
          <w:rFonts w:cstheme="minorHAnsi"/>
          <w:b/>
          <w:color w:val="4472C4" w:themeColor="accent1"/>
          <w:sz w:val="36"/>
          <w:szCs w:val="36"/>
        </w:rPr>
      </w:pPr>
    </w:p>
    <w:p w14:paraId="25351B47" w14:textId="2E9C7817" w:rsidR="00F82719" w:rsidRPr="00B6007A" w:rsidRDefault="00F82719">
      <w:pPr>
        <w:rPr>
          <w:rFonts w:cstheme="minorHAnsi"/>
          <w:b/>
          <w:color w:val="FF0000"/>
          <w:sz w:val="24"/>
          <w:szCs w:val="24"/>
        </w:rPr>
      </w:pPr>
      <w:r w:rsidRPr="00B6007A">
        <w:rPr>
          <w:rFonts w:cstheme="minorHAnsi"/>
          <w:b/>
          <w:color w:val="FF0000"/>
          <w:sz w:val="24"/>
          <w:szCs w:val="24"/>
        </w:rPr>
        <w:br w:type="page"/>
      </w:r>
    </w:p>
    <w:p w14:paraId="2AAF62FF" w14:textId="32CF7741" w:rsidR="00300100" w:rsidRPr="00E73BBB" w:rsidRDefault="0020632B" w:rsidP="00846565">
      <w:pPr>
        <w:spacing w:after="0"/>
        <w:jc w:val="both"/>
        <w:rPr>
          <w:rFonts w:cstheme="minorHAnsi"/>
          <w:b/>
          <w:sz w:val="24"/>
          <w:szCs w:val="24"/>
        </w:rPr>
      </w:pPr>
      <w:r w:rsidRPr="00E73BBB">
        <w:rPr>
          <w:rFonts w:cstheme="minorHAnsi"/>
          <w:b/>
          <w:sz w:val="24"/>
          <w:szCs w:val="24"/>
        </w:rPr>
        <w:lastRenderedPageBreak/>
        <w:t>Poštovan</w:t>
      </w:r>
      <w:r w:rsidR="008B2825">
        <w:rPr>
          <w:rFonts w:cstheme="minorHAnsi"/>
          <w:b/>
          <w:sz w:val="24"/>
          <w:szCs w:val="24"/>
        </w:rPr>
        <w:t xml:space="preserve">e građanke i </w:t>
      </w:r>
      <w:r w:rsidRPr="00E73BBB">
        <w:rPr>
          <w:rFonts w:cstheme="minorHAnsi"/>
          <w:b/>
          <w:sz w:val="24"/>
          <w:szCs w:val="24"/>
        </w:rPr>
        <w:t>građani,</w:t>
      </w:r>
    </w:p>
    <w:p w14:paraId="605214D0" w14:textId="3A6FE953" w:rsidR="008B2825" w:rsidRDefault="008B2825" w:rsidP="00457CE3">
      <w:pPr>
        <w:jc w:val="both"/>
        <w:rPr>
          <w:rFonts w:cstheme="minorHAnsi"/>
          <w:sz w:val="24"/>
          <w:szCs w:val="24"/>
        </w:rPr>
      </w:pPr>
    </w:p>
    <w:p w14:paraId="7256EED7" w14:textId="4D0B87CA" w:rsidR="00183AF1" w:rsidRDefault="00183AF1" w:rsidP="00053ABC">
      <w:pPr>
        <w:spacing w:after="0" w:line="360" w:lineRule="auto"/>
        <w:jc w:val="both"/>
        <w:rPr>
          <w:rFonts w:cstheme="minorHAnsi"/>
          <w:sz w:val="24"/>
          <w:szCs w:val="24"/>
        </w:rPr>
      </w:pPr>
      <w:r w:rsidRPr="00FE68F9">
        <w:rPr>
          <w:rFonts w:cstheme="minorHAnsi"/>
          <w:sz w:val="24"/>
          <w:szCs w:val="24"/>
        </w:rPr>
        <w:t>predstavljamo vam Vodič za građane za 202</w:t>
      </w:r>
      <w:r w:rsidR="004E22BA">
        <w:rPr>
          <w:rFonts w:cstheme="minorHAnsi"/>
          <w:sz w:val="24"/>
          <w:szCs w:val="24"/>
        </w:rPr>
        <w:t>5</w:t>
      </w:r>
      <w:r w:rsidRPr="00FE68F9">
        <w:rPr>
          <w:rFonts w:cstheme="minorHAnsi"/>
          <w:sz w:val="24"/>
          <w:szCs w:val="24"/>
        </w:rPr>
        <w:t xml:space="preserve">. godinu u kojem su objašnjeni planovi i aktivnosti </w:t>
      </w:r>
      <w:r>
        <w:rPr>
          <w:rFonts w:cstheme="minorHAnsi"/>
          <w:sz w:val="24"/>
          <w:szCs w:val="24"/>
        </w:rPr>
        <w:t xml:space="preserve">općinske </w:t>
      </w:r>
      <w:r w:rsidRPr="00FE68F9">
        <w:rPr>
          <w:rFonts w:cstheme="minorHAnsi"/>
          <w:sz w:val="24"/>
          <w:szCs w:val="24"/>
        </w:rPr>
        <w:t xml:space="preserve">vlasti vezani za korištenje </w:t>
      </w:r>
      <w:r>
        <w:rPr>
          <w:rFonts w:cstheme="minorHAnsi"/>
          <w:sz w:val="24"/>
          <w:szCs w:val="24"/>
        </w:rPr>
        <w:t>proračunskih</w:t>
      </w:r>
      <w:r w:rsidRPr="00FE68F9">
        <w:rPr>
          <w:rFonts w:cstheme="minorHAnsi"/>
          <w:sz w:val="24"/>
          <w:szCs w:val="24"/>
        </w:rPr>
        <w:t xml:space="preserve"> sredstava</w:t>
      </w:r>
      <w:r>
        <w:rPr>
          <w:rFonts w:cstheme="minorHAnsi"/>
          <w:sz w:val="24"/>
          <w:szCs w:val="24"/>
        </w:rPr>
        <w:t>.</w:t>
      </w:r>
    </w:p>
    <w:p w14:paraId="2A7F9C81" w14:textId="50E17584" w:rsidR="00EB053A" w:rsidRPr="00EB053A" w:rsidRDefault="00EB053A" w:rsidP="00053ABC">
      <w:pPr>
        <w:spacing w:after="0" w:line="360" w:lineRule="auto"/>
        <w:jc w:val="both"/>
        <w:rPr>
          <w:rFonts w:ascii="Calibri" w:eastAsia="Times New Roman" w:hAnsi="Calibri" w:cs="Times New Roman"/>
          <w:sz w:val="24"/>
          <w:szCs w:val="24"/>
          <w:lang w:eastAsia="hr-HR"/>
        </w:rPr>
      </w:pPr>
      <w:r w:rsidRPr="00EB053A">
        <w:rPr>
          <w:rFonts w:ascii="Calibri" w:eastAsia="Times New Roman" w:hAnsi="Calibri" w:cs="Times New Roman"/>
          <w:sz w:val="24"/>
          <w:szCs w:val="24"/>
          <w:lang w:eastAsia="hr-HR"/>
        </w:rPr>
        <w:t>Vodič kroz proračun je sažetak Proračuna Općine Gornja Rijeka za 202</w:t>
      </w:r>
      <w:r w:rsidR="004E22BA">
        <w:rPr>
          <w:rFonts w:ascii="Calibri" w:eastAsia="Times New Roman" w:hAnsi="Calibri" w:cs="Times New Roman"/>
          <w:sz w:val="24"/>
          <w:szCs w:val="24"/>
          <w:lang w:eastAsia="hr-HR"/>
        </w:rPr>
        <w:t>5</w:t>
      </w:r>
      <w:r w:rsidRPr="00EB053A">
        <w:rPr>
          <w:rFonts w:ascii="Calibri" w:eastAsia="Times New Roman" w:hAnsi="Calibri" w:cs="Times New Roman"/>
          <w:sz w:val="24"/>
          <w:szCs w:val="24"/>
          <w:lang w:eastAsia="hr-HR"/>
        </w:rPr>
        <w:t>. godinu s najvažnijim smjernicama razvoja općine, koji u osnovnim crtama pojašnjava planirane projekte i aktivnosti u 202</w:t>
      </w:r>
      <w:r w:rsidR="004E22BA">
        <w:rPr>
          <w:rFonts w:ascii="Calibri" w:eastAsia="Times New Roman" w:hAnsi="Calibri" w:cs="Times New Roman"/>
          <w:sz w:val="24"/>
          <w:szCs w:val="24"/>
          <w:lang w:eastAsia="hr-HR"/>
        </w:rPr>
        <w:t>5</w:t>
      </w:r>
      <w:r w:rsidRPr="00EB053A">
        <w:rPr>
          <w:rFonts w:ascii="Calibri" w:eastAsia="Times New Roman" w:hAnsi="Calibri" w:cs="Times New Roman"/>
          <w:sz w:val="24"/>
          <w:szCs w:val="24"/>
          <w:lang w:eastAsia="hr-HR"/>
        </w:rPr>
        <w:t>. godini.</w:t>
      </w:r>
    </w:p>
    <w:p w14:paraId="24A6F651" w14:textId="77777777" w:rsidR="00EB053A" w:rsidRPr="00EB053A" w:rsidRDefault="00EB053A" w:rsidP="00053ABC">
      <w:pPr>
        <w:spacing w:after="0" w:line="360" w:lineRule="auto"/>
        <w:jc w:val="both"/>
        <w:rPr>
          <w:rFonts w:ascii="Calibri" w:eastAsia="Times New Roman" w:hAnsi="Calibri" w:cs="Arial"/>
          <w:sz w:val="24"/>
          <w:szCs w:val="24"/>
          <w:lang w:eastAsia="hr-HR"/>
        </w:rPr>
      </w:pPr>
    </w:p>
    <w:p w14:paraId="6DF363A6" w14:textId="11BAEA79" w:rsidR="00053ABC" w:rsidRPr="00EB053A" w:rsidRDefault="008B2825" w:rsidP="00053ABC">
      <w:pPr>
        <w:spacing w:after="0" w:line="360" w:lineRule="auto"/>
        <w:jc w:val="both"/>
        <w:rPr>
          <w:rFonts w:ascii="Calibri" w:eastAsia="Times New Roman" w:hAnsi="Calibri" w:cs="Arial"/>
          <w:sz w:val="24"/>
          <w:szCs w:val="24"/>
          <w:lang w:eastAsia="hr-HR"/>
        </w:rPr>
      </w:pPr>
      <w:r w:rsidRPr="008B2825">
        <w:rPr>
          <w:rFonts w:cstheme="minorHAnsi"/>
          <w:sz w:val="24"/>
          <w:szCs w:val="24"/>
        </w:rPr>
        <w:t xml:space="preserve">Svrha proračunskog vodiča za građane je na jednostavan i usporediv način pružiti transparentne i potpune informacije o strukturi proračuna Vaše </w:t>
      </w:r>
      <w:r>
        <w:rPr>
          <w:rFonts w:cstheme="minorHAnsi"/>
          <w:sz w:val="24"/>
          <w:szCs w:val="24"/>
        </w:rPr>
        <w:t>općine</w:t>
      </w:r>
      <w:r w:rsidRPr="008B2825">
        <w:rPr>
          <w:rFonts w:cstheme="minorHAnsi"/>
          <w:sz w:val="24"/>
          <w:szCs w:val="24"/>
        </w:rPr>
        <w:t>. Također, cilj je što bolje informirati Vas o</w:t>
      </w:r>
      <w:r w:rsidR="00053ABC" w:rsidRPr="00EB053A">
        <w:rPr>
          <w:rFonts w:ascii="Calibri" w:eastAsia="Times New Roman" w:hAnsi="Calibri" w:cs="Arial"/>
          <w:sz w:val="24"/>
          <w:szCs w:val="24"/>
          <w:lang w:eastAsia="hr-HR"/>
        </w:rPr>
        <w:t xml:space="preserve"> osnovnim pojmovima iz</w:t>
      </w:r>
      <w:r w:rsidR="00053ABC">
        <w:rPr>
          <w:rFonts w:ascii="Calibri" w:eastAsia="Times New Roman" w:hAnsi="Calibri" w:cs="Arial"/>
          <w:sz w:val="24"/>
          <w:szCs w:val="24"/>
          <w:lang w:eastAsia="hr-HR"/>
        </w:rPr>
        <w:t xml:space="preserve"> </w:t>
      </w:r>
      <w:r w:rsidR="00053ABC" w:rsidRPr="00EB053A">
        <w:rPr>
          <w:rFonts w:ascii="Calibri" w:eastAsia="Times New Roman" w:hAnsi="Calibri" w:cs="Arial"/>
          <w:sz w:val="24"/>
          <w:szCs w:val="24"/>
          <w:lang w:eastAsia="hr-HR"/>
        </w:rPr>
        <w:t>područja financija lokalne samouprave, sadržajem proračuna, raspoloživim izvorima financiranja i prijedlogom ključnih programa, projekata i aktivnosti koji se planiraju financirati iz tih izvora u  srednjoročnom razdoblju.</w:t>
      </w:r>
    </w:p>
    <w:p w14:paraId="64A0E5A3" w14:textId="77777777" w:rsidR="00053ABC" w:rsidRDefault="008B2825" w:rsidP="00053ABC">
      <w:pPr>
        <w:spacing w:after="0" w:line="360" w:lineRule="auto"/>
        <w:jc w:val="both"/>
        <w:rPr>
          <w:rFonts w:cstheme="minorHAnsi"/>
          <w:sz w:val="24"/>
          <w:szCs w:val="24"/>
        </w:rPr>
      </w:pPr>
      <w:r w:rsidRPr="008B2825">
        <w:rPr>
          <w:rFonts w:cstheme="minorHAnsi"/>
          <w:sz w:val="24"/>
          <w:szCs w:val="24"/>
        </w:rPr>
        <w:t xml:space="preserve">Nadamo se da ćete uz pomoć ovog kratkog vodiča pronaći odgovore na pitanja koja vas zanimaju i biti spremni na sudjelovanje kako bi pridonijeli racionalnijem upravljanju </w:t>
      </w:r>
      <w:r>
        <w:rPr>
          <w:rFonts w:cstheme="minorHAnsi"/>
          <w:sz w:val="24"/>
          <w:szCs w:val="24"/>
        </w:rPr>
        <w:t>općinskim</w:t>
      </w:r>
      <w:r w:rsidRPr="008B2825">
        <w:rPr>
          <w:rFonts w:cstheme="minorHAnsi"/>
          <w:sz w:val="24"/>
          <w:szCs w:val="24"/>
        </w:rPr>
        <w:t xml:space="preserve"> sredstvima te kvalitetnijem i učinkovitijem pružanju dobara i usluga. </w:t>
      </w:r>
    </w:p>
    <w:p w14:paraId="5F191156" w14:textId="5798BE0A" w:rsidR="008B2825" w:rsidRDefault="008B2825" w:rsidP="00053ABC">
      <w:pPr>
        <w:spacing w:after="0" w:line="360" w:lineRule="auto"/>
        <w:jc w:val="both"/>
        <w:rPr>
          <w:rFonts w:cstheme="minorHAnsi"/>
          <w:sz w:val="24"/>
          <w:szCs w:val="24"/>
        </w:rPr>
      </w:pPr>
      <w:r w:rsidRPr="008B2825">
        <w:rPr>
          <w:rFonts w:cstheme="minorHAnsi"/>
          <w:sz w:val="24"/>
          <w:szCs w:val="24"/>
        </w:rPr>
        <w:t xml:space="preserve">Proračun </w:t>
      </w:r>
      <w:r>
        <w:rPr>
          <w:rFonts w:cstheme="minorHAnsi"/>
          <w:sz w:val="24"/>
          <w:szCs w:val="24"/>
        </w:rPr>
        <w:t>Općine Gornja Rijeka</w:t>
      </w:r>
      <w:r w:rsidRPr="008B2825">
        <w:rPr>
          <w:rFonts w:cstheme="minorHAnsi"/>
          <w:sz w:val="24"/>
          <w:szCs w:val="24"/>
        </w:rPr>
        <w:t xml:space="preserve"> za 202</w:t>
      </w:r>
      <w:r w:rsidR="004E22BA">
        <w:rPr>
          <w:rFonts w:cstheme="minorHAnsi"/>
          <w:sz w:val="24"/>
          <w:szCs w:val="24"/>
        </w:rPr>
        <w:t>5</w:t>
      </w:r>
      <w:r w:rsidRPr="008B2825">
        <w:rPr>
          <w:rFonts w:cstheme="minorHAnsi"/>
          <w:sz w:val="24"/>
          <w:szCs w:val="24"/>
        </w:rPr>
        <w:t>. godinu koji je usvojil</w:t>
      </w:r>
      <w:r>
        <w:rPr>
          <w:rFonts w:cstheme="minorHAnsi"/>
          <w:sz w:val="24"/>
          <w:szCs w:val="24"/>
        </w:rPr>
        <w:t>o Općinsko vijeće Općine Gornja Rijeka</w:t>
      </w:r>
      <w:r w:rsidRPr="008B2825">
        <w:rPr>
          <w:rFonts w:cstheme="minorHAnsi"/>
          <w:sz w:val="24"/>
          <w:szCs w:val="24"/>
        </w:rPr>
        <w:t xml:space="preserve"> </w:t>
      </w:r>
      <w:r w:rsidR="004E22BA">
        <w:rPr>
          <w:rFonts w:cstheme="minorHAnsi"/>
          <w:sz w:val="24"/>
          <w:szCs w:val="24"/>
        </w:rPr>
        <w:t>4</w:t>
      </w:r>
      <w:r w:rsidRPr="008B2825">
        <w:rPr>
          <w:rFonts w:cstheme="minorHAnsi"/>
          <w:sz w:val="24"/>
          <w:szCs w:val="24"/>
        </w:rPr>
        <w:t xml:space="preserve">. </w:t>
      </w:r>
      <w:r>
        <w:rPr>
          <w:rFonts w:cstheme="minorHAnsi"/>
          <w:sz w:val="24"/>
          <w:szCs w:val="24"/>
        </w:rPr>
        <w:t>prosinca</w:t>
      </w:r>
      <w:r w:rsidRPr="008B2825">
        <w:rPr>
          <w:rFonts w:cstheme="minorHAnsi"/>
          <w:sz w:val="24"/>
          <w:szCs w:val="24"/>
        </w:rPr>
        <w:t xml:space="preserve"> 202</w:t>
      </w:r>
      <w:r w:rsidR="004E22BA">
        <w:rPr>
          <w:rFonts w:cstheme="minorHAnsi"/>
          <w:sz w:val="24"/>
          <w:szCs w:val="24"/>
        </w:rPr>
        <w:t>4</w:t>
      </w:r>
      <w:r w:rsidRPr="008B2825">
        <w:rPr>
          <w:rFonts w:cstheme="minorHAnsi"/>
          <w:sz w:val="24"/>
          <w:szCs w:val="24"/>
        </w:rPr>
        <w:t xml:space="preserve">. godine iznosi </w:t>
      </w:r>
      <w:r w:rsidR="004E22BA">
        <w:rPr>
          <w:rFonts w:cstheme="minorHAnsi"/>
          <w:sz w:val="24"/>
          <w:szCs w:val="24"/>
        </w:rPr>
        <w:t>2.080.000,00</w:t>
      </w:r>
      <w:r w:rsidRPr="008B2825">
        <w:rPr>
          <w:rFonts w:cstheme="minorHAnsi"/>
          <w:sz w:val="24"/>
          <w:szCs w:val="24"/>
        </w:rPr>
        <w:t xml:space="preserve"> </w:t>
      </w:r>
      <w:r w:rsidR="0012573A">
        <w:rPr>
          <w:rFonts w:cstheme="minorHAnsi"/>
          <w:sz w:val="24"/>
          <w:szCs w:val="24"/>
        </w:rPr>
        <w:t>eura</w:t>
      </w:r>
      <w:r w:rsidRPr="008B2825">
        <w:rPr>
          <w:rFonts w:cstheme="minorHAnsi"/>
          <w:sz w:val="24"/>
          <w:szCs w:val="24"/>
        </w:rPr>
        <w:t xml:space="preserve">. </w:t>
      </w:r>
    </w:p>
    <w:p w14:paraId="7CBC62F5" w14:textId="77777777" w:rsidR="009B6A08" w:rsidRDefault="009B6A08" w:rsidP="00053ABC">
      <w:pPr>
        <w:spacing w:after="0" w:line="360" w:lineRule="auto"/>
        <w:jc w:val="both"/>
        <w:rPr>
          <w:rFonts w:eastAsia="Times New Roman" w:cstheme="minorHAnsi"/>
          <w:bCs/>
          <w:color w:val="000000" w:themeColor="text1"/>
          <w:sz w:val="24"/>
          <w:szCs w:val="24"/>
        </w:rPr>
      </w:pPr>
      <w:r w:rsidRPr="009B6A08">
        <w:rPr>
          <w:rFonts w:eastAsia="Times New Roman" w:cstheme="minorHAnsi"/>
          <w:bCs/>
          <w:color w:val="000000" w:themeColor="text1"/>
          <w:sz w:val="24"/>
          <w:szCs w:val="24"/>
        </w:rPr>
        <w:t xml:space="preserve">Kod izrade Proračuna vodilo se time da sve zakonom propisane aktivnosti budu zadovoljene, da korisnici Proračuna mogu nesmetano funkcionirati, te da se svi prihodi namjenski troše za namjene za koje su zakonom predodređeni. </w:t>
      </w:r>
    </w:p>
    <w:p w14:paraId="47A38B9C" w14:textId="70210307" w:rsidR="00EF5EB8" w:rsidRPr="009B6A08" w:rsidRDefault="009B6A08" w:rsidP="00053ABC">
      <w:pPr>
        <w:spacing w:after="0" w:line="360" w:lineRule="auto"/>
        <w:jc w:val="both"/>
        <w:rPr>
          <w:rFonts w:eastAsia="Times New Roman" w:cstheme="minorHAnsi"/>
          <w:bCs/>
          <w:color w:val="000000" w:themeColor="text1"/>
          <w:sz w:val="24"/>
          <w:szCs w:val="24"/>
        </w:rPr>
      </w:pPr>
      <w:r w:rsidRPr="009B6A08">
        <w:rPr>
          <w:rFonts w:eastAsia="Times New Roman" w:cstheme="minorHAnsi"/>
          <w:bCs/>
          <w:color w:val="000000" w:themeColor="text1"/>
          <w:sz w:val="24"/>
          <w:szCs w:val="24"/>
        </w:rPr>
        <w:t>Proračun je ujedno i konsolidirani Proračun koji obuhvaća sve prihode i rashode proračunsk</w:t>
      </w:r>
      <w:r>
        <w:rPr>
          <w:rFonts w:eastAsia="Times New Roman" w:cstheme="minorHAnsi"/>
          <w:bCs/>
          <w:color w:val="000000" w:themeColor="text1"/>
          <w:sz w:val="24"/>
          <w:szCs w:val="24"/>
        </w:rPr>
        <w:t xml:space="preserve">ih </w:t>
      </w:r>
      <w:r w:rsidRPr="009B6A08">
        <w:rPr>
          <w:rFonts w:eastAsia="Times New Roman" w:cstheme="minorHAnsi"/>
          <w:bCs/>
          <w:color w:val="000000" w:themeColor="text1"/>
          <w:sz w:val="24"/>
          <w:szCs w:val="24"/>
        </w:rPr>
        <w:t>korisnika.</w:t>
      </w:r>
    </w:p>
    <w:p w14:paraId="098DCC88" w14:textId="77777777" w:rsidR="00EF5EB8" w:rsidRDefault="00EF5EB8" w:rsidP="00052FF8">
      <w:pPr>
        <w:spacing w:line="240" w:lineRule="auto"/>
        <w:jc w:val="both"/>
        <w:rPr>
          <w:rFonts w:eastAsia="Times New Roman" w:cstheme="minorHAnsi"/>
          <w:b/>
          <w:color w:val="4472C4" w:themeColor="accent1"/>
          <w:sz w:val="24"/>
          <w:szCs w:val="24"/>
        </w:rPr>
      </w:pPr>
    </w:p>
    <w:p w14:paraId="462CDC78" w14:textId="77777777" w:rsidR="00EF5EB8" w:rsidRDefault="00EF5EB8" w:rsidP="00052FF8">
      <w:pPr>
        <w:spacing w:line="240" w:lineRule="auto"/>
        <w:jc w:val="both"/>
        <w:rPr>
          <w:rFonts w:eastAsia="Times New Roman" w:cstheme="minorHAnsi"/>
          <w:b/>
          <w:color w:val="4472C4" w:themeColor="accent1"/>
          <w:sz w:val="24"/>
          <w:szCs w:val="24"/>
        </w:rPr>
      </w:pPr>
    </w:p>
    <w:p w14:paraId="62A2475E" w14:textId="77777777" w:rsidR="00EF5EB8" w:rsidRDefault="00EF5EB8" w:rsidP="00052FF8">
      <w:pPr>
        <w:spacing w:line="240" w:lineRule="auto"/>
        <w:jc w:val="both"/>
        <w:rPr>
          <w:rFonts w:eastAsia="Times New Roman" w:cstheme="minorHAnsi"/>
          <w:b/>
          <w:color w:val="4472C4" w:themeColor="accent1"/>
          <w:sz w:val="24"/>
          <w:szCs w:val="24"/>
        </w:rPr>
      </w:pPr>
    </w:p>
    <w:p w14:paraId="2F9487B1" w14:textId="77777777" w:rsidR="00EF5EB8" w:rsidRDefault="00EF5EB8" w:rsidP="00052FF8">
      <w:pPr>
        <w:spacing w:line="240" w:lineRule="auto"/>
        <w:jc w:val="both"/>
        <w:rPr>
          <w:rFonts w:eastAsia="Times New Roman" w:cstheme="minorHAnsi"/>
          <w:b/>
          <w:color w:val="4472C4" w:themeColor="accent1"/>
          <w:sz w:val="24"/>
          <w:szCs w:val="24"/>
        </w:rPr>
      </w:pPr>
    </w:p>
    <w:p w14:paraId="0A1D55F5" w14:textId="77777777" w:rsidR="00EF5EB8" w:rsidRDefault="00EF5EB8" w:rsidP="00052FF8">
      <w:pPr>
        <w:spacing w:line="240" w:lineRule="auto"/>
        <w:jc w:val="both"/>
        <w:rPr>
          <w:rFonts w:eastAsia="Times New Roman" w:cstheme="minorHAnsi"/>
          <w:b/>
          <w:color w:val="4472C4" w:themeColor="accent1"/>
          <w:sz w:val="24"/>
          <w:szCs w:val="24"/>
        </w:rPr>
      </w:pPr>
    </w:p>
    <w:p w14:paraId="541650AF" w14:textId="77777777" w:rsidR="00EF5EB8" w:rsidRDefault="00EF5EB8" w:rsidP="00052FF8">
      <w:pPr>
        <w:spacing w:line="240" w:lineRule="auto"/>
        <w:jc w:val="both"/>
        <w:rPr>
          <w:rFonts w:eastAsia="Times New Roman" w:cstheme="minorHAnsi"/>
          <w:b/>
          <w:color w:val="4472C4" w:themeColor="accent1"/>
          <w:sz w:val="24"/>
          <w:szCs w:val="24"/>
        </w:rPr>
      </w:pPr>
    </w:p>
    <w:p w14:paraId="3CDD94DE" w14:textId="3D7E24F2" w:rsidR="00B4428A" w:rsidRDefault="00B4428A" w:rsidP="00052FF8">
      <w:pPr>
        <w:spacing w:line="240" w:lineRule="auto"/>
        <w:jc w:val="both"/>
        <w:rPr>
          <w:rFonts w:eastAsia="Times New Roman" w:cstheme="minorHAnsi"/>
          <w:b/>
          <w:color w:val="4472C4" w:themeColor="accent1"/>
          <w:sz w:val="24"/>
          <w:szCs w:val="24"/>
        </w:rPr>
      </w:pPr>
    </w:p>
    <w:p w14:paraId="2B5C2611" w14:textId="77777777" w:rsidR="009B6A08" w:rsidRDefault="009B6A08" w:rsidP="00052FF8">
      <w:pPr>
        <w:spacing w:line="240" w:lineRule="auto"/>
        <w:jc w:val="both"/>
        <w:rPr>
          <w:rFonts w:eastAsia="Times New Roman" w:cstheme="minorHAnsi"/>
          <w:b/>
          <w:color w:val="4472C4" w:themeColor="accent1"/>
          <w:sz w:val="24"/>
          <w:szCs w:val="24"/>
        </w:rPr>
      </w:pPr>
    </w:p>
    <w:p w14:paraId="7F0BE9A9" w14:textId="75183607" w:rsidR="005E55FF" w:rsidRPr="00666362" w:rsidRDefault="00052FF8" w:rsidP="00052FF8">
      <w:pPr>
        <w:spacing w:line="240" w:lineRule="auto"/>
        <w:jc w:val="both"/>
        <w:rPr>
          <w:rFonts w:eastAsia="Times New Roman" w:cstheme="minorHAnsi"/>
          <w:b/>
          <w:color w:val="4472C4" w:themeColor="accent1"/>
          <w:sz w:val="24"/>
          <w:szCs w:val="24"/>
        </w:rPr>
      </w:pPr>
      <w:r w:rsidRPr="00666362">
        <w:rPr>
          <w:rFonts w:eastAsia="Times New Roman" w:cstheme="minorHAnsi"/>
          <w:b/>
          <w:color w:val="4472C4" w:themeColor="accent1"/>
          <w:sz w:val="24"/>
          <w:szCs w:val="24"/>
        </w:rPr>
        <w:lastRenderedPageBreak/>
        <w:t>OBRAZLOŽENJE PRORAČUNA</w:t>
      </w:r>
    </w:p>
    <w:p w14:paraId="52150F4B" w14:textId="77777777" w:rsidR="00E9495A" w:rsidRPr="00B6007A" w:rsidRDefault="00184AF7" w:rsidP="00E9495A">
      <w:pPr>
        <w:spacing w:after="0" w:line="240" w:lineRule="auto"/>
        <w:jc w:val="both"/>
        <w:rPr>
          <w:rFonts w:eastAsia="Times New Roman" w:cstheme="minorHAnsi"/>
          <w:b/>
          <w:color w:val="4472C4" w:themeColor="accent1"/>
          <w:sz w:val="24"/>
          <w:szCs w:val="24"/>
        </w:rPr>
      </w:pPr>
      <w:r w:rsidRPr="00B6007A">
        <w:rPr>
          <w:rFonts w:eastAsia="Times New Roman" w:cstheme="minorHAnsi"/>
          <w:b/>
          <w:color w:val="4472C4" w:themeColor="accent1"/>
          <w:sz w:val="24"/>
          <w:szCs w:val="24"/>
        </w:rPr>
        <w:t>Što je proračun?</w:t>
      </w:r>
    </w:p>
    <w:p w14:paraId="68D90FEF" w14:textId="37805A4D" w:rsidR="00E9495A" w:rsidRPr="00B6007A" w:rsidRDefault="00E9495A" w:rsidP="00E9495A">
      <w:pPr>
        <w:spacing w:after="0" w:line="240" w:lineRule="auto"/>
        <w:jc w:val="both"/>
        <w:rPr>
          <w:rFonts w:eastAsia="Times New Roman" w:cstheme="minorHAnsi"/>
          <w:b/>
          <w:sz w:val="24"/>
          <w:szCs w:val="24"/>
        </w:rPr>
      </w:pPr>
      <w:r w:rsidRPr="00B6007A">
        <w:rPr>
          <w:rFonts w:eastAsia="Times New Roman" w:cstheme="minorHAnsi"/>
          <w:noProof/>
          <w:sz w:val="24"/>
          <w:szCs w:val="24"/>
          <w:lang w:eastAsia="hr-HR"/>
        </w:rPr>
        <mc:AlternateContent>
          <mc:Choice Requires="wps">
            <w:drawing>
              <wp:anchor distT="45720" distB="45720" distL="114300" distR="114300" simplePos="0" relativeHeight="251648000" behindDoc="0" locked="0" layoutInCell="1" allowOverlap="1" wp14:anchorId="3A56CCE5" wp14:editId="547B5F1F">
                <wp:simplePos x="0" y="0"/>
                <wp:positionH relativeFrom="column">
                  <wp:posOffset>-33655</wp:posOffset>
                </wp:positionH>
                <wp:positionV relativeFrom="paragraph">
                  <wp:posOffset>180340</wp:posOffset>
                </wp:positionV>
                <wp:extent cx="1114425" cy="1190625"/>
                <wp:effectExtent l="0" t="0" r="0" b="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190625"/>
                        </a:xfrm>
                        <a:prstGeom prst="rect">
                          <a:avLst/>
                        </a:prstGeom>
                        <a:noFill/>
                        <a:ln w="9525">
                          <a:noFill/>
                          <a:miter lim="800000"/>
                          <a:headEnd/>
                          <a:tailEnd/>
                        </a:ln>
                      </wps:spPr>
                      <wps:txbx>
                        <w:txbxContent>
                          <w:p w14:paraId="0E88A2E1" w14:textId="7AEC3135" w:rsidR="00636904" w:rsidRDefault="00636904">
                            <w:r>
                              <w:rPr>
                                <w:noProof/>
                                <w:lang w:eastAsia="hr-HR"/>
                              </w:rPr>
                              <w:drawing>
                                <wp:inline distT="0" distB="0" distL="0" distR="0" wp14:anchorId="5228A8A7" wp14:editId="33D3F169">
                                  <wp:extent cx="1096447" cy="1095375"/>
                                  <wp:effectExtent l="0" t="0" r="889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19435" cy="1118341"/>
                                          </a:xfrm>
                                          <a:prstGeom prst="rect">
                                            <a:avLst/>
                                          </a:prstGeom>
                                          <a:noFill/>
                                          <a:ln>
                                            <a:noFill/>
                                          </a:ln>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56CCE5" id="_x0000_t202" coordsize="21600,21600" o:spt="202" path="m,l,21600r21600,l21600,xe">
                <v:stroke joinstyle="miter"/>
                <v:path gradientshapeok="t" o:connecttype="rect"/>
              </v:shapetype>
              <v:shape id="Tekstni okvir 2" o:spid="_x0000_s1026" type="#_x0000_t202" style="position:absolute;left:0;text-align:left;margin-left:-2.65pt;margin-top:14.2pt;width:87.75pt;height:93.7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" filled="f" stroked="f">
                <v:textbox>
                  <w:txbxContent>
                    <w:p w14:paraId="0E88A2E1" w14:textId="7AEC3135" w:rsidR="00636904" w:rsidRDefault="00636904">
                      <w:r>
                        <w:rPr>
                          <w:noProof/>
                          <w:lang w:eastAsia="hr-HR"/>
                        </w:rPr>
                        <w:drawing>
                          <wp:inline distT="0" distB="0" distL="0" distR="0" wp14:anchorId="5228A8A7" wp14:editId="33D3F169">
                            <wp:extent cx="1096447" cy="1095375"/>
                            <wp:effectExtent l="0" t="0" r="889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19435" cy="1118341"/>
                                    </a:xfrm>
                                    <a:prstGeom prst="rect">
                                      <a:avLst/>
                                    </a:prstGeom>
                                    <a:noFill/>
                                    <a:ln>
                                      <a:noFill/>
                                    </a:ln>
                                    <a:effectLst/>
                                  </pic:spPr>
                                </pic:pic>
                              </a:graphicData>
                            </a:graphic>
                          </wp:inline>
                        </w:drawing>
                      </w:r>
                    </w:p>
                  </w:txbxContent>
                </v:textbox>
                <w10:wrap type="square"/>
              </v:shape>
            </w:pict>
          </mc:Fallback>
        </mc:AlternateContent>
      </w:r>
    </w:p>
    <w:p w14:paraId="45F6F71A" w14:textId="1048FDC1" w:rsidR="00184AF7" w:rsidRPr="00B6007A" w:rsidRDefault="00184AF7" w:rsidP="00E9495A">
      <w:pPr>
        <w:spacing w:after="0" w:line="240" w:lineRule="auto"/>
        <w:ind w:left="1560"/>
        <w:jc w:val="both"/>
        <w:rPr>
          <w:rFonts w:eastAsia="Times New Roman" w:cstheme="minorHAnsi"/>
          <w:sz w:val="24"/>
          <w:szCs w:val="24"/>
        </w:rPr>
      </w:pPr>
      <w:r w:rsidRPr="00B6007A">
        <w:rPr>
          <w:rFonts w:eastAsia="Times New Roman" w:cstheme="minorHAnsi"/>
          <w:sz w:val="24"/>
          <w:szCs w:val="24"/>
        </w:rPr>
        <w:t xml:space="preserve">Proračun je akt kojim se procjenjuju prihodi i primici te utvrđuju rashodi i izdaci Općine </w:t>
      </w:r>
      <w:r w:rsidR="00F44418">
        <w:rPr>
          <w:rFonts w:eastAsia="Times New Roman" w:cstheme="minorHAnsi"/>
          <w:sz w:val="24"/>
          <w:szCs w:val="24"/>
        </w:rPr>
        <w:t>Gornja Rijeka</w:t>
      </w:r>
      <w:r w:rsidR="0088005A">
        <w:rPr>
          <w:rFonts w:eastAsia="Times New Roman" w:cstheme="minorHAnsi"/>
          <w:sz w:val="24"/>
          <w:szCs w:val="24"/>
        </w:rPr>
        <w:t xml:space="preserve"> </w:t>
      </w:r>
      <w:r w:rsidRPr="00B6007A">
        <w:rPr>
          <w:rFonts w:eastAsia="Times New Roman" w:cstheme="minorHAnsi"/>
          <w:sz w:val="24"/>
          <w:szCs w:val="24"/>
        </w:rPr>
        <w:t>za proračunsku godinu, a sadrži i projekciju prihoda i primitaka te rashoda i izdataka za slijedeće dvije godine.</w:t>
      </w:r>
    </w:p>
    <w:p w14:paraId="48580D45" w14:textId="346AEEF0" w:rsidR="00F82719" w:rsidRPr="00673B13" w:rsidRDefault="00F82719" w:rsidP="00F82719">
      <w:pPr>
        <w:spacing w:after="0" w:line="240" w:lineRule="auto"/>
        <w:jc w:val="both"/>
        <w:rPr>
          <w:rFonts w:eastAsia="Times New Roman" w:cstheme="minorHAnsi"/>
          <w:sz w:val="24"/>
          <w:szCs w:val="24"/>
        </w:rPr>
      </w:pPr>
      <w:r w:rsidRPr="00673B13">
        <w:rPr>
          <w:rFonts w:eastAsia="Times New Roman" w:cstheme="minorHAnsi"/>
          <w:sz w:val="24"/>
          <w:szCs w:val="24"/>
        </w:rPr>
        <w:t>Proračun nije statičan akt, već se sukladno Zakonu može mijenjati tijekom proračunske godine, odnosno donose se Izmjene i dopune proračuna.</w:t>
      </w:r>
    </w:p>
    <w:p w14:paraId="055D38B8" w14:textId="678DD019" w:rsidR="004422AA" w:rsidRPr="00B6007A" w:rsidRDefault="004422AA" w:rsidP="00F82719">
      <w:pPr>
        <w:spacing w:after="0" w:line="240" w:lineRule="auto"/>
        <w:jc w:val="both"/>
        <w:rPr>
          <w:rFonts w:eastAsia="Times New Roman" w:cstheme="minorHAnsi"/>
          <w:color w:val="7030A0"/>
          <w:sz w:val="24"/>
          <w:szCs w:val="24"/>
        </w:rPr>
      </w:pPr>
    </w:p>
    <w:p w14:paraId="44317B41" w14:textId="1492FA7C" w:rsidR="004422AA" w:rsidRPr="00B6007A" w:rsidRDefault="00EB660B" w:rsidP="00F82719">
      <w:pPr>
        <w:spacing w:after="0" w:line="240" w:lineRule="auto"/>
        <w:jc w:val="both"/>
        <w:rPr>
          <w:rFonts w:eastAsia="Times New Roman" w:cstheme="minorHAnsi"/>
          <w:color w:val="7030A0"/>
          <w:sz w:val="24"/>
          <w:szCs w:val="24"/>
        </w:rPr>
      </w:pPr>
      <w:r w:rsidRPr="00B6007A">
        <w:rPr>
          <w:rFonts w:eastAsia="Times New Roman" w:cstheme="minorHAnsi"/>
          <w:noProof/>
          <w:color w:val="7030A0"/>
          <w:sz w:val="24"/>
          <w:szCs w:val="24"/>
          <w:lang w:eastAsia="hr-HR"/>
        </w:rPr>
        <mc:AlternateContent>
          <mc:Choice Requires="wps">
            <w:drawing>
              <wp:anchor distT="0" distB="0" distL="114300" distR="114300" simplePos="0" relativeHeight="251654144" behindDoc="0" locked="0" layoutInCell="1" allowOverlap="1" wp14:anchorId="2B44EA6F" wp14:editId="256BC58F">
                <wp:simplePos x="0" y="0"/>
                <wp:positionH relativeFrom="margin">
                  <wp:posOffset>695325</wp:posOffset>
                </wp:positionH>
                <wp:positionV relativeFrom="paragraph">
                  <wp:posOffset>123190</wp:posOffset>
                </wp:positionV>
                <wp:extent cx="3581400" cy="1533525"/>
                <wp:effectExtent l="0" t="0" r="19050" b="28575"/>
                <wp:wrapNone/>
                <wp:docPr id="13" name="Elipsa 13"/>
                <wp:cNvGraphicFramePr/>
                <a:graphic xmlns:a="http://schemas.openxmlformats.org/drawingml/2006/main">
                  <a:graphicData uri="http://schemas.microsoft.com/office/word/2010/wordprocessingShape">
                    <wps:wsp>
                      <wps:cNvSpPr/>
                      <wps:spPr>
                        <a:xfrm>
                          <a:off x="0" y="0"/>
                          <a:ext cx="3581400" cy="1533525"/>
                        </a:xfrm>
                        <a:prstGeom prst="ellipse">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lumMod val="40000"/>
                              <a:lumOff val="60000"/>
                            </a:srgbClr>
                          </a:solidFill>
                          <a:prstDash val="solid"/>
                        </a:ln>
                        <a:effectLst/>
                      </wps:spPr>
                      <wps:txbx>
                        <w:txbxContent>
                          <w:p w14:paraId="4F659C4A" w14:textId="77777777" w:rsidR="00636904" w:rsidRPr="000F07EC" w:rsidRDefault="00636904" w:rsidP="004422AA">
                            <w:pPr>
                              <w:spacing w:after="0"/>
                              <w:jc w:val="center"/>
                              <w:rPr>
                                <w:color w:val="4472C4" w:themeColor="accent1"/>
                              </w:rPr>
                            </w:pPr>
                            <w:r>
                              <w:rPr>
                                <w:color w:val="4472C4" w:themeColor="accent1"/>
                              </w:rPr>
                              <w:t>J</w:t>
                            </w:r>
                            <w:r w:rsidRPr="000F07EC">
                              <w:rPr>
                                <w:color w:val="4472C4" w:themeColor="accent1"/>
                              </w:rPr>
                              <w:t>edno od najvažnijih načela proračuna je da isti mora biti uravnotežen ,odnosno</w:t>
                            </w:r>
                          </w:p>
                          <w:p w14:paraId="0829A98A" w14:textId="5375ACD6" w:rsidR="00636904" w:rsidRDefault="00636904" w:rsidP="004422AA">
                            <w:pPr>
                              <w:spacing w:after="0"/>
                              <w:jc w:val="center"/>
                              <w:rPr>
                                <w:color w:val="4472C4" w:themeColor="accent1"/>
                              </w:rPr>
                            </w:pPr>
                            <w:r w:rsidRPr="000F07EC">
                              <w:rPr>
                                <w:color w:val="4472C4" w:themeColor="accent1"/>
                              </w:rPr>
                              <w:t>ukupna visina planiranih prihoda mora biti istovjetna ukupnoj visini planiranih rashoda</w:t>
                            </w:r>
                            <w:r>
                              <w:rPr>
                                <w:color w:val="4472C4" w:themeColor="accent1"/>
                              </w:rPr>
                              <w:t>!</w:t>
                            </w:r>
                          </w:p>
                          <w:p w14:paraId="64746601" w14:textId="77777777" w:rsidR="00636904" w:rsidRPr="000F07EC" w:rsidRDefault="00636904" w:rsidP="004422AA">
                            <w:pPr>
                              <w:spacing w:after="0"/>
                              <w:jc w:val="center"/>
                              <w:rPr>
                                <w:color w:val="4472C4" w:themeColor="accen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44EA6F" id="Elipsa 13" o:spid="_x0000_s1027" style="position:absolute;left:0;text-align:left;margin-left:54.75pt;margin-top:9.7pt;width:282pt;height:120.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" fillcolor="#9ab5e4" strokecolor="#b9cde5" strokeweight="2pt">
                <v:fill color2="#e1e8f5" rotate="t" focusposition="1,1" focussize="" colors="0 #9ab5e4;.5 #c2d1ed;1 #e1e8f5" focus="100%" type="gradientRadial"/>
                <v:textbox>
                  <w:txbxContent>
                    <w:p w14:paraId="4F659C4A" w14:textId="77777777" w:rsidR="00636904" w:rsidRPr="000F07EC" w:rsidRDefault="00636904" w:rsidP="004422AA">
                      <w:pPr>
                        <w:spacing w:after="0"/>
                        <w:jc w:val="center"/>
                        <w:rPr>
                          <w:color w:val="4472C4" w:themeColor="accent1"/>
                        </w:rPr>
                      </w:pPr>
                      <w:r>
                        <w:rPr>
                          <w:color w:val="4472C4" w:themeColor="accent1"/>
                        </w:rPr>
                        <w:t>J</w:t>
                      </w:r>
                      <w:r w:rsidRPr="000F07EC">
                        <w:rPr>
                          <w:color w:val="4472C4" w:themeColor="accent1"/>
                        </w:rPr>
                        <w:t>edno od najvažnijih načela proračuna je da isti mora biti uravnotežen ,odnosno</w:t>
                      </w:r>
                    </w:p>
                    <w:p w14:paraId="0829A98A" w14:textId="5375ACD6" w:rsidR="00636904" w:rsidRDefault="00636904" w:rsidP="004422AA">
                      <w:pPr>
                        <w:spacing w:after="0"/>
                        <w:jc w:val="center"/>
                        <w:rPr>
                          <w:color w:val="4472C4" w:themeColor="accent1"/>
                        </w:rPr>
                      </w:pPr>
                      <w:r w:rsidRPr="000F07EC">
                        <w:rPr>
                          <w:color w:val="4472C4" w:themeColor="accent1"/>
                        </w:rPr>
                        <w:t>ukupna visina planiranih prihoda mora biti istovjetna ukupnoj visini planiranih rashoda</w:t>
                      </w:r>
                      <w:r>
                        <w:rPr>
                          <w:color w:val="4472C4" w:themeColor="accent1"/>
                        </w:rPr>
                        <w:t>!</w:t>
                      </w:r>
                    </w:p>
                    <w:p w14:paraId="64746601" w14:textId="77777777" w:rsidR="00636904" w:rsidRPr="000F07EC" w:rsidRDefault="00636904" w:rsidP="004422AA">
                      <w:pPr>
                        <w:spacing w:after="0"/>
                        <w:jc w:val="center"/>
                        <w:rPr>
                          <w:color w:val="4472C4" w:themeColor="accent1"/>
                        </w:rPr>
                      </w:pPr>
                    </w:p>
                  </w:txbxContent>
                </v:textbox>
                <w10:wrap anchorx="margin"/>
              </v:oval>
            </w:pict>
          </mc:Fallback>
        </mc:AlternateContent>
      </w:r>
      <w:r w:rsidR="00673B13" w:rsidRPr="00673B13">
        <w:rPr>
          <w:rFonts w:eastAsia="Times New Roman" w:cstheme="minorHAnsi"/>
          <w:b/>
          <w:noProof/>
          <w:sz w:val="24"/>
          <w:szCs w:val="24"/>
          <w:lang w:eastAsia="hr-HR"/>
        </w:rPr>
        <mc:AlternateContent>
          <mc:Choice Requires="wps">
            <w:drawing>
              <wp:anchor distT="45720" distB="45720" distL="114300" distR="114300" simplePos="0" relativeHeight="251661312" behindDoc="0" locked="0" layoutInCell="1" allowOverlap="1" wp14:anchorId="1BEFA2DB" wp14:editId="6A95AE04">
                <wp:simplePos x="0" y="0"/>
                <wp:positionH relativeFrom="column">
                  <wp:posOffset>3729355</wp:posOffset>
                </wp:positionH>
                <wp:positionV relativeFrom="paragraph">
                  <wp:posOffset>83185</wp:posOffset>
                </wp:positionV>
                <wp:extent cx="1390650" cy="1419225"/>
                <wp:effectExtent l="0" t="0" r="0" b="0"/>
                <wp:wrapSquare wrapText="bothSides"/>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19225"/>
                        </a:xfrm>
                        <a:prstGeom prst="rect">
                          <a:avLst/>
                        </a:prstGeom>
                        <a:noFill/>
                        <a:ln w="9525">
                          <a:noFill/>
                          <a:miter lim="800000"/>
                          <a:headEnd/>
                          <a:tailEnd/>
                        </a:ln>
                      </wps:spPr>
                      <wps:txbx>
                        <w:txbxContent>
                          <w:p w14:paraId="65F37C9D" w14:textId="32176B01" w:rsidR="00636904" w:rsidRDefault="00636904">
                            <w:r>
                              <w:rPr>
                                <w:noProof/>
                                <w:lang w:eastAsia="hr-HR"/>
                              </w:rPr>
                              <w:drawing>
                                <wp:inline distT="0" distB="0" distL="0" distR="0" wp14:anchorId="4770C281" wp14:editId="26D2F31D">
                                  <wp:extent cx="1209675" cy="1233394"/>
                                  <wp:effectExtent l="0" t="0" r="0" b="5080"/>
                                  <wp:docPr id="19" name="Slika 19" descr="Slikovni rezultat za v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kovni rezultat za vag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5068" cy="124908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FA2DB" id="_x0000_s1028" type="#_x0000_t202" style="position:absolute;left:0;text-align:left;margin-left:293.65pt;margin-top:6.55pt;width:109.5pt;height:11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" filled="f" stroked="f">
                <v:textbox>
                  <w:txbxContent>
                    <w:p w14:paraId="65F37C9D" w14:textId="32176B01" w:rsidR="00636904" w:rsidRDefault="00636904">
                      <w:r>
                        <w:rPr>
                          <w:noProof/>
                          <w:lang w:eastAsia="hr-HR"/>
                        </w:rPr>
                        <w:drawing>
                          <wp:inline distT="0" distB="0" distL="0" distR="0" wp14:anchorId="4770C281" wp14:editId="26D2F31D">
                            <wp:extent cx="1209675" cy="1233394"/>
                            <wp:effectExtent l="0" t="0" r="0" b="5080"/>
                            <wp:docPr id="19" name="Slika 19" descr="Slikovni rezultat za v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kovni rezultat za vag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5068" cy="1249089"/>
                                    </a:xfrm>
                                    <a:prstGeom prst="rect">
                                      <a:avLst/>
                                    </a:prstGeom>
                                    <a:noFill/>
                                    <a:ln>
                                      <a:noFill/>
                                    </a:ln>
                                  </pic:spPr>
                                </pic:pic>
                              </a:graphicData>
                            </a:graphic>
                          </wp:inline>
                        </w:drawing>
                      </w:r>
                    </w:p>
                  </w:txbxContent>
                </v:textbox>
                <w10:wrap type="square"/>
              </v:shape>
            </w:pict>
          </mc:Fallback>
        </mc:AlternateContent>
      </w:r>
    </w:p>
    <w:p w14:paraId="6C8D1868" w14:textId="112D6B8F" w:rsidR="004422AA" w:rsidRPr="00B6007A" w:rsidRDefault="004422AA" w:rsidP="00F82719">
      <w:pPr>
        <w:spacing w:after="0" w:line="240" w:lineRule="auto"/>
        <w:jc w:val="both"/>
        <w:rPr>
          <w:rFonts w:eastAsia="Times New Roman" w:cstheme="minorHAnsi"/>
          <w:color w:val="7030A0"/>
          <w:sz w:val="24"/>
          <w:szCs w:val="24"/>
        </w:rPr>
      </w:pPr>
    </w:p>
    <w:p w14:paraId="2E726A8D" w14:textId="07A92E78" w:rsidR="00184AF7" w:rsidRPr="00B6007A" w:rsidRDefault="00184AF7" w:rsidP="00916DCD">
      <w:pPr>
        <w:spacing w:after="0" w:line="240" w:lineRule="auto"/>
        <w:jc w:val="both"/>
        <w:rPr>
          <w:rFonts w:eastAsia="Times New Roman" w:cstheme="minorHAnsi"/>
          <w:sz w:val="24"/>
          <w:szCs w:val="24"/>
        </w:rPr>
      </w:pPr>
    </w:p>
    <w:p w14:paraId="3D0E2AF1" w14:textId="5035AE6E" w:rsidR="00645A40" w:rsidRPr="00B6007A" w:rsidRDefault="00645A40" w:rsidP="00916DCD">
      <w:pPr>
        <w:spacing w:after="0" w:line="240" w:lineRule="auto"/>
        <w:jc w:val="both"/>
        <w:rPr>
          <w:rFonts w:eastAsia="Times New Roman" w:cstheme="minorHAnsi"/>
          <w:b/>
          <w:sz w:val="24"/>
          <w:szCs w:val="24"/>
        </w:rPr>
      </w:pPr>
    </w:p>
    <w:p w14:paraId="7ADEAC70" w14:textId="4FC42E4C" w:rsidR="00645A40" w:rsidRPr="00B6007A" w:rsidRDefault="00645A40" w:rsidP="00916DCD">
      <w:pPr>
        <w:spacing w:after="0" w:line="240" w:lineRule="auto"/>
        <w:jc w:val="both"/>
        <w:rPr>
          <w:rFonts w:eastAsia="Times New Roman" w:cstheme="minorHAnsi"/>
          <w:b/>
          <w:sz w:val="24"/>
          <w:szCs w:val="24"/>
        </w:rPr>
      </w:pPr>
    </w:p>
    <w:p w14:paraId="11879BC1" w14:textId="1B3DE97B" w:rsidR="00645A40" w:rsidRPr="00B6007A" w:rsidRDefault="00645A40" w:rsidP="00916DCD">
      <w:pPr>
        <w:spacing w:after="0" w:line="240" w:lineRule="auto"/>
        <w:jc w:val="both"/>
        <w:rPr>
          <w:rFonts w:eastAsia="Times New Roman" w:cstheme="minorHAnsi"/>
          <w:b/>
          <w:sz w:val="24"/>
          <w:szCs w:val="24"/>
        </w:rPr>
      </w:pPr>
    </w:p>
    <w:p w14:paraId="2EAF726A" w14:textId="12E062DB" w:rsidR="00645A40" w:rsidRPr="00B6007A" w:rsidRDefault="00645A40" w:rsidP="00916DCD">
      <w:pPr>
        <w:spacing w:after="0" w:line="240" w:lineRule="auto"/>
        <w:jc w:val="both"/>
        <w:rPr>
          <w:rFonts w:eastAsia="Times New Roman" w:cstheme="minorHAnsi"/>
          <w:b/>
          <w:sz w:val="24"/>
          <w:szCs w:val="24"/>
        </w:rPr>
      </w:pPr>
    </w:p>
    <w:p w14:paraId="2B366BF3" w14:textId="1261A9C6" w:rsidR="00645A40" w:rsidRPr="00B6007A" w:rsidRDefault="00645A40" w:rsidP="00916DCD">
      <w:pPr>
        <w:spacing w:after="0" w:line="240" w:lineRule="auto"/>
        <w:jc w:val="both"/>
        <w:rPr>
          <w:rFonts w:eastAsia="Times New Roman" w:cstheme="minorHAnsi"/>
          <w:b/>
          <w:sz w:val="24"/>
          <w:szCs w:val="24"/>
        </w:rPr>
      </w:pPr>
    </w:p>
    <w:p w14:paraId="3001E331" w14:textId="7457A861" w:rsidR="00645A40" w:rsidRPr="00B6007A" w:rsidRDefault="00645A40" w:rsidP="00916DCD">
      <w:pPr>
        <w:spacing w:after="0" w:line="240" w:lineRule="auto"/>
        <w:jc w:val="both"/>
        <w:rPr>
          <w:rFonts w:eastAsia="Times New Roman" w:cstheme="minorHAnsi"/>
          <w:b/>
          <w:sz w:val="24"/>
          <w:szCs w:val="24"/>
        </w:rPr>
      </w:pPr>
    </w:p>
    <w:p w14:paraId="39D412B3" w14:textId="77777777" w:rsidR="00EB660B" w:rsidRDefault="00EB660B" w:rsidP="00916DCD">
      <w:pPr>
        <w:spacing w:after="0" w:line="240" w:lineRule="auto"/>
        <w:jc w:val="both"/>
        <w:rPr>
          <w:rFonts w:eastAsia="Times New Roman" w:cstheme="minorHAnsi"/>
          <w:b/>
          <w:color w:val="4472C4" w:themeColor="accent1"/>
          <w:sz w:val="24"/>
          <w:szCs w:val="24"/>
        </w:rPr>
      </w:pPr>
    </w:p>
    <w:p w14:paraId="13D54922" w14:textId="77777777" w:rsidR="004E3754" w:rsidRPr="00B8024D" w:rsidRDefault="004E3754" w:rsidP="004E3754">
      <w:pPr>
        <w:spacing w:after="0" w:line="240" w:lineRule="auto"/>
        <w:jc w:val="both"/>
        <w:rPr>
          <w:rFonts w:eastAsia="Times New Roman" w:cstheme="minorHAnsi"/>
          <w:color w:val="4472C4" w:themeColor="accent1"/>
          <w:sz w:val="24"/>
          <w:szCs w:val="24"/>
        </w:rPr>
      </w:pPr>
      <w:bookmarkStart w:id="1" w:name="_Hlk150838990"/>
      <w:r w:rsidRPr="00B8024D">
        <w:rPr>
          <w:rFonts w:eastAsia="Times New Roman" w:cstheme="minorHAnsi"/>
          <w:b/>
          <w:color w:val="4472C4" w:themeColor="accent1"/>
          <w:sz w:val="24"/>
          <w:szCs w:val="24"/>
        </w:rPr>
        <w:t>Sadržaj proračuna</w:t>
      </w:r>
    </w:p>
    <w:p w14:paraId="78635FBC" w14:textId="77777777" w:rsidR="004E3754" w:rsidRPr="00B8024D" w:rsidRDefault="004E3754" w:rsidP="004E3754">
      <w:pPr>
        <w:spacing w:after="0" w:line="240" w:lineRule="auto"/>
        <w:ind w:left="-284"/>
        <w:jc w:val="both"/>
        <w:rPr>
          <w:rFonts w:eastAsia="Times New Roman" w:cstheme="minorHAnsi"/>
          <w:bCs/>
          <w:color w:val="4472C4" w:themeColor="accent1"/>
        </w:rPr>
      </w:pPr>
    </w:p>
    <w:p w14:paraId="20264E21" w14:textId="175CACF4" w:rsidR="00184AF7" w:rsidRDefault="004E3754" w:rsidP="004E3754">
      <w:pPr>
        <w:spacing w:after="0" w:line="240" w:lineRule="auto"/>
        <w:jc w:val="both"/>
        <w:rPr>
          <w:rFonts w:eastAsia="Times New Roman" w:cstheme="minorHAnsi"/>
          <w:bCs/>
        </w:rPr>
      </w:pPr>
      <w:r w:rsidRPr="00B8024D">
        <w:rPr>
          <w:rFonts w:eastAsia="Times New Roman" w:cstheme="minorHAnsi"/>
          <w:bCs/>
        </w:rPr>
        <w:t>Proračun JLS sastoji se od plana za proračunsku godinu i projekcija za sljedeće dvije godine. Proračun JLS sastoji se od općeg dijela, posebnog dijela i obrazloženja proračuna</w:t>
      </w:r>
    </w:p>
    <w:p w14:paraId="4D33F993" w14:textId="77777777" w:rsidR="004E3754" w:rsidRPr="00B6007A" w:rsidRDefault="004E3754" w:rsidP="004E3754">
      <w:pPr>
        <w:spacing w:after="0" w:line="240" w:lineRule="auto"/>
        <w:jc w:val="both"/>
        <w:rPr>
          <w:rFonts w:eastAsia="Times New Roman" w:cstheme="minorHAnsi"/>
          <w:b/>
          <w:bCs/>
          <w:color w:val="8496B0" w:themeColor="text2" w:themeTint="99"/>
          <w:sz w:val="24"/>
          <w:szCs w:val="24"/>
        </w:rPr>
      </w:pP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2093"/>
        <w:gridCol w:w="2126"/>
        <w:gridCol w:w="5069"/>
      </w:tblGrid>
      <w:tr w:rsidR="004E3754" w:rsidRPr="00B8024D" w14:paraId="467BCDCC" w14:textId="77777777" w:rsidTr="00CD0B54">
        <w:tc>
          <w:tcPr>
            <w:tcW w:w="2093" w:type="dxa"/>
            <w:shd w:val="clear" w:color="auto" w:fill="D9E2F3"/>
          </w:tcPr>
          <w:p w14:paraId="188499B7" w14:textId="77777777" w:rsidR="004E3754" w:rsidRPr="00B8024D" w:rsidRDefault="004E3754" w:rsidP="00CD0B54">
            <w:pPr>
              <w:spacing w:after="0" w:line="240" w:lineRule="auto"/>
              <w:jc w:val="center"/>
              <w:rPr>
                <w:rFonts w:eastAsia="Times New Roman" w:cstheme="minorHAnsi"/>
                <w:b/>
                <w:bCs/>
                <w:color w:val="4472C4" w:themeColor="accent1"/>
              </w:rPr>
            </w:pPr>
            <w:r w:rsidRPr="00B8024D">
              <w:rPr>
                <w:rFonts w:eastAsia="Times New Roman" w:cstheme="minorHAnsi"/>
                <w:b/>
                <w:bCs/>
                <w:color w:val="4472C4" w:themeColor="accent1"/>
              </w:rPr>
              <w:t>SADRŽAJ</w:t>
            </w:r>
          </w:p>
        </w:tc>
        <w:tc>
          <w:tcPr>
            <w:tcW w:w="2126" w:type="dxa"/>
            <w:shd w:val="clear" w:color="auto" w:fill="D9E2F3"/>
          </w:tcPr>
          <w:p w14:paraId="3209CC8F" w14:textId="77777777" w:rsidR="004E3754" w:rsidRPr="00B8024D" w:rsidRDefault="004E3754" w:rsidP="00CD0B54">
            <w:pPr>
              <w:spacing w:after="0" w:line="240" w:lineRule="auto"/>
              <w:jc w:val="center"/>
              <w:rPr>
                <w:rFonts w:eastAsia="Times New Roman" w:cstheme="minorHAnsi"/>
                <w:b/>
                <w:bCs/>
                <w:color w:val="4472C4" w:themeColor="accent1"/>
              </w:rPr>
            </w:pPr>
            <w:r w:rsidRPr="00B8024D">
              <w:rPr>
                <w:rFonts w:eastAsia="Times New Roman" w:cstheme="minorHAnsi"/>
                <w:b/>
                <w:bCs/>
                <w:color w:val="4472C4" w:themeColor="accent1"/>
              </w:rPr>
              <w:t>SASTAVNI DIO</w:t>
            </w:r>
          </w:p>
        </w:tc>
        <w:tc>
          <w:tcPr>
            <w:tcW w:w="5069" w:type="dxa"/>
            <w:shd w:val="clear" w:color="auto" w:fill="D9E2F3"/>
          </w:tcPr>
          <w:p w14:paraId="3CF963F0" w14:textId="77777777" w:rsidR="004E3754" w:rsidRPr="00B8024D" w:rsidRDefault="004E3754" w:rsidP="00CD0B54">
            <w:pPr>
              <w:spacing w:after="0" w:line="240" w:lineRule="auto"/>
              <w:jc w:val="center"/>
              <w:rPr>
                <w:rFonts w:eastAsia="Times New Roman" w:cstheme="minorHAnsi"/>
                <w:b/>
                <w:bCs/>
                <w:color w:val="4472C4" w:themeColor="accent1"/>
              </w:rPr>
            </w:pPr>
            <w:r w:rsidRPr="00B8024D">
              <w:rPr>
                <w:rFonts w:eastAsia="Times New Roman" w:cstheme="minorHAnsi"/>
                <w:b/>
                <w:bCs/>
                <w:color w:val="4472C4" w:themeColor="accent1"/>
              </w:rPr>
              <w:t>OPIS SASTAVNOG DIJELA</w:t>
            </w:r>
          </w:p>
        </w:tc>
      </w:tr>
      <w:tr w:rsidR="004E3754" w:rsidRPr="00B8024D" w14:paraId="075D6749" w14:textId="77777777" w:rsidTr="00CD0B54">
        <w:tc>
          <w:tcPr>
            <w:tcW w:w="2093" w:type="dxa"/>
            <w:vMerge w:val="restart"/>
            <w:shd w:val="clear" w:color="auto" w:fill="F2F2F2"/>
            <w:vAlign w:val="center"/>
          </w:tcPr>
          <w:p w14:paraId="1692DC42" w14:textId="77777777" w:rsidR="004E3754" w:rsidRPr="00B8024D" w:rsidRDefault="004E3754" w:rsidP="00CD0B54">
            <w:pPr>
              <w:spacing w:after="0" w:line="240" w:lineRule="auto"/>
              <w:jc w:val="center"/>
              <w:rPr>
                <w:rFonts w:eastAsia="Times New Roman" w:cstheme="minorHAnsi"/>
                <w:b/>
                <w:bCs/>
                <w:color w:val="4472C4" w:themeColor="accent1"/>
                <w:sz w:val="20"/>
                <w:szCs w:val="20"/>
              </w:rPr>
            </w:pPr>
            <w:r w:rsidRPr="00B8024D">
              <w:rPr>
                <w:rFonts w:eastAsia="Times New Roman" w:cstheme="minorHAnsi"/>
                <w:b/>
                <w:bCs/>
                <w:color w:val="4472C4" w:themeColor="accent1"/>
                <w:sz w:val="20"/>
                <w:szCs w:val="20"/>
              </w:rPr>
              <w:t>Opći dio proračuna</w:t>
            </w:r>
          </w:p>
        </w:tc>
        <w:tc>
          <w:tcPr>
            <w:tcW w:w="2126" w:type="dxa"/>
            <w:shd w:val="clear" w:color="auto" w:fill="auto"/>
            <w:vAlign w:val="center"/>
          </w:tcPr>
          <w:p w14:paraId="1B189EF4" w14:textId="77777777" w:rsidR="004E3754" w:rsidRPr="00B8024D" w:rsidRDefault="004E3754" w:rsidP="00CD0B54">
            <w:pPr>
              <w:spacing w:after="0" w:line="240" w:lineRule="auto"/>
              <w:jc w:val="center"/>
              <w:rPr>
                <w:rFonts w:eastAsia="Times New Roman" w:cstheme="minorHAnsi"/>
                <w:sz w:val="20"/>
                <w:szCs w:val="20"/>
              </w:rPr>
            </w:pPr>
            <w:r w:rsidRPr="00B8024D">
              <w:rPr>
                <w:rFonts w:eastAsia="Times New Roman" w:cstheme="minorHAnsi"/>
                <w:sz w:val="20"/>
                <w:szCs w:val="20"/>
              </w:rPr>
              <w:t>Sažetak Računa prihoda i rashoda Sažetak Računa financiranja</w:t>
            </w:r>
          </w:p>
        </w:tc>
        <w:tc>
          <w:tcPr>
            <w:tcW w:w="5069" w:type="dxa"/>
            <w:shd w:val="clear" w:color="auto" w:fill="auto"/>
          </w:tcPr>
          <w:p w14:paraId="1A96BB5A" w14:textId="77777777" w:rsidR="004E3754" w:rsidRPr="00B8024D" w:rsidRDefault="004E3754" w:rsidP="00CD0B54">
            <w:pPr>
              <w:numPr>
                <w:ilvl w:val="0"/>
                <w:numId w:val="39"/>
              </w:numPr>
              <w:spacing w:after="0" w:line="240" w:lineRule="auto"/>
              <w:ind w:left="322" w:hanging="283"/>
              <w:jc w:val="both"/>
              <w:rPr>
                <w:rFonts w:eastAsia="Times New Roman" w:cstheme="minorHAnsi"/>
                <w:sz w:val="20"/>
                <w:szCs w:val="20"/>
              </w:rPr>
            </w:pPr>
            <w:r w:rsidRPr="00B8024D">
              <w:rPr>
                <w:rFonts w:eastAsia="Times New Roman" w:cstheme="minorHAnsi"/>
                <w:sz w:val="20"/>
                <w:szCs w:val="20"/>
              </w:rPr>
              <w:t>ukupni prihodi poslovanja i prihodi od prodaje nefinancijske imovine, ukupni rashodi poslovanja i rashodi za nabavu nefinancijske imovine</w:t>
            </w:r>
          </w:p>
          <w:p w14:paraId="239E34D4" w14:textId="77777777" w:rsidR="004E3754" w:rsidRPr="00B8024D" w:rsidRDefault="004E3754" w:rsidP="00CD0B54">
            <w:pPr>
              <w:numPr>
                <w:ilvl w:val="0"/>
                <w:numId w:val="39"/>
              </w:numPr>
              <w:spacing w:after="0" w:line="240" w:lineRule="auto"/>
              <w:ind w:left="322" w:hanging="283"/>
              <w:jc w:val="both"/>
              <w:rPr>
                <w:rFonts w:eastAsia="Times New Roman" w:cstheme="minorHAnsi"/>
                <w:sz w:val="20"/>
                <w:szCs w:val="20"/>
              </w:rPr>
            </w:pPr>
            <w:r w:rsidRPr="00B8024D">
              <w:rPr>
                <w:rFonts w:eastAsia="Times New Roman" w:cstheme="minorHAnsi"/>
                <w:sz w:val="20"/>
                <w:szCs w:val="20"/>
              </w:rPr>
              <w:t>ukupni primici od financijske imovine i zaduživanja i izdaci za financijsku imovinu i otplate zajmova</w:t>
            </w:r>
          </w:p>
        </w:tc>
      </w:tr>
      <w:tr w:rsidR="004E3754" w:rsidRPr="00B8024D" w14:paraId="53E0C02E" w14:textId="77777777" w:rsidTr="00CD0B54">
        <w:tc>
          <w:tcPr>
            <w:tcW w:w="2093" w:type="dxa"/>
            <w:vMerge/>
            <w:shd w:val="clear" w:color="auto" w:fill="F2F2F2"/>
          </w:tcPr>
          <w:p w14:paraId="25500CD3" w14:textId="77777777" w:rsidR="004E3754" w:rsidRPr="00B8024D" w:rsidRDefault="004E3754" w:rsidP="00CD0B54">
            <w:pPr>
              <w:spacing w:after="0" w:line="240" w:lineRule="auto"/>
              <w:jc w:val="center"/>
              <w:rPr>
                <w:rFonts w:eastAsia="Times New Roman" w:cstheme="minorHAnsi"/>
                <w:b/>
                <w:bCs/>
                <w:color w:val="44546A"/>
                <w:sz w:val="20"/>
                <w:szCs w:val="20"/>
              </w:rPr>
            </w:pPr>
          </w:p>
        </w:tc>
        <w:tc>
          <w:tcPr>
            <w:tcW w:w="2126" w:type="dxa"/>
            <w:shd w:val="clear" w:color="auto" w:fill="auto"/>
            <w:vAlign w:val="center"/>
          </w:tcPr>
          <w:p w14:paraId="0B08C210" w14:textId="77777777" w:rsidR="004E3754" w:rsidRPr="00B8024D" w:rsidRDefault="004E3754" w:rsidP="00CD0B54">
            <w:pPr>
              <w:spacing w:after="0" w:line="240" w:lineRule="auto"/>
              <w:jc w:val="center"/>
              <w:rPr>
                <w:rFonts w:eastAsia="Times New Roman" w:cstheme="minorHAnsi"/>
                <w:sz w:val="20"/>
                <w:szCs w:val="20"/>
              </w:rPr>
            </w:pPr>
            <w:r w:rsidRPr="00B8024D">
              <w:rPr>
                <w:rFonts w:eastAsia="Times New Roman" w:cstheme="minorHAnsi"/>
                <w:sz w:val="20"/>
                <w:szCs w:val="20"/>
              </w:rPr>
              <w:t>Račun prihoda i rashoda</w:t>
            </w:r>
          </w:p>
        </w:tc>
        <w:tc>
          <w:tcPr>
            <w:tcW w:w="5069" w:type="dxa"/>
            <w:shd w:val="clear" w:color="auto" w:fill="auto"/>
          </w:tcPr>
          <w:p w14:paraId="6A099742" w14:textId="77777777" w:rsidR="004E3754" w:rsidRPr="00B8024D" w:rsidRDefault="004E3754" w:rsidP="00CD0B54">
            <w:pPr>
              <w:numPr>
                <w:ilvl w:val="0"/>
                <w:numId w:val="39"/>
              </w:numPr>
              <w:spacing w:after="0" w:line="240" w:lineRule="auto"/>
              <w:ind w:left="322" w:hanging="283"/>
              <w:jc w:val="both"/>
              <w:rPr>
                <w:rFonts w:eastAsia="Times New Roman" w:cstheme="minorHAnsi"/>
                <w:sz w:val="20"/>
                <w:szCs w:val="20"/>
              </w:rPr>
            </w:pPr>
            <w:r w:rsidRPr="00B8024D">
              <w:rPr>
                <w:rFonts w:eastAsia="Times New Roman" w:cstheme="minorHAnsi"/>
                <w:sz w:val="20"/>
                <w:szCs w:val="20"/>
              </w:rPr>
              <w:t xml:space="preserve">ukupni prihodi i rashodi iskazani prema izvorima financiranja i ekonomskoj klasifikaciji na razini skupine </w:t>
            </w:r>
          </w:p>
          <w:p w14:paraId="0CFCA8B4" w14:textId="77777777" w:rsidR="004E3754" w:rsidRPr="00B8024D" w:rsidRDefault="004E3754" w:rsidP="00CD0B54">
            <w:pPr>
              <w:numPr>
                <w:ilvl w:val="0"/>
                <w:numId w:val="39"/>
              </w:numPr>
              <w:spacing w:after="0" w:line="240" w:lineRule="auto"/>
              <w:ind w:left="322" w:hanging="283"/>
              <w:jc w:val="both"/>
              <w:rPr>
                <w:rFonts w:eastAsia="Times New Roman" w:cstheme="minorHAnsi"/>
                <w:sz w:val="20"/>
                <w:szCs w:val="20"/>
              </w:rPr>
            </w:pPr>
            <w:r w:rsidRPr="00B8024D">
              <w:rPr>
                <w:rFonts w:eastAsia="Times New Roman" w:cstheme="minorHAnsi"/>
                <w:sz w:val="20"/>
                <w:szCs w:val="20"/>
              </w:rPr>
              <w:t>ukupni rashodi iskazani prema funkcijskoj klasifikaciji</w:t>
            </w:r>
          </w:p>
        </w:tc>
      </w:tr>
      <w:tr w:rsidR="004E3754" w:rsidRPr="00B8024D" w14:paraId="472C52A9" w14:textId="77777777" w:rsidTr="00CD0B54">
        <w:tc>
          <w:tcPr>
            <w:tcW w:w="2093" w:type="dxa"/>
            <w:vMerge/>
            <w:shd w:val="clear" w:color="auto" w:fill="F2F2F2"/>
          </w:tcPr>
          <w:p w14:paraId="703986CA" w14:textId="77777777" w:rsidR="004E3754" w:rsidRPr="00B8024D" w:rsidRDefault="004E3754" w:rsidP="00CD0B54">
            <w:pPr>
              <w:spacing w:after="0" w:line="240" w:lineRule="auto"/>
              <w:jc w:val="center"/>
              <w:rPr>
                <w:rFonts w:eastAsia="Times New Roman" w:cstheme="minorHAnsi"/>
                <w:b/>
                <w:bCs/>
                <w:color w:val="44546A"/>
                <w:sz w:val="20"/>
                <w:szCs w:val="20"/>
              </w:rPr>
            </w:pPr>
          </w:p>
        </w:tc>
        <w:tc>
          <w:tcPr>
            <w:tcW w:w="2126" w:type="dxa"/>
            <w:shd w:val="clear" w:color="auto" w:fill="auto"/>
            <w:vAlign w:val="center"/>
          </w:tcPr>
          <w:p w14:paraId="69F4EAAB" w14:textId="77777777" w:rsidR="004E3754" w:rsidRPr="00B8024D" w:rsidRDefault="004E3754" w:rsidP="00CD0B54">
            <w:pPr>
              <w:spacing w:after="0" w:line="240" w:lineRule="auto"/>
              <w:jc w:val="center"/>
              <w:rPr>
                <w:rFonts w:eastAsia="Times New Roman" w:cstheme="minorHAnsi"/>
                <w:sz w:val="20"/>
                <w:szCs w:val="20"/>
              </w:rPr>
            </w:pPr>
            <w:r w:rsidRPr="00B8024D">
              <w:rPr>
                <w:rFonts w:eastAsia="Times New Roman" w:cstheme="minorHAnsi"/>
                <w:sz w:val="20"/>
                <w:szCs w:val="20"/>
              </w:rPr>
              <w:t>Račun financiranja</w:t>
            </w:r>
          </w:p>
        </w:tc>
        <w:tc>
          <w:tcPr>
            <w:tcW w:w="5069" w:type="dxa"/>
            <w:shd w:val="clear" w:color="auto" w:fill="auto"/>
          </w:tcPr>
          <w:p w14:paraId="73DB828D" w14:textId="77777777" w:rsidR="004E3754" w:rsidRPr="00B8024D" w:rsidRDefault="004E3754" w:rsidP="00CD0B54">
            <w:pPr>
              <w:numPr>
                <w:ilvl w:val="0"/>
                <w:numId w:val="39"/>
              </w:numPr>
              <w:spacing w:after="0" w:line="240" w:lineRule="auto"/>
              <w:ind w:left="322" w:hanging="283"/>
              <w:jc w:val="both"/>
              <w:rPr>
                <w:rFonts w:eastAsia="Times New Roman" w:cstheme="minorHAnsi"/>
                <w:sz w:val="20"/>
                <w:szCs w:val="20"/>
              </w:rPr>
            </w:pPr>
            <w:r w:rsidRPr="00B8024D">
              <w:rPr>
                <w:rFonts w:eastAsia="Times New Roman" w:cstheme="minorHAnsi"/>
                <w:sz w:val="20"/>
                <w:szCs w:val="20"/>
              </w:rPr>
              <w:t>ukupni primici od financijske imovine i zaduživanja i izdaci za financijsku imovinu i otplate instrumenata zaduživanja prema izvorima financiranja i ekonomskoj klasifikaciji na razini skupine</w:t>
            </w:r>
          </w:p>
        </w:tc>
      </w:tr>
      <w:tr w:rsidR="004E3754" w:rsidRPr="00B8024D" w14:paraId="6F89FFEB" w14:textId="77777777" w:rsidTr="00CD0B54">
        <w:tc>
          <w:tcPr>
            <w:tcW w:w="2093" w:type="dxa"/>
            <w:vMerge/>
            <w:shd w:val="clear" w:color="auto" w:fill="F2F2F2"/>
          </w:tcPr>
          <w:p w14:paraId="0A6BE58E" w14:textId="77777777" w:rsidR="004E3754" w:rsidRPr="00B8024D" w:rsidRDefault="004E3754" w:rsidP="00CD0B54">
            <w:pPr>
              <w:spacing w:after="0" w:line="240" w:lineRule="auto"/>
              <w:jc w:val="center"/>
              <w:rPr>
                <w:rFonts w:eastAsia="Times New Roman" w:cstheme="minorHAnsi"/>
                <w:b/>
                <w:bCs/>
                <w:color w:val="44546A"/>
                <w:sz w:val="20"/>
                <w:szCs w:val="20"/>
              </w:rPr>
            </w:pPr>
          </w:p>
        </w:tc>
        <w:tc>
          <w:tcPr>
            <w:tcW w:w="2126" w:type="dxa"/>
            <w:shd w:val="clear" w:color="auto" w:fill="auto"/>
            <w:vAlign w:val="center"/>
          </w:tcPr>
          <w:p w14:paraId="685228FD" w14:textId="77777777" w:rsidR="004E3754" w:rsidRPr="00B8024D" w:rsidRDefault="004E3754" w:rsidP="00CD0B54">
            <w:pPr>
              <w:spacing w:after="0" w:line="240" w:lineRule="auto"/>
              <w:jc w:val="center"/>
              <w:rPr>
                <w:rFonts w:eastAsia="Times New Roman" w:cstheme="minorHAnsi"/>
                <w:sz w:val="20"/>
                <w:szCs w:val="20"/>
              </w:rPr>
            </w:pPr>
            <w:r w:rsidRPr="00B8024D">
              <w:rPr>
                <w:rFonts w:eastAsia="Times New Roman" w:cstheme="minorHAnsi"/>
                <w:sz w:val="20"/>
                <w:szCs w:val="20"/>
              </w:rPr>
              <w:t>Preneseni višak ili preneseni manjak prihoda nad rashodima</w:t>
            </w:r>
          </w:p>
        </w:tc>
        <w:tc>
          <w:tcPr>
            <w:tcW w:w="5069" w:type="dxa"/>
            <w:shd w:val="clear" w:color="auto" w:fill="auto"/>
          </w:tcPr>
          <w:p w14:paraId="32FB58CA" w14:textId="77777777" w:rsidR="004E3754" w:rsidRPr="00B8024D" w:rsidRDefault="004E3754" w:rsidP="00CD0B54">
            <w:pPr>
              <w:numPr>
                <w:ilvl w:val="0"/>
                <w:numId w:val="39"/>
              </w:numPr>
              <w:spacing w:after="0" w:line="240" w:lineRule="auto"/>
              <w:ind w:left="322" w:hanging="283"/>
              <w:jc w:val="both"/>
              <w:rPr>
                <w:rFonts w:eastAsia="Times New Roman" w:cstheme="minorHAnsi"/>
                <w:sz w:val="20"/>
                <w:szCs w:val="20"/>
              </w:rPr>
            </w:pPr>
            <w:r w:rsidRPr="00B8024D">
              <w:rPr>
                <w:rFonts w:eastAsia="Times New Roman" w:cstheme="minorHAnsi"/>
                <w:sz w:val="20"/>
                <w:szCs w:val="20"/>
              </w:rPr>
              <w:t>ako ukupni prihodi i primici nisu jednaki ukupnim rashodima i izdacima, opći dio proračuna sadrži i preneseni višak ili preneseni manjak prihoda nad rashodima</w:t>
            </w:r>
          </w:p>
        </w:tc>
      </w:tr>
      <w:tr w:rsidR="004E3754" w:rsidRPr="00B8024D" w14:paraId="5A105913" w14:textId="77777777" w:rsidTr="00CD0B54">
        <w:tc>
          <w:tcPr>
            <w:tcW w:w="2093" w:type="dxa"/>
            <w:vMerge/>
            <w:shd w:val="clear" w:color="auto" w:fill="F2F2F2"/>
          </w:tcPr>
          <w:p w14:paraId="1C2BBF9A" w14:textId="77777777" w:rsidR="004E3754" w:rsidRPr="00B8024D" w:rsidRDefault="004E3754" w:rsidP="00CD0B54">
            <w:pPr>
              <w:spacing w:after="0" w:line="240" w:lineRule="auto"/>
              <w:jc w:val="center"/>
              <w:rPr>
                <w:rFonts w:eastAsia="Times New Roman" w:cstheme="minorHAnsi"/>
                <w:b/>
                <w:bCs/>
                <w:color w:val="44546A"/>
                <w:sz w:val="20"/>
                <w:szCs w:val="20"/>
              </w:rPr>
            </w:pPr>
          </w:p>
        </w:tc>
        <w:tc>
          <w:tcPr>
            <w:tcW w:w="2126" w:type="dxa"/>
            <w:shd w:val="clear" w:color="auto" w:fill="auto"/>
            <w:vAlign w:val="center"/>
          </w:tcPr>
          <w:p w14:paraId="556239B5" w14:textId="77777777" w:rsidR="004E3754" w:rsidRPr="00B8024D" w:rsidRDefault="004E3754" w:rsidP="00CD0B54">
            <w:pPr>
              <w:spacing w:after="0" w:line="240" w:lineRule="auto"/>
              <w:jc w:val="center"/>
              <w:rPr>
                <w:rFonts w:eastAsia="Times New Roman" w:cstheme="minorHAnsi"/>
                <w:sz w:val="20"/>
                <w:szCs w:val="20"/>
              </w:rPr>
            </w:pPr>
            <w:r w:rsidRPr="00B8024D">
              <w:rPr>
                <w:rFonts w:eastAsia="Times New Roman" w:cstheme="minorHAnsi"/>
                <w:sz w:val="20"/>
                <w:szCs w:val="20"/>
              </w:rPr>
              <w:t>Višegodišnji plan uravnoteženja</w:t>
            </w:r>
          </w:p>
        </w:tc>
        <w:tc>
          <w:tcPr>
            <w:tcW w:w="5069" w:type="dxa"/>
            <w:shd w:val="clear" w:color="auto" w:fill="auto"/>
          </w:tcPr>
          <w:p w14:paraId="344CA886" w14:textId="77777777" w:rsidR="004E3754" w:rsidRPr="00B8024D" w:rsidRDefault="004E3754" w:rsidP="00CD0B54">
            <w:pPr>
              <w:numPr>
                <w:ilvl w:val="0"/>
                <w:numId w:val="39"/>
              </w:numPr>
              <w:spacing w:after="0" w:line="240" w:lineRule="auto"/>
              <w:ind w:left="322" w:hanging="283"/>
              <w:jc w:val="both"/>
              <w:rPr>
                <w:rFonts w:eastAsia="Times New Roman" w:cstheme="minorHAnsi"/>
                <w:sz w:val="20"/>
                <w:szCs w:val="20"/>
              </w:rPr>
            </w:pPr>
            <w:r w:rsidRPr="00B8024D">
              <w:rPr>
                <w:rFonts w:eastAsia="Times New Roman" w:cstheme="minorHAnsi"/>
                <w:sz w:val="20"/>
                <w:szCs w:val="20"/>
              </w:rPr>
              <w:t xml:space="preserve">ako JLP(R)S ne mogu preneseni manjak podmiriti do kraja proračunske godine, obvezni su izraditi višegodišnji plan uravnoteženja za razdoblje za koje se proračun donosi </w:t>
            </w:r>
          </w:p>
          <w:p w14:paraId="7BE9F95D" w14:textId="77777777" w:rsidR="004E3754" w:rsidRPr="00B8024D" w:rsidRDefault="004E3754" w:rsidP="00CD0B54">
            <w:pPr>
              <w:numPr>
                <w:ilvl w:val="0"/>
                <w:numId w:val="39"/>
              </w:numPr>
              <w:spacing w:after="0" w:line="240" w:lineRule="auto"/>
              <w:ind w:left="322" w:hanging="283"/>
              <w:jc w:val="both"/>
              <w:rPr>
                <w:rFonts w:eastAsia="Times New Roman" w:cstheme="minorHAnsi"/>
                <w:sz w:val="20"/>
                <w:szCs w:val="20"/>
              </w:rPr>
            </w:pPr>
            <w:r w:rsidRPr="00B8024D">
              <w:rPr>
                <w:rFonts w:eastAsia="Times New Roman" w:cstheme="minorHAnsi"/>
                <w:sz w:val="20"/>
                <w:szCs w:val="20"/>
              </w:rPr>
              <w:t>ako JLP(R)S ne mogu preneseni višak, zbog njegove veličine, u cijelosti iskoristiti u jednoj proračunskoj godini, korištenje viška planira se višegodišnjim planom uravnoteženja za razdoblje za koje se proračun donosi</w:t>
            </w:r>
          </w:p>
        </w:tc>
      </w:tr>
      <w:tr w:rsidR="004E3754" w:rsidRPr="00B8024D" w14:paraId="7892C8A6" w14:textId="77777777" w:rsidTr="00CD0B54">
        <w:tc>
          <w:tcPr>
            <w:tcW w:w="2093" w:type="dxa"/>
            <w:shd w:val="clear" w:color="auto" w:fill="F2F2F2"/>
            <w:vAlign w:val="center"/>
          </w:tcPr>
          <w:p w14:paraId="40360425" w14:textId="77777777" w:rsidR="004E3754" w:rsidRPr="00B8024D" w:rsidRDefault="004E3754" w:rsidP="00CD0B54">
            <w:pPr>
              <w:spacing w:after="0" w:line="240" w:lineRule="auto"/>
              <w:jc w:val="center"/>
              <w:rPr>
                <w:rFonts w:eastAsia="Times New Roman" w:cstheme="minorHAnsi"/>
                <w:b/>
                <w:bCs/>
                <w:color w:val="4472C4" w:themeColor="accent1"/>
                <w:sz w:val="20"/>
                <w:szCs w:val="20"/>
              </w:rPr>
            </w:pPr>
            <w:r w:rsidRPr="00B8024D">
              <w:rPr>
                <w:rFonts w:eastAsia="Times New Roman" w:cstheme="minorHAnsi"/>
                <w:b/>
                <w:bCs/>
                <w:color w:val="4472C4" w:themeColor="accent1"/>
                <w:sz w:val="20"/>
                <w:szCs w:val="20"/>
              </w:rPr>
              <w:t>Posebni dio proračuna</w:t>
            </w:r>
          </w:p>
        </w:tc>
        <w:tc>
          <w:tcPr>
            <w:tcW w:w="2126" w:type="dxa"/>
            <w:shd w:val="clear" w:color="auto" w:fill="auto"/>
            <w:vAlign w:val="center"/>
          </w:tcPr>
          <w:p w14:paraId="7349DBE6" w14:textId="77777777" w:rsidR="004E3754" w:rsidRPr="00B8024D" w:rsidRDefault="004E3754" w:rsidP="00CD0B54">
            <w:pPr>
              <w:spacing w:after="0" w:line="240" w:lineRule="auto"/>
              <w:jc w:val="center"/>
              <w:rPr>
                <w:rFonts w:eastAsia="Times New Roman" w:cstheme="minorHAnsi"/>
                <w:sz w:val="20"/>
                <w:szCs w:val="20"/>
              </w:rPr>
            </w:pPr>
            <w:r w:rsidRPr="00B8024D">
              <w:rPr>
                <w:rFonts w:eastAsia="Times New Roman" w:cstheme="minorHAnsi"/>
                <w:sz w:val="20"/>
                <w:szCs w:val="20"/>
              </w:rPr>
              <w:t xml:space="preserve">Plan rashoda i izdataka proračuna JLP(R)S i </w:t>
            </w:r>
            <w:r w:rsidRPr="00B8024D">
              <w:rPr>
                <w:rFonts w:eastAsia="Times New Roman" w:cstheme="minorHAnsi"/>
                <w:sz w:val="20"/>
                <w:szCs w:val="20"/>
              </w:rPr>
              <w:lastRenderedPageBreak/>
              <w:t>njihovih proračunskih korisnika</w:t>
            </w:r>
          </w:p>
        </w:tc>
        <w:tc>
          <w:tcPr>
            <w:tcW w:w="5069" w:type="dxa"/>
            <w:shd w:val="clear" w:color="auto" w:fill="auto"/>
          </w:tcPr>
          <w:p w14:paraId="73860C4D" w14:textId="77777777" w:rsidR="004E3754" w:rsidRPr="00B8024D" w:rsidRDefault="004E3754" w:rsidP="00CD0B54">
            <w:pPr>
              <w:numPr>
                <w:ilvl w:val="0"/>
                <w:numId w:val="39"/>
              </w:numPr>
              <w:spacing w:after="0" w:line="240" w:lineRule="auto"/>
              <w:ind w:left="322" w:hanging="283"/>
              <w:jc w:val="both"/>
              <w:rPr>
                <w:rFonts w:eastAsia="Times New Roman" w:cstheme="minorHAnsi"/>
                <w:sz w:val="20"/>
                <w:szCs w:val="20"/>
              </w:rPr>
            </w:pPr>
            <w:r w:rsidRPr="00B8024D">
              <w:rPr>
                <w:rFonts w:eastAsia="Times New Roman" w:cstheme="minorHAnsi"/>
                <w:sz w:val="20"/>
                <w:szCs w:val="20"/>
              </w:rPr>
              <w:lastRenderedPageBreak/>
              <w:t xml:space="preserve">rashodi i izdaci JLP(R)S i njihovih proračunskih korisnika iskazani po organizacijskoj klasifikaciji, izvorima </w:t>
            </w:r>
            <w:r w:rsidRPr="00B8024D">
              <w:rPr>
                <w:rFonts w:eastAsia="Times New Roman" w:cstheme="minorHAnsi"/>
                <w:sz w:val="20"/>
                <w:szCs w:val="20"/>
              </w:rPr>
              <w:lastRenderedPageBreak/>
              <w:t>financiranja i ekonomskoj klasifikaciji na razini skupine, raspoređenih u programe koji se sastoje od aktivnosti i projekata</w:t>
            </w:r>
          </w:p>
        </w:tc>
      </w:tr>
      <w:tr w:rsidR="004E3754" w:rsidRPr="00B8024D" w14:paraId="5A844719" w14:textId="77777777" w:rsidTr="00CD0B54">
        <w:tc>
          <w:tcPr>
            <w:tcW w:w="2093" w:type="dxa"/>
            <w:shd w:val="clear" w:color="auto" w:fill="F2F2F2"/>
            <w:vAlign w:val="center"/>
          </w:tcPr>
          <w:p w14:paraId="3228910D" w14:textId="77777777" w:rsidR="004E3754" w:rsidRPr="00B8024D" w:rsidRDefault="004E3754" w:rsidP="00CD0B54">
            <w:pPr>
              <w:spacing w:after="0" w:line="240" w:lineRule="auto"/>
              <w:jc w:val="center"/>
              <w:rPr>
                <w:rFonts w:eastAsia="Times New Roman" w:cstheme="minorHAnsi"/>
                <w:b/>
                <w:bCs/>
                <w:color w:val="4472C4" w:themeColor="accent1"/>
                <w:sz w:val="20"/>
                <w:szCs w:val="20"/>
              </w:rPr>
            </w:pPr>
            <w:r w:rsidRPr="00B8024D">
              <w:rPr>
                <w:rFonts w:eastAsia="Times New Roman" w:cstheme="minorHAnsi"/>
                <w:b/>
                <w:bCs/>
                <w:color w:val="4472C4" w:themeColor="accent1"/>
                <w:sz w:val="20"/>
                <w:szCs w:val="20"/>
              </w:rPr>
              <w:lastRenderedPageBreak/>
              <w:t>Obrazloženje proračuna</w:t>
            </w:r>
          </w:p>
        </w:tc>
        <w:tc>
          <w:tcPr>
            <w:tcW w:w="2126" w:type="dxa"/>
            <w:shd w:val="clear" w:color="auto" w:fill="auto"/>
            <w:vAlign w:val="center"/>
          </w:tcPr>
          <w:p w14:paraId="5951663B" w14:textId="77777777" w:rsidR="004E3754" w:rsidRPr="00B8024D" w:rsidRDefault="004E3754" w:rsidP="00CD0B54">
            <w:pPr>
              <w:spacing w:after="0" w:line="240" w:lineRule="auto"/>
              <w:jc w:val="center"/>
              <w:rPr>
                <w:rFonts w:eastAsia="Times New Roman" w:cstheme="minorHAnsi"/>
                <w:sz w:val="20"/>
                <w:szCs w:val="20"/>
              </w:rPr>
            </w:pPr>
            <w:r w:rsidRPr="00B8024D">
              <w:rPr>
                <w:rFonts w:eastAsia="Times New Roman" w:cstheme="minorHAnsi"/>
                <w:sz w:val="20"/>
                <w:szCs w:val="20"/>
              </w:rPr>
              <w:t>Obrazloženje općeg dijela proračuna i obrazloženje posebnog dijela proračuna</w:t>
            </w:r>
          </w:p>
        </w:tc>
        <w:tc>
          <w:tcPr>
            <w:tcW w:w="5069" w:type="dxa"/>
            <w:shd w:val="clear" w:color="auto" w:fill="auto"/>
          </w:tcPr>
          <w:p w14:paraId="22CBBC5A" w14:textId="77777777" w:rsidR="004E3754" w:rsidRPr="00B8024D" w:rsidRDefault="004E3754" w:rsidP="00CD0B54">
            <w:pPr>
              <w:numPr>
                <w:ilvl w:val="0"/>
                <w:numId w:val="39"/>
              </w:numPr>
              <w:spacing w:after="0" w:line="240" w:lineRule="auto"/>
              <w:ind w:left="322" w:hanging="283"/>
              <w:jc w:val="both"/>
              <w:rPr>
                <w:rFonts w:eastAsia="Times New Roman" w:cstheme="minorHAnsi"/>
                <w:sz w:val="20"/>
                <w:szCs w:val="20"/>
              </w:rPr>
            </w:pPr>
            <w:r w:rsidRPr="00B8024D">
              <w:rPr>
                <w:rFonts w:eastAsia="Times New Roman" w:cstheme="minorHAnsi"/>
                <w:sz w:val="20"/>
                <w:szCs w:val="20"/>
              </w:rPr>
              <w:t xml:space="preserve">obrazloženje općeg dijela proračuna JLP(R)S sadrži obrazloženje prihoda i rashoda, primitaka i izdataka proračuna JLP(R)S i obrazloženje prenesenog manjka odnosno viška proračuna JLP(R)S </w:t>
            </w:r>
          </w:p>
          <w:p w14:paraId="7D059724" w14:textId="77777777" w:rsidR="004E3754" w:rsidRPr="00B8024D" w:rsidRDefault="004E3754" w:rsidP="00CD0B54">
            <w:pPr>
              <w:numPr>
                <w:ilvl w:val="0"/>
                <w:numId w:val="39"/>
              </w:numPr>
              <w:spacing w:after="0" w:line="240" w:lineRule="auto"/>
              <w:ind w:left="322" w:hanging="283"/>
              <w:jc w:val="both"/>
              <w:rPr>
                <w:rFonts w:eastAsia="Times New Roman" w:cstheme="minorHAnsi"/>
                <w:sz w:val="20"/>
                <w:szCs w:val="20"/>
              </w:rPr>
            </w:pPr>
            <w:r w:rsidRPr="00B8024D">
              <w:rPr>
                <w:rFonts w:eastAsia="Times New Roman" w:cstheme="minorHAnsi"/>
                <w:sz w:val="20"/>
                <w:szCs w:val="20"/>
              </w:rPr>
              <w:t xml:space="preserve"> obrazloženje posebnog dijela proračuna JLP(R)S temelji se na obrazloženjima financijskih planova proračunskih korisnika, a sastoji se od obrazloženja programa koje se daje kroz obrazloženje aktivnosti i projekata zajedno s ciljevima i pokazateljima uspješnosti iz akata strateškog planiranja.</w:t>
            </w:r>
          </w:p>
        </w:tc>
      </w:tr>
      <w:bookmarkEnd w:id="1"/>
    </w:tbl>
    <w:p w14:paraId="1A3654E4" w14:textId="77777777" w:rsidR="004422AA" w:rsidRPr="00B6007A" w:rsidRDefault="004422AA" w:rsidP="007602C9">
      <w:pPr>
        <w:spacing w:after="0" w:line="240" w:lineRule="auto"/>
        <w:jc w:val="both"/>
        <w:rPr>
          <w:rFonts w:eastAsia="Times New Roman" w:cstheme="minorHAnsi"/>
          <w:b/>
          <w:sz w:val="24"/>
          <w:szCs w:val="24"/>
        </w:rPr>
      </w:pPr>
    </w:p>
    <w:p w14:paraId="3740647B" w14:textId="033EC5C9" w:rsidR="00F44802" w:rsidRPr="00B6007A" w:rsidRDefault="0014546B" w:rsidP="000A0D69">
      <w:pPr>
        <w:spacing w:after="0" w:line="240" w:lineRule="auto"/>
        <w:ind w:left="-284"/>
        <w:jc w:val="both"/>
        <w:rPr>
          <w:rFonts w:eastAsia="Times New Roman" w:cstheme="minorHAnsi"/>
          <w:color w:val="4472C4" w:themeColor="accent1"/>
          <w:sz w:val="24"/>
          <w:szCs w:val="24"/>
        </w:rPr>
      </w:pPr>
      <w:r w:rsidRPr="00B6007A">
        <w:rPr>
          <w:rFonts w:cstheme="minorHAnsi"/>
          <w:noProof/>
          <w:color w:val="4472C4" w:themeColor="accent1"/>
          <w:lang w:eastAsia="hr-HR"/>
        </w:rPr>
        <mc:AlternateContent>
          <mc:Choice Requires="wps">
            <w:drawing>
              <wp:anchor distT="45720" distB="45720" distL="114300" distR="114300" simplePos="0" relativeHeight="251653120" behindDoc="0" locked="0" layoutInCell="1" allowOverlap="1" wp14:anchorId="6AC2C7E8" wp14:editId="4CAAEC82">
                <wp:simplePos x="0" y="0"/>
                <wp:positionH relativeFrom="column">
                  <wp:posOffset>4510405</wp:posOffset>
                </wp:positionH>
                <wp:positionV relativeFrom="paragraph">
                  <wp:posOffset>95250</wp:posOffset>
                </wp:positionV>
                <wp:extent cx="1685925" cy="1590675"/>
                <wp:effectExtent l="0" t="0" r="0" b="0"/>
                <wp:wrapSquare wrapText="bothSides"/>
                <wp:docPr id="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590675"/>
                        </a:xfrm>
                        <a:prstGeom prst="rect">
                          <a:avLst/>
                        </a:prstGeom>
                        <a:noFill/>
                        <a:ln w="9525">
                          <a:noFill/>
                          <a:miter lim="800000"/>
                          <a:headEnd/>
                          <a:tailEnd/>
                        </a:ln>
                      </wps:spPr>
                      <wps:txbx>
                        <w:txbxContent>
                          <w:p w14:paraId="70E65FF7" w14:textId="30144BA0" w:rsidR="00636904" w:rsidRDefault="00636904">
                            <w:r>
                              <w:rPr>
                                <w:noProof/>
                                <w:lang w:eastAsia="hr-HR"/>
                              </w:rPr>
                              <w:drawing>
                                <wp:inline distT="0" distB="0" distL="0" distR="0" wp14:anchorId="15A60508" wp14:editId="167579F2">
                                  <wp:extent cx="1638300" cy="1522584"/>
                                  <wp:effectExtent l="0" t="0" r="0" b="1905"/>
                                  <wp:docPr id="3" name="Slika 3" descr="Slikovni rezultat za proračunski korisn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proračunski korisnici"/>
                                          <pic:cNvPicPr>
                                            <a:picLocks noChangeAspect="1" noChangeArrowheads="1"/>
                                          </pic:cNvPicPr>
                                        </pic:nvPicPr>
                                        <pic:blipFill>
                                          <a:blip r:embed="rId10">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41433" cy="152549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C2C7E8" id="_x0000_s1029" type="#_x0000_t202" style="position:absolute;left:0;text-align:left;margin-left:355.15pt;margin-top:7.5pt;width:132.75pt;height:125.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" filled="f" stroked="f">
                <v:textbox>
                  <w:txbxContent>
                    <w:p w14:paraId="70E65FF7" w14:textId="30144BA0" w:rsidR="00636904" w:rsidRDefault="00636904">
                      <w:r>
                        <w:rPr>
                          <w:noProof/>
                          <w:lang w:eastAsia="hr-HR"/>
                        </w:rPr>
                        <w:drawing>
                          <wp:inline distT="0" distB="0" distL="0" distR="0" wp14:anchorId="15A60508" wp14:editId="167579F2">
                            <wp:extent cx="1638300" cy="1522584"/>
                            <wp:effectExtent l="0" t="0" r="0" b="1905"/>
                            <wp:docPr id="3" name="Slika 3" descr="Slikovni rezultat za proračunski korisn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proračunski korisnici"/>
                                    <pic:cNvPicPr>
                                      <a:picLocks noChangeAspect="1" noChangeArrowheads="1"/>
                                    </pic:cNvPicPr>
                                  </pic:nvPicPr>
                                  <pic:blipFill>
                                    <a:blip r:embed="rId10">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41433" cy="1525496"/>
                                    </a:xfrm>
                                    <a:prstGeom prst="rect">
                                      <a:avLst/>
                                    </a:prstGeom>
                                    <a:noFill/>
                                    <a:ln>
                                      <a:noFill/>
                                    </a:ln>
                                  </pic:spPr>
                                </pic:pic>
                              </a:graphicData>
                            </a:graphic>
                          </wp:inline>
                        </w:drawing>
                      </w:r>
                    </w:p>
                  </w:txbxContent>
                </v:textbox>
                <w10:wrap type="square"/>
              </v:shape>
            </w:pict>
          </mc:Fallback>
        </mc:AlternateContent>
      </w:r>
      <w:r w:rsidR="00F44802" w:rsidRPr="00B6007A">
        <w:rPr>
          <w:rFonts w:eastAsia="Times New Roman" w:cstheme="minorHAnsi"/>
          <w:b/>
          <w:color w:val="4472C4" w:themeColor="accent1"/>
          <w:sz w:val="24"/>
          <w:szCs w:val="24"/>
        </w:rPr>
        <w:t>P</w:t>
      </w:r>
      <w:r w:rsidR="00184AF7" w:rsidRPr="00B6007A">
        <w:rPr>
          <w:rFonts w:eastAsia="Times New Roman" w:cstheme="minorHAnsi"/>
          <w:b/>
          <w:color w:val="4472C4" w:themeColor="accent1"/>
          <w:sz w:val="24"/>
          <w:szCs w:val="24"/>
        </w:rPr>
        <w:t>roračunski korisnici:</w:t>
      </w:r>
    </w:p>
    <w:p w14:paraId="1F93C93F" w14:textId="3FF0E79A" w:rsidR="009569B1" w:rsidRPr="00B6007A" w:rsidRDefault="00184AF7" w:rsidP="000A0D69">
      <w:pPr>
        <w:ind w:left="-284"/>
        <w:jc w:val="both"/>
        <w:rPr>
          <w:rFonts w:cstheme="minorHAnsi"/>
        </w:rPr>
      </w:pPr>
      <w:r w:rsidRPr="00B6007A">
        <w:rPr>
          <w:rFonts w:eastAsia="Times New Roman" w:cstheme="minorHAnsi"/>
          <w:sz w:val="24"/>
          <w:szCs w:val="24"/>
        </w:rPr>
        <w:t>Proračunski korisnici su ustanove, tijela javne vlasti kojim</w:t>
      </w:r>
      <w:r w:rsidR="00FF2B6C" w:rsidRPr="00B6007A">
        <w:rPr>
          <w:rFonts w:eastAsia="Times New Roman" w:cstheme="minorHAnsi"/>
          <w:sz w:val="24"/>
          <w:szCs w:val="24"/>
        </w:rPr>
        <w:t xml:space="preserve">a je JLS osnivač ili suosnivač, </w:t>
      </w:r>
      <w:r w:rsidR="000B6FBB" w:rsidRPr="00B6007A">
        <w:rPr>
          <w:rFonts w:eastAsia="Times New Roman" w:cstheme="minorHAnsi"/>
          <w:sz w:val="24"/>
          <w:szCs w:val="24"/>
        </w:rPr>
        <w:t xml:space="preserve">a </w:t>
      </w:r>
      <w:r w:rsidR="00FF2B6C" w:rsidRPr="00B6007A">
        <w:rPr>
          <w:rFonts w:eastAsia="Times New Roman" w:cstheme="minorHAnsi"/>
          <w:sz w:val="24"/>
          <w:szCs w:val="24"/>
        </w:rPr>
        <w:t>čije je f</w:t>
      </w:r>
      <w:r w:rsidRPr="00B6007A">
        <w:rPr>
          <w:rFonts w:eastAsia="Times New Roman" w:cstheme="minorHAnsi"/>
          <w:sz w:val="24"/>
          <w:szCs w:val="24"/>
        </w:rPr>
        <w:t>inanciranje većim dijelom iz proračuna svog osnivača ili suosnivača. Proračunski korisni</w:t>
      </w:r>
      <w:r w:rsidR="001E577E">
        <w:rPr>
          <w:rFonts w:eastAsia="Times New Roman" w:cstheme="minorHAnsi"/>
          <w:sz w:val="24"/>
          <w:szCs w:val="24"/>
        </w:rPr>
        <w:t>k</w:t>
      </w:r>
      <w:r w:rsidRPr="00B6007A">
        <w:rPr>
          <w:rFonts w:eastAsia="Times New Roman" w:cstheme="minorHAnsi"/>
          <w:sz w:val="24"/>
          <w:szCs w:val="24"/>
        </w:rPr>
        <w:t xml:space="preserve"> </w:t>
      </w:r>
      <w:r w:rsidR="009F4689">
        <w:rPr>
          <w:rFonts w:eastAsia="Times New Roman" w:cstheme="minorHAnsi"/>
          <w:sz w:val="24"/>
          <w:szCs w:val="24"/>
        </w:rPr>
        <w:t>Općine Gornja Rijeka je Dječji vrtić Mali medo.</w:t>
      </w:r>
    </w:p>
    <w:p w14:paraId="11A419CA" w14:textId="66013775" w:rsidR="00184AF7" w:rsidRPr="00707EA6" w:rsidRDefault="00184AF7" w:rsidP="00707EA6">
      <w:pPr>
        <w:spacing w:after="0"/>
        <w:ind w:left="-284"/>
        <w:jc w:val="both"/>
        <w:rPr>
          <w:rFonts w:eastAsia="Times New Roman" w:cstheme="minorHAnsi"/>
          <w:sz w:val="24"/>
          <w:szCs w:val="24"/>
        </w:rPr>
      </w:pPr>
      <w:r w:rsidRPr="00B6007A">
        <w:rPr>
          <w:rFonts w:eastAsia="Times New Roman" w:cstheme="minorHAnsi"/>
          <w:b/>
          <w:bCs/>
          <w:color w:val="4472C4" w:themeColor="accent1"/>
          <w:sz w:val="24"/>
          <w:szCs w:val="24"/>
        </w:rPr>
        <w:t>Zakoni i sankcije</w:t>
      </w:r>
      <w:r w:rsidR="00407DE1" w:rsidRPr="00B6007A">
        <w:rPr>
          <w:rFonts w:eastAsia="Times New Roman" w:cstheme="minorHAnsi"/>
          <w:b/>
          <w:bCs/>
          <w:color w:val="4472C4" w:themeColor="accent1"/>
          <w:sz w:val="24"/>
          <w:szCs w:val="24"/>
        </w:rPr>
        <w:t>:</w:t>
      </w:r>
    </w:p>
    <w:p w14:paraId="00A89C69" w14:textId="4D0DAFF1" w:rsidR="00E9495A" w:rsidRPr="00B6007A" w:rsidRDefault="0014546B" w:rsidP="00916DCD">
      <w:pPr>
        <w:spacing w:after="0" w:line="240" w:lineRule="auto"/>
        <w:jc w:val="both"/>
        <w:rPr>
          <w:rFonts w:eastAsia="Times New Roman" w:cstheme="minorHAnsi"/>
          <w:b/>
          <w:bCs/>
          <w:sz w:val="24"/>
          <w:szCs w:val="24"/>
        </w:rPr>
      </w:pPr>
      <w:r w:rsidRPr="00B6007A">
        <w:rPr>
          <w:rFonts w:eastAsia="Times New Roman" w:cstheme="minorHAnsi"/>
          <w:b/>
          <w:bCs/>
          <w:noProof/>
          <w:sz w:val="24"/>
          <w:szCs w:val="24"/>
          <w:lang w:eastAsia="hr-HR"/>
        </w:rPr>
        <mc:AlternateContent>
          <mc:Choice Requires="wps">
            <w:drawing>
              <wp:anchor distT="45720" distB="45720" distL="114300" distR="114300" simplePos="0" relativeHeight="251655168" behindDoc="0" locked="0" layoutInCell="1" allowOverlap="1" wp14:anchorId="385D1814" wp14:editId="0E31D834">
                <wp:simplePos x="0" y="0"/>
                <wp:positionH relativeFrom="column">
                  <wp:posOffset>-499745</wp:posOffset>
                </wp:positionH>
                <wp:positionV relativeFrom="paragraph">
                  <wp:posOffset>175895</wp:posOffset>
                </wp:positionV>
                <wp:extent cx="1571625" cy="1114425"/>
                <wp:effectExtent l="0" t="0" r="0" b="0"/>
                <wp:wrapSquare wrapText="bothSides"/>
                <wp:docPr id="1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114425"/>
                        </a:xfrm>
                        <a:prstGeom prst="rect">
                          <a:avLst/>
                        </a:prstGeom>
                        <a:noFill/>
                        <a:ln w="9525">
                          <a:noFill/>
                          <a:miter lim="800000"/>
                          <a:headEnd/>
                          <a:tailEnd/>
                        </a:ln>
                      </wps:spPr>
                      <wps:txbx>
                        <w:txbxContent>
                          <w:p w14:paraId="7BE85C8C" w14:textId="67719070" w:rsidR="00636904" w:rsidRDefault="00636904" w:rsidP="0014546B">
                            <w:pPr>
                              <w:ind w:left="426" w:right="-377"/>
                            </w:pPr>
                            <w:r>
                              <w:rPr>
                                <w:noProof/>
                                <w:lang w:eastAsia="hr-HR"/>
                              </w:rPr>
                              <w:drawing>
                                <wp:inline distT="0" distB="0" distL="0" distR="0" wp14:anchorId="5E0728B7" wp14:editId="61568369">
                                  <wp:extent cx="1301610" cy="1209675"/>
                                  <wp:effectExtent l="19050" t="19050" r="13335" b="9525"/>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6770" cy="1223764"/>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81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D1814" id="_x0000_s1030" type="#_x0000_t202" style="position:absolute;left:0;text-align:left;margin-left:-39.35pt;margin-top:13.85pt;width:123.75pt;height:87.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" filled="f" stroked="f">
                <v:textbox>
                  <w:txbxContent>
                    <w:p w14:paraId="7BE85C8C" w14:textId="67719070" w:rsidR="00636904" w:rsidRDefault="00636904" w:rsidP="0014546B">
                      <w:pPr>
                        <w:ind w:left="426" w:right="-377"/>
                      </w:pPr>
                      <w:r>
                        <w:rPr>
                          <w:noProof/>
                          <w:lang w:eastAsia="hr-HR"/>
                        </w:rPr>
                        <w:drawing>
                          <wp:inline distT="0" distB="0" distL="0" distR="0" wp14:anchorId="5E0728B7" wp14:editId="61568369">
                            <wp:extent cx="1301610" cy="1209675"/>
                            <wp:effectExtent l="19050" t="19050" r="13335" b="9525"/>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6770" cy="1223764"/>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81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pic:spPr>
                                </pic:pic>
                              </a:graphicData>
                            </a:graphic>
                          </wp:inline>
                        </w:drawing>
                      </w:r>
                    </w:p>
                  </w:txbxContent>
                </v:textbox>
                <w10:wrap type="square"/>
              </v:shape>
            </w:pict>
          </mc:Fallback>
        </mc:AlternateContent>
      </w:r>
    </w:p>
    <w:p w14:paraId="2F0C6A23" w14:textId="6D604F00" w:rsidR="0014546B" w:rsidRPr="00552373" w:rsidRDefault="006E6CFD" w:rsidP="00C72B62">
      <w:pPr>
        <w:spacing w:after="0" w:line="240" w:lineRule="auto"/>
        <w:jc w:val="both"/>
        <w:rPr>
          <w:rFonts w:eastAsia="Times New Roman" w:cstheme="minorHAnsi"/>
          <w:sz w:val="23"/>
          <w:szCs w:val="23"/>
        </w:rPr>
      </w:pPr>
      <w:bookmarkStart w:id="2" w:name="_Hlk64898716"/>
      <w:r w:rsidRPr="00552373">
        <w:rPr>
          <w:rFonts w:eastAsia="Times New Roman" w:cstheme="minorHAnsi"/>
          <w:sz w:val="23"/>
          <w:szCs w:val="23"/>
        </w:rPr>
        <w:t>Sukladno Zakonu o Proračunu (</w:t>
      </w:r>
      <w:r w:rsidR="008A79BB" w:rsidRPr="00552373">
        <w:rPr>
          <w:rFonts w:eastAsia="Times New Roman" w:cstheme="minorHAnsi"/>
          <w:sz w:val="23"/>
          <w:szCs w:val="23"/>
        </w:rPr>
        <w:t>»N</w:t>
      </w:r>
      <w:r w:rsidRPr="00552373">
        <w:rPr>
          <w:rFonts w:eastAsia="Times New Roman" w:cstheme="minorHAnsi"/>
          <w:sz w:val="23"/>
          <w:szCs w:val="23"/>
        </w:rPr>
        <w:t>arodne novine</w:t>
      </w:r>
      <w:r w:rsidR="008A79BB" w:rsidRPr="00552373">
        <w:rPr>
          <w:rFonts w:eastAsia="Times New Roman" w:cstheme="minorHAnsi"/>
          <w:sz w:val="23"/>
          <w:szCs w:val="23"/>
        </w:rPr>
        <w:t xml:space="preserve">«, broj </w:t>
      </w:r>
      <w:r w:rsidR="0093677B" w:rsidRPr="00552373">
        <w:rPr>
          <w:rFonts w:eastAsia="Times New Roman" w:cstheme="minorHAnsi"/>
          <w:sz w:val="23"/>
          <w:szCs w:val="23"/>
        </w:rPr>
        <w:t>144/21</w:t>
      </w:r>
      <w:r w:rsidRPr="00552373">
        <w:rPr>
          <w:rFonts w:eastAsia="Times New Roman" w:cstheme="minorHAnsi"/>
          <w:sz w:val="23"/>
          <w:szCs w:val="23"/>
        </w:rPr>
        <w:t>)</w:t>
      </w:r>
      <w:r w:rsidR="008A79BB" w:rsidRPr="00552373">
        <w:rPr>
          <w:rFonts w:eastAsia="Times New Roman" w:cstheme="minorHAnsi"/>
          <w:sz w:val="23"/>
          <w:szCs w:val="23"/>
        </w:rPr>
        <w:t xml:space="preserve"> </w:t>
      </w:r>
      <w:r w:rsidR="00C72B62" w:rsidRPr="00552373">
        <w:rPr>
          <w:rFonts w:eastAsia="Times New Roman" w:cstheme="minorHAnsi"/>
          <w:sz w:val="23"/>
          <w:szCs w:val="23"/>
        </w:rPr>
        <w:t>Proračun se donosi za jednu fiskalnu (proračunsku) godinu</w:t>
      </w:r>
      <w:r w:rsidR="00730FCA" w:rsidRPr="00552373">
        <w:rPr>
          <w:rFonts w:eastAsia="Times New Roman" w:cstheme="minorHAnsi"/>
          <w:sz w:val="23"/>
          <w:szCs w:val="23"/>
        </w:rPr>
        <w:t xml:space="preserve"> koja se</w:t>
      </w:r>
      <w:r w:rsidR="00C72B62" w:rsidRPr="00552373">
        <w:rPr>
          <w:rFonts w:eastAsia="Times New Roman" w:cstheme="minorHAnsi"/>
          <w:sz w:val="23"/>
          <w:szCs w:val="23"/>
        </w:rPr>
        <w:t xml:space="preserve"> poklapa s kalendarskom i traje od 01. siječnja do 31. prosinca. Jedini ovlašteni predlagatelj Proračuna je </w:t>
      </w:r>
      <w:r w:rsidR="009F4689" w:rsidRPr="00552373">
        <w:rPr>
          <w:rFonts w:eastAsia="Times New Roman" w:cstheme="minorHAnsi"/>
          <w:sz w:val="23"/>
          <w:szCs w:val="23"/>
        </w:rPr>
        <w:t>o</w:t>
      </w:r>
      <w:r w:rsidR="00C72B62" w:rsidRPr="00552373">
        <w:rPr>
          <w:rFonts w:eastAsia="Times New Roman" w:cstheme="minorHAnsi"/>
          <w:sz w:val="23"/>
          <w:szCs w:val="23"/>
        </w:rPr>
        <w:t>pćinski načelnik</w:t>
      </w:r>
      <w:r w:rsidR="00730FCA" w:rsidRPr="00552373">
        <w:rPr>
          <w:rFonts w:eastAsia="Times New Roman" w:cstheme="minorHAnsi"/>
          <w:sz w:val="23"/>
          <w:szCs w:val="23"/>
        </w:rPr>
        <w:t xml:space="preserve"> koji utvrđuje prijedlog proračuna i projekcija te ga podnosi Općinskom vijeću na donošenje do 15</w:t>
      </w:r>
      <w:r w:rsidR="00ED04B6">
        <w:rPr>
          <w:rFonts w:eastAsia="Times New Roman" w:cstheme="minorHAnsi"/>
          <w:sz w:val="23"/>
          <w:szCs w:val="23"/>
        </w:rPr>
        <w:t>.</w:t>
      </w:r>
      <w:r w:rsidR="00730FCA" w:rsidRPr="00552373">
        <w:rPr>
          <w:rFonts w:eastAsia="Times New Roman" w:cstheme="minorHAnsi"/>
          <w:sz w:val="23"/>
          <w:szCs w:val="23"/>
        </w:rPr>
        <w:t xml:space="preserve"> studenoga.</w:t>
      </w:r>
      <w:r w:rsidR="00C72B62" w:rsidRPr="00552373">
        <w:rPr>
          <w:rFonts w:eastAsia="Times New Roman" w:cstheme="minorHAnsi"/>
          <w:sz w:val="23"/>
          <w:szCs w:val="23"/>
        </w:rPr>
        <w:t xml:space="preserve"> </w:t>
      </w:r>
      <w:r w:rsidR="009F4689" w:rsidRPr="00552373">
        <w:rPr>
          <w:rFonts w:eastAsia="Times New Roman" w:cstheme="minorHAnsi"/>
          <w:sz w:val="23"/>
          <w:szCs w:val="23"/>
        </w:rPr>
        <w:t>O</w:t>
      </w:r>
      <w:r w:rsidR="00C72B62" w:rsidRPr="00552373">
        <w:rPr>
          <w:rFonts w:eastAsia="Times New Roman" w:cstheme="minorHAnsi"/>
          <w:sz w:val="23"/>
          <w:szCs w:val="23"/>
        </w:rPr>
        <w:t xml:space="preserve">pćinski </w:t>
      </w:r>
      <w:r w:rsidR="004E1DAC" w:rsidRPr="00552373">
        <w:rPr>
          <w:rFonts w:eastAsia="Times New Roman" w:cstheme="minorHAnsi"/>
          <w:sz w:val="23"/>
          <w:szCs w:val="23"/>
        </w:rPr>
        <w:t>n</w:t>
      </w:r>
      <w:r w:rsidR="00C72B62" w:rsidRPr="00552373">
        <w:rPr>
          <w:rFonts w:eastAsia="Times New Roman" w:cstheme="minorHAnsi"/>
          <w:sz w:val="23"/>
          <w:szCs w:val="23"/>
        </w:rPr>
        <w:t>ačelnik jedinice lokalne samouprave odgovoran je za zakonito</w:t>
      </w:r>
      <w:r w:rsidR="00B950DF" w:rsidRPr="00552373">
        <w:rPr>
          <w:rFonts w:eastAsia="Times New Roman" w:cstheme="minorHAnsi"/>
          <w:sz w:val="23"/>
          <w:szCs w:val="23"/>
        </w:rPr>
        <w:t xml:space="preserve"> i</w:t>
      </w:r>
      <w:r w:rsidR="00C72B62" w:rsidRPr="00552373">
        <w:rPr>
          <w:rFonts w:eastAsia="Times New Roman" w:cstheme="minorHAnsi"/>
          <w:sz w:val="23"/>
          <w:szCs w:val="23"/>
        </w:rPr>
        <w:t xml:space="preserve"> </w:t>
      </w:r>
      <w:r w:rsidR="00B950DF" w:rsidRPr="00552373">
        <w:rPr>
          <w:rFonts w:eastAsia="Times New Roman" w:cstheme="minorHAnsi"/>
          <w:sz w:val="23"/>
          <w:szCs w:val="23"/>
        </w:rPr>
        <w:t xml:space="preserve">pravilno planiranje </w:t>
      </w:r>
      <w:r w:rsidR="00C72B62" w:rsidRPr="00552373">
        <w:rPr>
          <w:rFonts w:eastAsia="Times New Roman" w:cstheme="minorHAnsi"/>
          <w:sz w:val="23"/>
          <w:szCs w:val="23"/>
        </w:rPr>
        <w:t xml:space="preserve">i izvršavanje proračuna, za svrhovito, učinkovito i ekonomično raspolaganje proračunskim sredstvima. Proračun donosi (izglasava) Općinsko vijeće do kraja godine. </w:t>
      </w:r>
    </w:p>
    <w:p w14:paraId="5F7E029E" w14:textId="7F02F20A" w:rsidR="00C72B62" w:rsidRPr="00552373" w:rsidRDefault="00C72B62" w:rsidP="00C72B62">
      <w:pPr>
        <w:spacing w:after="0" w:line="240" w:lineRule="auto"/>
        <w:jc w:val="both"/>
        <w:rPr>
          <w:rFonts w:eastAsia="Times New Roman" w:cstheme="minorHAnsi"/>
          <w:sz w:val="23"/>
          <w:szCs w:val="23"/>
        </w:rPr>
      </w:pPr>
      <w:r w:rsidRPr="00552373">
        <w:rPr>
          <w:rFonts w:eastAsia="Times New Roman" w:cstheme="minorHAnsi"/>
          <w:sz w:val="23"/>
          <w:szCs w:val="23"/>
        </w:rPr>
        <w:t>Ako se ne donese proračun prije početka proračunske godine, privremeno se, a najduže za prva tri mjeseca proračunske godine, na osnovi odluke o privremenom financiranju koja mora biti donesena do 31. prosinca, nastavlja financiranje poslova, funkcija i programa tijela jedinica lokalne i područne samouprave i drugih proračunskih i izvanproračunskih korisnika.</w:t>
      </w:r>
    </w:p>
    <w:p w14:paraId="003755FF" w14:textId="272896AA" w:rsidR="00C72B62" w:rsidRPr="00552373" w:rsidRDefault="00C72B62" w:rsidP="00C72B62">
      <w:pPr>
        <w:spacing w:after="0" w:line="240" w:lineRule="auto"/>
        <w:jc w:val="both"/>
        <w:rPr>
          <w:rFonts w:eastAsia="Times New Roman" w:cstheme="minorHAnsi"/>
          <w:sz w:val="23"/>
          <w:szCs w:val="23"/>
        </w:rPr>
      </w:pPr>
      <w:r w:rsidRPr="00552373">
        <w:rPr>
          <w:rFonts w:eastAsia="Times New Roman" w:cstheme="minorHAnsi"/>
          <w:sz w:val="23"/>
          <w:szCs w:val="23"/>
        </w:rPr>
        <w:t xml:space="preserve">U slučaju kada je raspušteno samo Općinsko vijeće, a </w:t>
      </w:r>
      <w:r w:rsidR="005767DE" w:rsidRPr="00552373">
        <w:rPr>
          <w:rFonts w:eastAsia="Times New Roman" w:cstheme="minorHAnsi"/>
          <w:sz w:val="23"/>
          <w:szCs w:val="23"/>
        </w:rPr>
        <w:t>o</w:t>
      </w:r>
      <w:r w:rsidRPr="00552373">
        <w:rPr>
          <w:rFonts w:eastAsia="Times New Roman" w:cstheme="minorHAnsi"/>
          <w:sz w:val="23"/>
          <w:szCs w:val="23"/>
        </w:rPr>
        <w:t xml:space="preserve">pćinski načelnik nije razriješen, do imenovanja povjerenika Vlade Republike Hrvatske, financiranje se obavlja izvršavanjem redovnih i nužnih rashoda i izdataka temeljem odluke o financiranju nužnih rashoda i izdataka koju donosi </w:t>
      </w:r>
      <w:r w:rsidR="004E1DAC" w:rsidRPr="00552373">
        <w:rPr>
          <w:rFonts w:eastAsia="Times New Roman" w:cstheme="minorHAnsi"/>
          <w:sz w:val="23"/>
          <w:szCs w:val="23"/>
        </w:rPr>
        <w:t>O</w:t>
      </w:r>
      <w:r w:rsidRPr="00552373">
        <w:rPr>
          <w:rFonts w:eastAsia="Times New Roman" w:cstheme="minorHAnsi"/>
          <w:sz w:val="23"/>
          <w:szCs w:val="23"/>
        </w:rPr>
        <w:t>pćinski načelnik.</w:t>
      </w:r>
    </w:p>
    <w:p w14:paraId="1A0C580A" w14:textId="45D5D378" w:rsidR="00B6007A" w:rsidRPr="00552373" w:rsidRDefault="00C72B62" w:rsidP="007602C9">
      <w:pPr>
        <w:spacing w:line="240" w:lineRule="auto"/>
        <w:jc w:val="both"/>
        <w:rPr>
          <w:rFonts w:eastAsia="Times New Roman" w:cstheme="minorHAnsi"/>
          <w:sz w:val="23"/>
          <w:szCs w:val="23"/>
        </w:rPr>
      </w:pPr>
      <w:r w:rsidRPr="00552373">
        <w:rPr>
          <w:rFonts w:eastAsia="Times New Roman" w:cstheme="minorHAnsi"/>
          <w:sz w:val="23"/>
          <w:szCs w:val="23"/>
        </w:rPr>
        <w:t xml:space="preserve">Po imenovanju povjerenika Vlade Republike Hrvatske, </w:t>
      </w:r>
      <w:r w:rsidR="005767DE" w:rsidRPr="00552373">
        <w:rPr>
          <w:rFonts w:eastAsia="Times New Roman" w:cstheme="minorHAnsi"/>
          <w:sz w:val="23"/>
          <w:szCs w:val="23"/>
        </w:rPr>
        <w:t>o</w:t>
      </w:r>
      <w:r w:rsidRPr="00552373">
        <w:rPr>
          <w:rFonts w:eastAsia="Times New Roman" w:cstheme="minorHAnsi"/>
          <w:sz w:val="23"/>
          <w:szCs w:val="23"/>
        </w:rPr>
        <w:t>pćinski načelnik predlaže povjereniku novu odluku o financiranju nužnih rashoda i izdataka u koju su uključeni ostvareni prihodi i primici te izvršeni rashodi i izdaci u vremenu do dolaska povjerenika. Ako se do 31. ožujka ne donese proračun, povjerenik donosi odluku o financiranju nužnih rashoda i izdataka za razdoblje do donošenja proračuna</w:t>
      </w:r>
      <w:r w:rsidR="00B6007A" w:rsidRPr="00552373">
        <w:rPr>
          <w:rFonts w:eastAsia="Times New Roman" w:cstheme="minorHAnsi"/>
          <w:sz w:val="23"/>
          <w:szCs w:val="23"/>
        </w:rPr>
        <w:t>.</w:t>
      </w:r>
    </w:p>
    <w:p w14:paraId="69A2E0CA" w14:textId="2EC6A560" w:rsidR="00B950DF" w:rsidRPr="00552373" w:rsidRDefault="00B950DF" w:rsidP="007602C9">
      <w:pPr>
        <w:spacing w:line="240" w:lineRule="auto"/>
        <w:jc w:val="both"/>
        <w:rPr>
          <w:rFonts w:eastAsia="Times New Roman" w:cstheme="minorHAnsi"/>
          <w:sz w:val="23"/>
          <w:szCs w:val="23"/>
        </w:rPr>
      </w:pPr>
      <w:r w:rsidRPr="00552373">
        <w:rPr>
          <w:rFonts w:eastAsia="Times New Roman" w:cstheme="minorHAnsi"/>
          <w:sz w:val="23"/>
          <w:szCs w:val="23"/>
        </w:rPr>
        <w:t>Ako do isteka roka privremenog financiranja nije donesen proračun u jedinici u kojoj je općinski načelnik koji nema zamjenika onemogućen u obavljanju svoje dužnosti, financiranje se obavlja izvršavanjem redovnih i nužnih rashoda i izdataka temeljem odluke o financiranju nužnih rashoda i izdataka koju donosi predstavničko tijelo na prijedlog privremenog zamjenika općinskog načelnika iz članka 43.a Zakona o lokalnoj i područnoj (regionalnoj) samoupravi (</w:t>
      </w:r>
      <w:r w:rsidR="008A79BB" w:rsidRPr="00552373">
        <w:rPr>
          <w:rFonts w:eastAsia="Times New Roman" w:cstheme="minorHAnsi"/>
          <w:sz w:val="23"/>
          <w:szCs w:val="23"/>
        </w:rPr>
        <w:t>»</w:t>
      </w:r>
      <w:r w:rsidRPr="00552373">
        <w:rPr>
          <w:rFonts w:eastAsia="Times New Roman" w:cstheme="minorHAnsi"/>
          <w:sz w:val="23"/>
          <w:szCs w:val="23"/>
        </w:rPr>
        <w:t>Narodne novine</w:t>
      </w:r>
      <w:r w:rsidR="008A79BB" w:rsidRPr="00552373">
        <w:rPr>
          <w:rFonts w:eastAsia="Times New Roman" w:cstheme="minorHAnsi"/>
          <w:sz w:val="23"/>
          <w:szCs w:val="23"/>
        </w:rPr>
        <w:t>«</w:t>
      </w:r>
      <w:r w:rsidRPr="00552373">
        <w:rPr>
          <w:rFonts w:eastAsia="Times New Roman" w:cstheme="minorHAnsi"/>
          <w:sz w:val="23"/>
          <w:szCs w:val="23"/>
        </w:rPr>
        <w:t>, broj 33/01, 60/01, 129/05, 109/07, 125/08, 36/09, 150/11, 144/12, 19/13, 137/15, 123/17, 98/19, 144/20).</w:t>
      </w:r>
      <w:bookmarkEnd w:id="2"/>
    </w:p>
    <w:p w14:paraId="479A16DF" w14:textId="77777777" w:rsidR="00614B8F" w:rsidRPr="009D792A" w:rsidRDefault="00614B8F" w:rsidP="00614B8F">
      <w:pPr>
        <w:spacing w:after="0" w:line="240" w:lineRule="auto"/>
        <w:jc w:val="both"/>
        <w:rPr>
          <w:rFonts w:eastAsia="Times New Roman" w:cstheme="minorHAnsi"/>
          <w:b/>
          <w:color w:val="323E4F" w:themeColor="text2" w:themeShade="BF"/>
          <w:sz w:val="24"/>
          <w:szCs w:val="24"/>
        </w:rPr>
      </w:pPr>
    </w:p>
    <w:p w14:paraId="386EA446" w14:textId="77777777" w:rsidR="00552373" w:rsidRDefault="00552373" w:rsidP="00614B8F">
      <w:pPr>
        <w:spacing w:after="0" w:line="240" w:lineRule="auto"/>
        <w:jc w:val="both"/>
        <w:rPr>
          <w:rFonts w:eastAsia="Times New Roman" w:cstheme="minorHAnsi"/>
          <w:b/>
          <w:color w:val="2F5496" w:themeColor="accent1" w:themeShade="BF"/>
          <w:sz w:val="24"/>
          <w:szCs w:val="24"/>
        </w:rPr>
      </w:pPr>
    </w:p>
    <w:p w14:paraId="7D6C4FF6" w14:textId="07A0EA13" w:rsidR="00614B8F" w:rsidRDefault="00614B8F" w:rsidP="00614B8F">
      <w:pPr>
        <w:spacing w:after="0" w:line="240" w:lineRule="auto"/>
        <w:jc w:val="both"/>
        <w:rPr>
          <w:rFonts w:eastAsia="Times New Roman" w:cstheme="minorHAnsi"/>
          <w:b/>
          <w:color w:val="2F5496" w:themeColor="accent1" w:themeShade="BF"/>
          <w:sz w:val="24"/>
          <w:szCs w:val="24"/>
        </w:rPr>
      </w:pPr>
      <w:r w:rsidRPr="00552373">
        <w:rPr>
          <w:rFonts w:eastAsia="Times New Roman" w:cstheme="minorHAnsi"/>
          <w:b/>
          <w:color w:val="2F5496" w:themeColor="accent1" w:themeShade="BF"/>
          <w:sz w:val="24"/>
          <w:szCs w:val="24"/>
        </w:rPr>
        <w:lastRenderedPageBreak/>
        <w:t xml:space="preserve">PRIHODI I PRIMICI </w:t>
      </w:r>
    </w:p>
    <w:p w14:paraId="434089CF" w14:textId="77777777" w:rsidR="00552373" w:rsidRPr="00552373" w:rsidRDefault="00552373" w:rsidP="00614B8F">
      <w:pPr>
        <w:spacing w:after="0" w:line="240" w:lineRule="auto"/>
        <w:jc w:val="both"/>
        <w:rPr>
          <w:rFonts w:eastAsia="Times New Roman" w:cstheme="minorHAnsi"/>
          <w:b/>
          <w:color w:val="2F5496" w:themeColor="accent1" w:themeShade="BF"/>
          <w:sz w:val="24"/>
          <w:szCs w:val="24"/>
        </w:rPr>
      </w:pPr>
    </w:p>
    <w:p w14:paraId="769BB802" w14:textId="77777777" w:rsidR="00B21369" w:rsidRPr="00B21369" w:rsidRDefault="00B21369" w:rsidP="00B21369">
      <w:pPr>
        <w:spacing w:after="0" w:line="240" w:lineRule="auto"/>
        <w:jc w:val="both"/>
        <w:rPr>
          <w:rFonts w:ascii="Calibri" w:eastAsia="Times New Roman" w:hAnsi="Calibri" w:cs="Arial"/>
          <w:sz w:val="24"/>
          <w:szCs w:val="24"/>
          <w:lang w:eastAsia="hr-HR"/>
        </w:rPr>
      </w:pPr>
      <w:r w:rsidRPr="00B21369">
        <w:rPr>
          <w:rFonts w:ascii="Calibri" w:eastAsia="Times New Roman" w:hAnsi="Calibri" w:cs="Arial"/>
          <w:sz w:val="24"/>
          <w:szCs w:val="24"/>
          <w:lang w:eastAsia="hr-HR"/>
        </w:rPr>
        <w:t>Općina stječe prihode iz vlastitih izvora, od zajedničkih poreza i od dotacija iz državnog i županijskog proračuna te iz proračuna Europske unije. Vlastiti izvori sredstava općine su prihodi od vlastite imovine, upravne pristojbe, komunalne naknade i doprinosi, naknade za uporabu općinskih površina.</w:t>
      </w:r>
    </w:p>
    <w:p w14:paraId="38C7A8E4" w14:textId="77777777" w:rsidR="00B21369" w:rsidRDefault="00B21369" w:rsidP="00B21369">
      <w:pPr>
        <w:spacing w:after="0" w:line="240" w:lineRule="auto"/>
        <w:jc w:val="both"/>
        <w:rPr>
          <w:rFonts w:eastAsia="Times New Roman" w:cstheme="minorHAnsi"/>
          <w:b/>
          <w:color w:val="323E4F" w:themeColor="text2" w:themeShade="BF"/>
          <w:sz w:val="24"/>
          <w:szCs w:val="24"/>
        </w:rPr>
      </w:pPr>
    </w:p>
    <w:p w14:paraId="26876DAB" w14:textId="40C56A67" w:rsidR="00B21369" w:rsidRPr="00F53E11" w:rsidRDefault="00B21369" w:rsidP="00B21369">
      <w:pPr>
        <w:spacing w:after="0" w:line="240" w:lineRule="auto"/>
        <w:jc w:val="both"/>
        <w:rPr>
          <w:rFonts w:eastAsia="Times New Roman" w:cstheme="minorHAnsi"/>
          <w:b/>
          <w:color w:val="404040" w:themeColor="text1" w:themeTint="BF"/>
          <w:sz w:val="24"/>
          <w:szCs w:val="24"/>
        </w:rPr>
      </w:pPr>
      <w:r w:rsidRPr="00F53E11">
        <w:rPr>
          <w:rFonts w:eastAsia="Times New Roman" w:cstheme="minorHAnsi"/>
          <w:b/>
          <w:color w:val="404040" w:themeColor="text1" w:themeTint="BF"/>
          <w:sz w:val="24"/>
          <w:szCs w:val="24"/>
        </w:rPr>
        <w:t>Ukupni prihodi Proračuna Općine Gornja Rijeka za 202</w:t>
      </w:r>
      <w:r w:rsidR="003274B7">
        <w:rPr>
          <w:rFonts w:eastAsia="Times New Roman" w:cstheme="minorHAnsi"/>
          <w:b/>
          <w:color w:val="404040" w:themeColor="text1" w:themeTint="BF"/>
          <w:sz w:val="24"/>
          <w:szCs w:val="24"/>
        </w:rPr>
        <w:t>5</w:t>
      </w:r>
      <w:r w:rsidRPr="00F53E11">
        <w:rPr>
          <w:rFonts w:eastAsia="Times New Roman" w:cstheme="minorHAnsi"/>
          <w:b/>
          <w:color w:val="404040" w:themeColor="text1" w:themeTint="BF"/>
          <w:sz w:val="24"/>
          <w:szCs w:val="24"/>
        </w:rPr>
        <w:t xml:space="preserve">. godinu planirani su u iznosu od </w:t>
      </w:r>
      <w:r w:rsidR="00863AC0">
        <w:rPr>
          <w:rFonts w:eastAsia="Times New Roman" w:cstheme="minorHAnsi"/>
          <w:b/>
          <w:color w:val="404040" w:themeColor="text1" w:themeTint="BF"/>
          <w:sz w:val="24"/>
          <w:szCs w:val="24"/>
        </w:rPr>
        <w:t>2.080.000,00</w:t>
      </w:r>
      <w:r w:rsidR="00A57A49">
        <w:rPr>
          <w:rFonts w:eastAsia="Times New Roman" w:cstheme="minorHAnsi"/>
          <w:b/>
          <w:color w:val="404040" w:themeColor="text1" w:themeTint="BF"/>
          <w:sz w:val="24"/>
          <w:szCs w:val="24"/>
        </w:rPr>
        <w:t xml:space="preserve"> eura</w:t>
      </w:r>
      <w:r w:rsidRPr="00F53E11">
        <w:rPr>
          <w:rFonts w:eastAsia="Times New Roman" w:cstheme="minorHAnsi"/>
          <w:b/>
          <w:color w:val="404040" w:themeColor="text1" w:themeTint="BF"/>
          <w:sz w:val="24"/>
          <w:szCs w:val="24"/>
        </w:rPr>
        <w:t>, a odnose se na prihode poslovanja</w:t>
      </w:r>
      <w:r w:rsidR="00A57A49">
        <w:rPr>
          <w:rFonts w:eastAsia="Times New Roman" w:cstheme="minorHAnsi"/>
          <w:b/>
          <w:color w:val="404040" w:themeColor="text1" w:themeTint="BF"/>
          <w:sz w:val="24"/>
          <w:szCs w:val="24"/>
        </w:rPr>
        <w:t xml:space="preserve"> u iznosu </w:t>
      </w:r>
      <w:r w:rsidR="00A57A49" w:rsidRPr="00A57A49">
        <w:rPr>
          <w:rFonts w:eastAsia="Times New Roman" w:cstheme="minorHAnsi"/>
          <w:b/>
          <w:color w:val="404040" w:themeColor="text1" w:themeTint="BF"/>
          <w:sz w:val="24"/>
          <w:szCs w:val="24"/>
        </w:rPr>
        <w:t>1.</w:t>
      </w:r>
      <w:r w:rsidR="00863AC0">
        <w:rPr>
          <w:rFonts w:eastAsia="Times New Roman" w:cstheme="minorHAnsi"/>
          <w:b/>
          <w:color w:val="404040" w:themeColor="text1" w:themeTint="BF"/>
          <w:sz w:val="24"/>
          <w:szCs w:val="24"/>
        </w:rPr>
        <w:t>869.100</w:t>
      </w:r>
      <w:r w:rsidR="00A57A49" w:rsidRPr="00A57A49">
        <w:rPr>
          <w:rFonts w:eastAsia="Times New Roman" w:cstheme="minorHAnsi"/>
          <w:b/>
          <w:color w:val="404040" w:themeColor="text1" w:themeTint="BF"/>
          <w:sz w:val="24"/>
          <w:szCs w:val="24"/>
        </w:rPr>
        <w:t>,00 eura</w:t>
      </w:r>
      <w:r w:rsidR="00863AC0">
        <w:rPr>
          <w:rFonts w:eastAsia="Times New Roman" w:cstheme="minorHAnsi"/>
          <w:b/>
          <w:color w:val="404040" w:themeColor="text1" w:themeTint="BF"/>
          <w:sz w:val="24"/>
          <w:szCs w:val="24"/>
        </w:rPr>
        <w:t xml:space="preserve">, prihoda od prodaje </w:t>
      </w:r>
      <w:r w:rsidR="00BC1C23">
        <w:rPr>
          <w:rFonts w:eastAsia="Times New Roman" w:cstheme="minorHAnsi"/>
          <w:b/>
          <w:color w:val="404040" w:themeColor="text1" w:themeTint="BF"/>
          <w:sz w:val="24"/>
          <w:szCs w:val="24"/>
        </w:rPr>
        <w:t>nefinancijske imovine u iznosu 60.9000,00 eura</w:t>
      </w:r>
      <w:r w:rsidRPr="00F53E11">
        <w:rPr>
          <w:rFonts w:eastAsia="Times New Roman" w:cstheme="minorHAnsi"/>
          <w:b/>
          <w:color w:val="404040" w:themeColor="text1" w:themeTint="BF"/>
          <w:sz w:val="24"/>
          <w:szCs w:val="24"/>
        </w:rPr>
        <w:t xml:space="preserve"> te planiranog viška </w:t>
      </w:r>
      <w:r w:rsidR="00A57A49">
        <w:rPr>
          <w:rFonts w:eastAsia="Times New Roman" w:cstheme="minorHAnsi"/>
          <w:b/>
          <w:color w:val="404040" w:themeColor="text1" w:themeTint="BF"/>
          <w:sz w:val="24"/>
          <w:szCs w:val="24"/>
        </w:rPr>
        <w:t>prenesenog iz prethodn</w:t>
      </w:r>
      <w:r w:rsidR="00863AC0">
        <w:rPr>
          <w:rFonts w:eastAsia="Times New Roman" w:cstheme="minorHAnsi"/>
          <w:b/>
          <w:color w:val="404040" w:themeColor="text1" w:themeTint="BF"/>
          <w:sz w:val="24"/>
          <w:szCs w:val="24"/>
        </w:rPr>
        <w:t>e</w:t>
      </w:r>
      <w:r w:rsidR="00A57A49">
        <w:rPr>
          <w:rFonts w:eastAsia="Times New Roman" w:cstheme="minorHAnsi"/>
          <w:b/>
          <w:color w:val="404040" w:themeColor="text1" w:themeTint="BF"/>
          <w:sz w:val="24"/>
          <w:szCs w:val="24"/>
        </w:rPr>
        <w:t xml:space="preserve"> godin</w:t>
      </w:r>
      <w:r w:rsidR="00863AC0">
        <w:rPr>
          <w:rFonts w:eastAsia="Times New Roman" w:cstheme="minorHAnsi"/>
          <w:b/>
          <w:color w:val="404040" w:themeColor="text1" w:themeTint="BF"/>
          <w:sz w:val="24"/>
          <w:szCs w:val="24"/>
        </w:rPr>
        <w:t>e</w:t>
      </w:r>
      <w:r w:rsidR="00A57A49">
        <w:rPr>
          <w:rFonts w:eastAsia="Times New Roman" w:cstheme="minorHAnsi"/>
          <w:b/>
          <w:color w:val="404040" w:themeColor="text1" w:themeTint="BF"/>
          <w:sz w:val="24"/>
          <w:szCs w:val="24"/>
        </w:rPr>
        <w:t xml:space="preserve"> u iznosu o</w:t>
      </w:r>
      <w:r w:rsidRPr="00F53E11">
        <w:rPr>
          <w:rFonts w:eastAsia="Times New Roman" w:cstheme="minorHAnsi"/>
          <w:b/>
          <w:color w:val="404040" w:themeColor="text1" w:themeTint="BF"/>
          <w:sz w:val="24"/>
          <w:szCs w:val="24"/>
        </w:rPr>
        <w:t xml:space="preserve">d </w:t>
      </w:r>
      <w:r w:rsidR="00863AC0">
        <w:rPr>
          <w:rFonts w:eastAsia="Times New Roman" w:cstheme="minorHAnsi"/>
          <w:b/>
          <w:color w:val="404040" w:themeColor="text1" w:themeTint="BF"/>
          <w:sz w:val="24"/>
          <w:szCs w:val="24"/>
        </w:rPr>
        <w:t>150.000</w:t>
      </w:r>
      <w:r w:rsidRPr="00F53E11">
        <w:rPr>
          <w:rFonts w:eastAsia="Times New Roman" w:cstheme="minorHAnsi"/>
          <w:b/>
          <w:color w:val="404040" w:themeColor="text1" w:themeTint="BF"/>
          <w:sz w:val="24"/>
          <w:szCs w:val="24"/>
        </w:rPr>
        <w:t>,00 eura.</w:t>
      </w:r>
      <w:r w:rsidR="00A57A49">
        <w:rPr>
          <w:rFonts w:eastAsia="Times New Roman" w:cstheme="minorHAnsi"/>
          <w:b/>
          <w:color w:val="404040" w:themeColor="text1" w:themeTint="BF"/>
          <w:sz w:val="24"/>
          <w:szCs w:val="24"/>
        </w:rPr>
        <w:t xml:space="preserve"> </w:t>
      </w:r>
    </w:p>
    <w:p w14:paraId="3F44803C" w14:textId="77777777" w:rsidR="00614B8F" w:rsidRPr="009D792A" w:rsidRDefault="00614B8F" w:rsidP="00614B8F">
      <w:pPr>
        <w:spacing w:after="0" w:line="240" w:lineRule="auto"/>
        <w:jc w:val="both"/>
        <w:rPr>
          <w:rFonts w:eastAsia="Times New Roman" w:cstheme="minorHAnsi"/>
          <w:b/>
          <w:color w:val="323E4F" w:themeColor="text2" w:themeShade="BF"/>
          <w:sz w:val="24"/>
          <w:szCs w:val="24"/>
        </w:rPr>
      </w:pPr>
    </w:p>
    <w:p w14:paraId="41F85EFB" w14:textId="28F49DC3" w:rsidR="00614B8F" w:rsidRDefault="00614B8F" w:rsidP="00614B8F">
      <w:pPr>
        <w:spacing w:after="0" w:line="240" w:lineRule="auto"/>
        <w:jc w:val="both"/>
        <w:rPr>
          <w:rFonts w:eastAsia="Times New Roman" w:cstheme="minorHAnsi"/>
          <w:bCs/>
          <w:color w:val="323E4F" w:themeColor="text2" w:themeShade="BF"/>
          <w:sz w:val="24"/>
          <w:szCs w:val="24"/>
        </w:rPr>
      </w:pPr>
      <w:r w:rsidRPr="00964CF5">
        <w:rPr>
          <w:rFonts w:eastAsia="Times New Roman" w:cstheme="minorHAnsi"/>
          <w:b/>
          <w:color w:val="323E4F" w:themeColor="text2" w:themeShade="BF"/>
          <w:sz w:val="24"/>
          <w:szCs w:val="24"/>
        </w:rPr>
        <w:t>Prihod</w:t>
      </w:r>
      <w:r w:rsidR="00E71477">
        <w:rPr>
          <w:rFonts w:eastAsia="Times New Roman" w:cstheme="minorHAnsi"/>
          <w:b/>
          <w:color w:val="323E4F" w:themeColor="text2" w:themeShade="BF"/>
          <w:sz w:val="24"/>
          <w:szCs w:val="24"/>
        </w:rPr>
        <w:t>e</w:t>
      </w:r>
      <w:r w:rsidRPr="00964CF5">
        <w:rPr>
          <w:rFonts w:eastAsia="Times New Roman" w:cstheme="minorHAnsi"/>
          <w:b/>
          <w:color w:val="323E4F" w:themeColor="text2" w:themeShade="BF"/>
          <w:sz w:val="24"/>
          <w:szCs w:val="24"/>
        </w:rPr>
        <w:t xml:space="preserve"> poslovanja</w:t>
      </w:r>
      <w:r w:rsidRPr="009D792A">
        <w:rPr>
          <w:rFonts w:eastAsia="Times New Roman" w:cstheme="minorHAnsi"/>
          <w:bCs/>
          <w:color w:val="323E4F" w:themeColor="text2" w:themeShade="BF"/>
          <w:sz w:val="24"/>
          <w:szCs w:val="24"/>
        </w:rPr>
        <w:t xml:space="preserve">  čine </w:t>
      </w:r>
      <w:r w:rsidRPr="00621E4C">
        <w:rPr>
          <w:rFonts w:eastAsia="Times New Roman" w:cstheme="minorHAnsi"/>
          <w:b/>
          <w:color w:val="323E4F" w:themeColor="text2" w:themeShade="BF"/>
          <w:sz w:val="24"/>
          <w:szCs w:val="24"/>
        </w:rPr>
        <w:t>prihodi od poreza</w:t>
      </w:r>
      <w:r w:rsidR="009E69E8">
        <w:rPr>
          <w:rFonts w:eastAsia="Times New Roman" w:cstheme="minorHAnsi"/>
          <w:b/>
          <w:color w:val="323E4F" w:themeColor="text2" w:themeShade="BF"/>
          <w:sz w:val="24"/>
          <w:szCs w:val="24"/>
        </w:rPr>
        <w:t xml:space="preserve"> </w:t>
      </w:r>
      <w:r w:rsidR="009E69E8" w:rsidRPr="00D347DE">
        <w:rPr>
          <w:rFonts w:eastAsia="Times New Roman" w:cstheme="minorHAnsi"/>
          <w:bCs/>
          <w:color w:val="323E4F" w:themeColor="text2" w:themeShade="BF"/>
          <w:sz w:val="24"/>
          <w:szCs w:val="24"/>
        </w:rPr>
        <w:t>(</w:t>
      </w:r>
      <w:r w:rsidR="00C65908">
        <w:rPr>
          <w:rFonts w:eastAsia="Times New Roman" w:cstheme="minorHAnsi"/>
          <w:bCs/>
          <w:color w:val="323E4F" w:themeColor="text2" w:themeShade="BF"/>
          <w:sz w:val="24"/>
          <w:szCs w:val="24"/>
        </w:rPr>
        <w:t>financirano iz općih prihoda i primitaka)</w:t>
      </w:r>
      <w:r w:rsidRPr="009D792A">
        <w:rPr>
          <w:rFonts w:eastAsia="Times New Roman" w:cstheme="minorHAnsi"/>
          <w:bCs/>
          <w:color w:val="323E4F" w:themeColor="text2" w:themeShade="BF"/>
          <w:sz w:val="24"/>
          <w:szCs w:val="24"/>
        </w:rPr>
        <w:t xml:space="preserve"> planirani u iznosu od </w:t>
      </w:r>
      <w:r w:rsidR="006A1E1D">
        <w:rPr>
          <w:rFonts w:eastAsia="Times New Roman" w:cstheme="minorHAnsi"/>
          <w:b/>
          <w:color w:val="323E4F" w:themeColor="text2" w:themeShade="BF"/>
          <w:sz w:val="24"/>
          <w:szCs w:val="24"/>
        </w:rPr>
        <w:t>380</w:t>
      </w:r>
      <w:r w:rsidR="00E71477">
        <w:rPr>
          <w:rFonts w:eastAsia="Times New Roman" w:cstheme="minorHAnsi"/>
          <w:b/>
          <w:color w:val="323E4F" w:themeColor="text2" w:themeShade="BF"/>
          <w:sz w:val="24"/>
          <w:szCs w:val="24"/>
        </w:rPr>
        <w:t>.000</w:t>
      </w:r>
      <w:r w:rsidR="00C835DA">
        <w:rPr>
          <w:rFonts w:eastAsia="Times New Roman" w:cstheme="minorHAnsi"/>
          <w:b/>
          <w:color w:val="323E4F" w:themeColor="text2" w:themeShade="BF"/>
          <w:sz w:val="24"/>
          <w:szCs w:val="24"/>
        </w:rPr>
        <w:t>,00</w:t>
      </w:r>
      <w:r w:rsidRPr="009D792A">
        <w:rPr>
          <w:rFonts w:eastAsia="Times New Roman" w:cstheme="minorHAnsi"/>
          <w:bCs/>
          <w:color w:val="323E4F" w:themeColor="text2" w:themeShade="BF"/>
          <w:sz w:val="24"/>
          <w:szCs w:val="24"/>
        </w:rPr>
        <w:t xml:space="preserve"> </w:t>
      </w:r>
      <w:r w:rsidRPr="00621E4C">
        <w:rPr>
          <w:rFonts w:eastAsia="Times New Roman" w:cstheme="minorHAnsi"/>
          <w:b/>
          <w:color w:val="323E4F" w:themeColor="text2" w:themeShade="BF"/>
          <w:sz w:val="24"/>
          <w:szCs w:val="24"/>
        </w:rPr>
        <w:t>eura</w:t>
      </w:r>
      <w:r w:rsidRPr="009D792A">
        <w:rPr>
          <w:rFonts w:eastAsia="Times New Roman" w:cstheme="minorHAnsi"/>
          <w:bCs/>
          <w:color w:val="323E4F" w:themeColor="text2" w:themeShade="BF"/>
          <w:sz w:val="24"/>
          <w:szCs w:val="24"/>
        </w:rPr>
        <w:t xml:space="preserve">, </w:t>
      </w:r>
      <w:r w:rsidRPr="00621E4C">
        <w:rPr>
          <w:rFonts w:eastAsia="Times New Roman" w:cstheme="minorHAnsi"/>
          <w:b/>
          <w:color w:val="323E4F" w:themeColor="text2" w:themeShade="BF"/>
          <w:sz w:val="24"/>
          <w:szCs w:val="24"/>
        </w:rPr>
        <w:t>pomoći</w:t>
      </w:r>
      <w:r w:rsidR="00C835DA">
        <w:rPr>
          <w:rFonts w:eastAsia="Times New Roman" w:cstheme="minorHAnsi"/>
          <w:b/>
          <w:color w:val="323E4F" w:themeColor="text2" w:themeShade="BF"/>
          <w:sz w:val="24"/>
          <w:szCs w:val="24"/>
        </w:rPr>
        <w:t xml:space="preserve"> iz inozemstva i od subjekata unutar općeg proračuna</w:t>
      </w:r>
      <w:r w:rsidR="00D347DE">
        <w:rPr>
          <w:rFonts w:eastAsia="Times New Roman" w:cstheme="minorHAnsi"/>
          <w:b/>
          <w:color w:val="323E4F" w:themeColor="text2" w:themeShade="BF"/>
          <w:sz w:val="24"/>
          <w:szCs w:val="24"/>
        </w:rPr>
        <w:t xml:space="preserve"> </w:t>
      </w:r>
      <w:r w:rsidR="00D347DE" w:rsidRPr="00D347DE">
        <w:rPr>
          <w:rFonts w:eastAsia="Times New Roman" w:cstheme="minorHAnsi"/>
          <w:bCs/>
          <w:color w:val="323E4F" w:themeColor="text2" w:themeShade="BF"/>
          <w:sz w:val="24"/>
          <w:szCs w:val="24"/>
        </w:rPr>
        <w:t>(</w:t>
      </w:r>
      <w:r w:rsidR="00D347DE">
        <w:rPr>
          <w:rFonts w:eastAsia="Times New Roman" w:cstheme="minorHAnsi"/>
          <w:bCs/>
          <w:color w:val="323E4F" w:themeColor="text2" w:themeShade="BF"/>
          <w:sz w:val="24"/>
          <w:szCs w:val="24"/>
        </w:rPr>
        <w:t>financirano iz pomoći proračunu iz drugih proračuna i pomoći od međunarodnih organizacije i tijela EU</w:t>
      </w:r>
      <w:r w:rsidR="00EC5278">
        <w:rPr>
          <w:rFonts w:eastAsia="Times New Roman" w:cstheme="minorHAnsi"/>
          <w:bCs/>
          <w:color w:val="323E4F" w:themeColor="text2" w:themeShade="BF"/>
          <w:sz w:val="24"/>
          <w:szCs w:val="24"/>
        </w:rPr>
        <w:t xml:space="preserve"> te iz općih prihoda i primitaka kroz fiskalno izravnanje</w:t>
      </w:r>
      <w:r w:rsidR="00D347DE">
        <w:rPr>
          <w:rFonts w:eastAsia="Times New Roman" w:cstheme="minorHAnsi"/>
          <w:bCs/>
          <w:color w:val="323E4F" w:themeColor="text2" w:themeShade="BF"/>
          <w:sz w:val="24"/>
          <w:szCs w:val="24"/>
        </w:rPr>
        <w:t>)</w:t>
      </w:r>
      <w:r w:rsidRPr="009D792A">
        <w:rPr>
          <w:rFonts w:eastAsia="Times New Roman" w:cstheme="minorHAnsi"/>
          <w:bCs/>
          <w:color w:val="323E4F" w:themeColor="text2" w:themeShade="BF"/>
          <w:sz w:val="24"/>
          <w:szCs w:val="24"/>
        </w:rPr>
        <w:t xml:space="preserve"> planirane u iznosu od </w:t>
      </w:r>
      <w:r w:rsidR="006A1E1D">
        <w:rPr>
          <w:rFonts w:eastAsia="Times New Roman" w:cstheme="minorHAnsi"/>
          <w:b/>
          <w:color w:val="323E4F" w:themeColor="text2" w:themeShade="BF"/>
          <w:sz w:val="24"/>
          <w:szCs w:val="24"/>
        </w:rPr>
        <w:t>1.325.714,00</w:t>
      </w:r>
      <w:r w:rsidRPr="00621E4C">
        <w:rPr>
          <w:rFonts w:eastAsia="Times New Roman" w:cstheme="minorHAnsi"/>
          <w:b/>
          <w:color w:val="323E4F" w:themeColor="text2" w:themeShade="BF"/>
          <w:sz w:val="24"/>
          <w:szCs w:val="24"/>
        </w:rPr>
        <w:t xml:space="preserve"> eura</w:t>
      </w:r>
      <w:r w:rsidRPr="009D792A">
        <w:rPr>
          <w:rFonts w:eastAsia="Times New Roman" w:cstheme="minorHAnsi"/>
          <w:bCs/>
          <w:color w:val="323E4F" w:themeColor="text2" w:themeShade="BF"/>
          <w:sz w:val="24"/>
          <w:szCs w:val="24"/>
        </w:rPr>
        <w:t xml:space="preserve">, </w:t>
      </w:r>
      <w:r w:rsidR="00092B3B" w:rsidRPr="00092B3B">
        <w:rPr>
          <w:rFonts w:eastAsia="Times New Roman" w:cstheme="minorHAnsi"/>
          <w:b/>
          <w:color w:val="323E4F" w:themeColor="text2" w:themeShade="BF"/>
          <w:sz w:val="24"/>
          <w:szCs w:val="24"/>
        </w:rPr>
        <w:t>prihoda od imovine</w:t>
      </w:r>
      <w:r w:rsidR="00092B3B">
        <w:rPr>
          <w:rFonts w:eastAsia="Times New Roman" w:cstheme="minorHAnsi"/>
          <w:b/>
          <w:color w:val="323E4F" w:themeColor="text2" w:themeShade="BF"/>
          <w:sz w:val="24"/>
          <w:szCs w:val="24"/>
        </w:rPr>
        <w:t xml:space="preserve"> </w:t>
      </w:r>
      <w:r w:rsidR="00092B3B">
        <w:rPr>
          <w:rFonts w:eastAsia="Times New Roman" w:cstheme="minorHAnsi"/>
          <w:bCs/>
          <w:color w:val="323E4F" w:themeColor="text2" w:themeShade="BF"/>
          <w:sz w:val="24"/>
          <w:szCs w:val="24"/>
        </w:rPr>
        <w:t>(financirano iz općih prihoda i primitaka te iz prihoda za posebne namjene)</w:t>
      </w:r>
      <w:r w:rsidR="00B05FDA">
        <w:rPr>
          <w:rFonts w:eastAsia="Times New Roman" w:cstheme="minorHAnsi"/>
          <w:bCs/>
          <w:color w:val="323E4F" w:themeColor="text2" w:themeShade="BF"/>
          <w:sz w:val="24"/>
          <w:szCs w:val="24"/>
        </w:rPr>
        <w:t xml:space="preserve"> planiranih u iznosu od </w:t>
      </w:r>
      <w:r w:rsidR="006A1E1D">
        <w:rPr>
          <w:rFonts w:eastAsia="Times New Roman" w:cstheme="minorHAnsi"/>
          <w:b/>
          <w:color w:val="323E4F" w:themeColor="text2" w:themeShade="BF"/>
          <w:sz w:val="24"/>
          <w:szCs w:val="24"/>
        </w:rPr>
        <w:t>35.5</w:t>
      </w:r>
      <w:r w:rsidR="00B05FDA" w:rsidRPr="00AD7F68">
        <w:rPr>
          <w:rFonts w:eastAsia="Times New Roman" w:cstheme="minorHAnsi"/>
          <w:b/>
          <w:color w:val="323E4F" w:themeColor="text2" w:themeShade="BF"/>
          <w:sz w:val="24"/>
          <w:szCs w:val="24"/>
        </w:rPr>
        <w:t>01,00 eura</w:t>
      </w:r>
      <w:r w:rsidR="00092B3B">
        <w:rPr>
          <w:rFonts w:eastAsia="Times New Roman" w:cstheme="minorHAnsi"/>
          <w:bCs/>
          <w:color w:val="323E4F" w:themeColor="text2" w:themeShade="BF"/>
          <w:sz w:val="24"/>
          <w:szCs w:val="24"/>
        </w:rPr>
        <w:t>,</w:t>
      </w:r>
      <w:r w:rsidR="00092B3B">
        <w:rPr>
          <w:rFonts w:eastAsia="Times New Roman" w:cstheme="minorHAnsi"/>
          <w:b/>
          <w:color w:val="323E4F" w:themeColor="text2" w:themeShade="BF"/>
          <w:sz w:val="24"/>
          <w:szCs w:val="24"/>
        </w:rPr>
        <w:t xml:space="preserve"> </w:t>
      </w:r>
      <w:r w:rsidR="00092B3B" w:rsidRPr="00092B3B">
        <w:rPr>
          <w:rFonts w:eastAsia="Times New Roman" w:cstheme="minorHAnsi"/>
          <w:b/>
          <w:color w:val="323E4F" w:themeColor="text2" w:themeShade="BF"/>
          <w:sz w:val="24"/>
          <w:szCs w:val="24"/>
        </w:rPr>
        <w:t xml:space="preserve"> </w:t>
      </w:r>
      <w:r w:rsidRPr="002A31FD">
        <w:rPr>
          <w:rFonts w:eastAsia="Times New Roman" w:cstheme="minorHAnsi"/>
          <w:b/>
          <w:color w:val="323E4F" w:themeColor="text2" w:themeShade="BF"/>
          <w:sz w:val="24"/>
          <w:szCs w:val="24"/>
        </w:rPr>
        <w:t xml:space="preserve">prihodi od </w:t>
      </w:r>
      <w:r w:rsidR="00C835DA">
        <w:rPr>
          <w:rFonts w:eastAsia="Times New Roman" w:cstheme="minorHAnsi"/>
          <w:b/>
          <w:color w:val="323E4F" w:themeColor="text2" w:themeShade="BF"/>
          <w:sz w:val="24"/>
          <w:szCs w:val="24"/>
        </w:rPr>
        <w:t xml:space="preserve">upravnih i </w:t>
      </w:r>
      <w:r w:rsidRPr="002A31FD">
        <w:rPr>
          <w:rFonts w:eastAsia="Times New Roman" w:cstheme="minorHAnsi"/>
          <w:b/>
          <w:color w:val="323E4F" w:themeColor="text2" w:themeShade="BF"/>
          <w:sz w:val="24"/>
          <w:szCs w:val="24"/>
        </w:rPr>
        <w:t>administrativnih pristojbi</w:t>
      </w:r>
      <w:r w:rsidR="000C300C">
        <w:rPr>
          <w:rFonts w:eastAsia="Times New Roman" w:cstheme="minorHAnsi"/>
          <w:b/>
          <w:color w:val="323E4F" w:themeColor="text2" w:themeShade="BF"/>
          <w:sz w:val="24"/>
          <w:szCs w:val="24"/>
        </w:rPr>
        <w:t xml:space="preserve"> i </w:t>
      </w:r>
      <w:r w:rsidRPr="002A31FD">
        <w:rPr>
          <w:rFonts w:eastAsia="Times New Roman" w:cstheme="minorHAnsi"/>
          <w:b/>
          <w:color w:val="323E4F" w:themeColor="text2" w:themeShade="BF"/>
          <w:sz w:val="24"/>
          <w:szCs w:val="24"/>
        </w:rPr>
        <w:t>pristojbi po posebnim propisima</w:t>
      </w:r>
      <w:r w:rsidR="00947E15">
        <w:rPr>
          <w:rFonts w:eastAsia="Times New Roman" w:cstheme="minorHAnsi"/>
          <w:b/>
          <w:color w:val="323E4F" w:themeColor="text2" w:themeShade="BF"/>
          <w:sz w:val="24"/>
          <w:szCs w:val="24"/>
        </w:rPr>
        <w:t xml:space="preserve"> </w:t>
      </w:r>
      <w:r w:rsidR="00947E15">
        <w:rPr>
          <w:rFonts w:eastAsia="Times New Roman" w:cstheme="minorHAnsi"/>
          <w:bCs/>
          <w:color w:val="323E4F" w:themeColor="text2" w:themeShade="BF"/>
          <w:sz w:val="24"/>
          <w:szCs w:val="24"/>
        </w:rPr>
        <w:t xml:space="preserve">(financirano iz </w:t>
      </w:r>
      <w:r w:rsidR="00092B3B">
        <w:rPr>
          <w:rFonts w:eastAsia="Times New Roman" w:cstheme="minorHAnsi"/>
          <w:bCs/>
          <w:color w:val="323E4F" w:themeColor="text2" w:themeShade="BF"/>
          <w:sz w:val="24"/>
          <w:szCs w:val="24"/>
        </w:rPr>
        <w:t xml:space="preserve">općih prihoda i primitaka, </w:t>
      </w:r>
      <w:r w:rsidR="00947E15">
        <w:rPr>
          <w:rFonts w:eastAsia="Times New Roman" w:cstheme="minorHAnsi"/>
          <w:bCs/>
          <w:color w:val="323E4F" w:themeColor="text2" w:themeShade="BF"/>
          <w:sz w:val="24"/>
          <w:szCs w:val="24"/>
        </w:rPr>
        <w:t>ostalih prihoda za posebne namjene</w:t>
      </w:r>
      <w:r w:rsidR="00092B3B">
        <w:rPr>
          <w:rFonts w:eastAsia="Times New Roman" w:cstheme="minorHAnsi"/>
          <w:bCs/>
          <w:color w:val="323E4F" w:themeColor="text2" w:themeShade="BF"/>
          <w:sz w:val="24"/>
          <w:szCs w:val="24"/>
        </w:rPr>
        <w:t xml:space="preserve"> i vlastitih prihoda proračunskog korisnika Dječjeg vrtića Mali medo</w:t>
      </w:r>
      <w:r w:rsidR="00947E15">
        <w:rPr>
          <w:rFonts w:eastAsia="Times New Roman" w:cstheme="minorHAnsi"/>
          <w:bCs/>
          <w:color w:val="323E4F" w:themeColor="text2" w:themeShade="BF"/>
          <w:sz w:val="24"/>
          <w:szCs w:val="24"/>
        </w:rPr>
        <w:t>)</w:t>
      </w:r>
      <w:r w:rsidRPr="002A31FD">
        <w:rPr>
          <w:rFonts w:eastAsia="Times New Roman" w:cstheme="minorHAnsi"/>
          <w:b/>
          <w:color w:val="323E4F" w:themeColor="text2" w:themeShade="BF"/>
          <w:sz w:val="24"/>
          <w:szCs w:val="24"/>
        </w:rPr>
        <w:t xml:space="preserve"> </w:t>
      </w:r>
      <w:r w:rsidRPr="009D792A">
        <w:rPr>
          <w:rFonts w:eastAsia="Times New Roman" w:cstheme="minorHAnsi"/>
          <w:bCs/>
          <w:color w:val="323E4F" w:themeColor="text2" w:themeShade="BF"/>
          <w:sz w:val="24"/>
          <w:szCs w:val="24"/>
        </w:rPr>
        <w:t xml:space="preserve">planirani u iznosu od </w:t>
      </w:r>
      <w:r w:rsidR="00092B3B">
        <w:rPr>
          <w:rFonts w:eastAsia="Times New Roman" w:cstheme="minorHAnsi"/>
          <w:b/>
          <w:color w:val="323E4F" w:themeColor="text2" w:themeShade="BF"/>
          <w:sz w:val="24"/>
          <w:szCs w:val="24"/>
        </w:rPr>
        <w:t>1</w:t>
      </w:r>
      <w:r w:rsidR="006A1E1D">
        <w:rPr>
          <w:rFonts w:eastAsia="Times New Roman" w:cstheme="minorHAnsi"/>
          <w:b/>
          <w:color w:val="323E4F" w:themeColor="text2" w:themeShade="BF"/>
          <w:sz w:val="24"/>
          <w:szCs w:val="24"/>
        </w:rPr>
        <w:t>26</w:t>
      </w:r>
      <w:r w:rsidR="00092B3B">
        <w:rPr>
          <w:rFonts w:eastAsia="Times New Roman" w:cstheme="minorHAnsi"/>
          <w:b/>
          <w:color w:val="323E4F" w:themeColor="text2" w:themeShade="BF"/>
          <w:sz w:val="24"/>
          <w:szCs w:val="24"/>
        </w:rPr>
        <w:t>.</w:t>
      </w:r>
      <w:r w:rsidR="006A1E1D">
        <w:rPr>
          <w:rFonts w:eastAsia="Times New Roman" w:cstheme="minorHAnsi"/>
          <w:b/>
          <w:color w:val="323E4F" w:themeColor="text2" w:themeShade="BF"/>
          <w:sz w:val="24"/>
          <w:szCs w:val="24"/>
        </w:rPr>
        <w:t>7</w:t>
      </w:r>
      <w:r w:rsidR="00092B3B">
        <w:rPr>
          <w:rFonts w:eastAsia="Times New Roman" w:cstheme="minorHAnsi"/>
          <w:b/>
          <w:color w:val="323E4F" w:themeColor="text2" w:themeShade="BF"/>
          <w:sz w:val="24"/>
          <w:szCs w:val="24"/>
        </w:rPr>
        <w:t xml:space="preserve">00,00 </w:t>
      </w:r>
      <w:r w:rsidR="0004500D" w:rsidRPr="0004500D">
        <w:rPr>
          <w:rFonts w:eastAsia="Times New Roman" w:cstheme="minorHAnsi"/>
          <w:b/>
          <w:color w:val="323E4F" w:themeColor="text2" w:themeShade="BF"/>
          <w:sz w:val="24"/>
          <w:szCs w:val="24"/>
        </w:rPr>
        <w:t>eura</w:t>
      </w:r>
      <w:r w:rsidR="00C05DD9">
        <w:rPr>
          <w:rFonts w:eastAsia="Times New Roman" w:cstheme="minorHAnsi"/>
          <w:bCs/>
          <w:color w:val="323E4F" w:themeColor="text2" w:themeShade="BF"/>
          <w:sz w:val="24"/>
          <w:szCs w:val="24"/>
        </w:rPr>
        <w:t xml:space="preserve">, </w:t>
      </w:r>
      <w:r w:rsidR="00203304">
        <w:rPr>
          <w:rFonts w:eastAsia="Times New Roman" w:cstheme="minorHAnsi"/>
          <w:b/>
          <w:color w:val="323E4F" w:themeColor="text2" w:themeShade="BF"/>
          <w:sz w:val="24"/>
          <w:szCs w:val="24"/>
        </w:rPr>
        <w:t>p</w:t>
      </w:r>
      <w:r w:rsidR="00203304" w:rsidRPr="00203304">
        <w:rPr>
          <w:rFonts w:eastAsia="Times New Roman" w:cstheme="minorHAnsi"/>
          <w:b/>
          <w:color w:val="323E4F" w:themeColor="text2" w:themeShade="BF"/>
          <w:sz w:val="24"/>
          <w:szCs w:val="24"/>
        </w:rPr>
        <w:t>rihod</w:t>
      </w:r>
      <w:r w:rsidR="0061387E">
        <w:rPr>
          <w:rFonts w:eastAsia="Times New Roman" w:cstheme="minorHAnsi"/>
          <w:b/>
          <w:color w:val="323E4F" w:themeColor="text2" w:themeShade="BF"/>
          <w:sz w:val="24"/>
          <w:szCs w:val="24"/>
        </w:rPr>
        <w:t>i</w:t>
      </w:r>
      <w:r w:rsidR="00203304" w:rsidRPr="00203304">
        <w:rPr>
          <w:rFonts w:eastAsia="Times New Roman" w:cstheme="minorHAnsi"/>
          <w:b/>
          <w:color w:val="323E4F" w:themeColor="text2" w:themeShade="BF"/>
          <w:sz w:val="24"/>
          <w:szCs w:val="24"/>
        </w:rPr>
        <w:t xml:space="preserve"> od prodaje proizvoda i robe te pruženih usluga, prihod</w:t>
      </w:r>
      <w:r w:rsidR="00203304">
        <w:rPr>
          <w:rFonts w:eastAsia="Times New Roman" w:cstheme="minorHAnsi"/>
          <w:b/>
          <w:color w:val="323E4F" w:themeColor="text2" w:themeShade="BF"/>
          <w:sz w:val="24"/>
          <w:szCs w:val="24"/>
        </w:rPr>
        <w:t>a</w:t>
      </w:r>
      <w:r w:rsidR="00203304" w:rsidRPr="00203304">
        <w:rPr>
          <w:rFonts w:eastAsia="Times New Roman" w:cstheme="minorHAnsi"/>
          <w:b/>
          <w:color w:val="323E4F" w:themeColor="text2" w:themeShade="BF"/>
          <w:sz w:val="24"/>
          <w:szCs w:val="24"/>
        </w:rPr>
        <w:t xml:space="preserve"> od donacija te povrati po protestiranim jamstvima</w:t>
      </w:r>
      <w:r w:rsidR="0061387E">
        <w:rPr>
          <w:rFonts w:eastAsia="Times New Roman" w:cstheme="minorHAnsi"/>
          <w:b/>
          <w:color w:val="323E4F" w:themeColor="text2" w:themeShade="BF"/>
          <w:sz w:val="24"/>
          <w:szCs w:val="24"/>
        </w:rPr>
        <w:t xml:space="preserve"> </w:t>
      </w:r>
      <w:r w:rsidR="0061387E">
        <w:rPr>
          <w:rFonts w:eastAsia="Times New Roman" w:cstheme="minorHAnsi"/>
          <w:bCs/>
          <w:color w:val="323E4F" w:themeColor="text2" w:themeShade="BF"/>
          <w:sz w:val="24"/>
          <w:szCs w:val="24"/>
        </w:rPr>
        <w:t>(financirano iz općih prihoda i primitaka) planirani u iznosu od 1.185,00 eura.</w:t>
      </w:r>
    </w:p>
    <w:p w14:paraId="4B54FA69" w14:textId="3CB83B74" w:rsidR="0061387E" w:rsidRPr="0061387E" w:rsidRDefault="0061387E" w:rsidP="00614B8F">
      <w:pPr>
        <w:spacing w:after="0" w:line="240" w:lineRule="auto"/>
        <w:jc w:val="both"/>
        <w:rPr>
          <w:rFonts w:eastAsia="Times New Roman" w:cstheme="minorHAnsi"/>
          <w:bCs/>
          <w:color w:val="323E4F" w:themeColor="text2" w:themeShade="BF"/>
          <w:sz w:val="24"/>
          <w:szCs w:val="24"/>
        </w:rPr>
      </w:pPr>
      <w:r>
        <w:rPr>
          <w:rFonts w:eastAsia="Times New Roman" w:cstheme="minorHAnsi"/>
          <w:b/>
          <w:color w:val="323E4F" w:themeColor="text2" w:themeShade="BF"/>
          <w:sz w:val="24"/>
          <w:szCs w:val="24"/>
        </w:rPr>
        <w:t xml:space="preserve">Prihode od prodaje nefinancijske imovine </w:t>
      </w:r>
      <w:r>
        <w:rPr>
          <w:rFonts w:eastAsia="Times New Roman" w:cstheme="minorHAnsi"/>
          <w:bCs/>
          <w:color w:val="323E4F" w:themeColor="text2" w:themeShade="BF"/>
          <w:sz w:val="24"/>
          <w:szCs w:val="24"/>
        </w:rPr>
        <w:t>čine prihodi od prodaje neproizvedene dugotrajne imovine</w:t>
      </w:r>
      <w:r w:rsidR="003C5421">
        <w:rPr>
          <w:rFonts w:eastAsia="Times New Roman" w:cstheme="minorHAnsi"/>
          <w:bCs/>
          <w:color w:val="323E4F" w:themeColor="text2" w:themeShade="BF"/>
          <w:sz w:val="24"/>
          <w:szCs w:val="24"/>
        </w:rPr>
        <w:t>, p</w:t>
      </w:r>
      <w:r>
        <w:rPr>
          <w:rFonts w:eastAsia="Times New Roman" w:cstheme="minorHAnsi"/>
          <w:bCs/>
          <w:color w:val="323E4F" w:themeColor="text2" w:themeShade="BF"/>
          <w:sz w:val="24"/>
          <w:szCs w:val="24"/>
        </w:rPr>
        <w:t xml:space="preserve">lanirani u iznosu 60.900,00 eura, a odnose se na prihod od prodaje zemljišta u poduzetničkoj zoni. </w:t>
      </w:r>
    </w:p>
    <w:p w14:paraId="6F5A4AAD" w14:textId="77777777" w:rsidR="00D855C6" w:rsidRDefault="00D855C6" w:rsidP="00614B8F">
      <w:pPr>
        <w:spacing w:after="0" w:line="240" w:lineRule="auto"/>
        <w:jc w:val="both"/>
        <w:rPr>
          <w:rFonts w:eastAsia="Times New Roman" w:cstheme="minorHAnsi"/>
          <w:bCs/>
          <w:color w:val="323E4F" w:themeColor="text2" w:themeShade="BF"/>
          <w:sz w:val="24"/>
          <w:szCs w:val="24"/>
        </w:rPr>
      </w:pPr>
    </w:p>
    <w:p w14:paraId="7F1918B2" w14:textId="01DACFE9" w:rsidR="00E42848" w:rsidRPr="00122425" w:rsidRDefault="00D26EF9" w:rsidP="00A9418E">
      <w:pPr>
        <w:rPr>
          <w:rFonts w:cstheme="minorHAnsi"/>
          <w:b/>
          <w:sz w:val="24"/>
          <w:szCs w:val="24"/>
        </w:rPr>
      </w:pPr>
      <w:r w:rsidRPr="00122425">
        <w:rPr>
          <w:rFonts w:cstheme="minorHAnsi"/>
          <w:b/>
          <w:sz w:val="24"/>
          <w:szCs w:val="24"/>
        </w:rPr>
        <w:t xml:space="preserve">Planirani višak sredstava prenijet iz prethodnih godina planira se u iznosu od </w:t>
      </w:r>
      <w:r w:rsidR="00120FDB">
        <w:rPr>
          <w:rFonts w:cstheme="minorHAnsi"/>
          <w:b/>
          <w:sz w:val="24"/>
          <w:szCs w:val="24"/>
        </w:rPr>
        <w:t>150.000</w:t>
      </w:r>
      <w:r w:rsidRPr="00122425">
        <w:rPr>
          <w:rFonts w:cstheme="minorHAnsi"/>
          <w:b/>
          <w:sz w:val="24"/>
          <w:szCs w:val="24"/>
        </w:rPr>
        <w:t>,00 eura</w:t>
      </w:r>
      <w:r w:rsidR="004800C3">
        <w:rPr>
          <w:rFonts w:cstheme="minorHAnsi"/>
          <w:b/>
          <w:sz w:val="24"/>
          <w:szCs w:val="24"/>
        </w:rPr>
        <w:t xml:space="preserve"> </w:t>
      </w:r>
      <w:r w:rsidR="004800C3">
        <w:rPr>
          <w:rFonts w:cstheme="minorHAnsi"/>
          <w:bCs/>
          <w:sz w:val="24"/>
          <w:szCs w:val="24"/>
        </w:rPr>
        <w:t>(financiran iz općih prihoda i primitaka)</w:t>
      </w:r>
      <w:r w:rsidRPr="00122425">
        <w:rPr>
          <w:rFonts w:cstheme="minorHAnsi"/>
          <w:b/>
          <w:sz w:val="24"/>
          <w:szCs w:val="24"/>
        </w:rPr>
        <w:t>.</w:t>
      </w:r>
    </w:p>
    <w:p w14:paraId="53B8C04B" w14:textId="53EE2FAA" w:rsidR="003D1D5C" w:rsidRDefault="00A9418E" w:rsidP="00560B89">
      <w:pPr>
        <w:spacing w:after="0"/>
        <w:ind w:left="993" w:right="-143"/>
        <w:rPr>
          <w:rFonts w:cstheme="minorHAnsi"/>
          <w:b/>
          <w:sz w:val="24"/>
          <w:szCs w:val="24"/>
        </w:rPr>
      </w:pPr>
      <w:r w:rsidRPr="00B6007A">
        <w:rPr>
          <w:rFonts w:cstheme="minorHAnsi"/>
          <w:b/>
          <w:noProof/>
          <w:sz w:val="24"/>
          <w:szCs w:val="24"/>
          <w:lang w:eastAsia="hr-HR"/>
        </w:rPr>
        <w:lastRenderedPageBreak/>
        <w:drawing>
          <wp:anchor distT="0" distB="0" distL="114300" distR="114300" simplePos="0" relativeHeight="251662336" behindDoc="0" locked="0" layoutInCell="1" allowOverlap="1" wp14:anchorId="18FAF933" wp14:editId="3BB42BCA">
            <wp:simplePos x="0" y="0"/>
            <wp:positionH relativeFrom="margin">
              <wp:align>right</wp:align>
            </wp:positionH>
            <wp:positionV relativeFrom="paragraph">
              <wp:posOffset>0</wp:posOffset>
            </wp:positionV>
            <wp:extent cx="5724525" cy="3571875"/>
            <wp:effectExtent l="0" t="0" r="9525" b="9525"/>
            <wp:wrapSquare wrapText="bothSides"/>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D45446">
        <w:rPr>
          <w:rFonts w:cstheme="minorHAnsi"/>
          <w:b/>
          <w:sz w:val="24"/>
          <w:szCs w:val="24"/>
        </w:rPr>
        <w:br w:type="textWrapping" w:clear="all"/>
      </w:r>
    </w:p>
    <w:p w14:paraId="0DF769D5" w14:textId="4CB82E45" w:rsidR="003B4055" w:rsidRDefault="003B4055" w:rsidP="00560B89">
      <w:pPr>
        <w:spacing w:after="0"/>
        <w:rPr>
          <w:rFonts w:cstheme="minorHAnsi"/>
          <w:b/>
          <w:sz w:val="24"/>
          <w:szCs w:val="24"/>
        </w:rPr>
      </w:pPr>
      <w:r w:rsidRPr="00B6007A">
        <w:rPr>
          <w:rFonts w:cstheme="minorHAnsi"/>
          <w:b/>
          <w:noProof/>
          <w:sz w:val="24"/>
          <w:szCs w:val="24"/>
          <w:lang w:eastAsia="hr-HR"/>
        </w:rPr>
        <w:drawing>
          <wp:anchor distT="0" distB="0" distL="114300" distR="114300" simplePos="0" relativeHeight="251664384" behindDoc="0" locked="0" layoutInCell="1" allowOverlap="1" wp14:anchorId="50D3E9D4" wp14:editId="69341776">
            <wp:simplePos x="0" y="0"/>
            <wp:positionH relativeFrom="page">
              <wp:align>center</wp:align>
            </wp:positionH>
            <wp:positionV relativeFrom="paragraph">
              <wp:posOffset>319405</wp:posOffset>
            </wp:positionV>
            <wp:extent cx="5724525" cy="3571875"/>
            <wp:effectExtent l="0" t="0" r="9525" b="9525"/>
            <wp:wrapSquare wrapText="bothSides"/>
            <wp:docPr id="2016730680" name="Grafikon 201673068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13F053F4" w14:textId="77777777" w:rsidR="003B4055" w:rsidRDefault="003B4055" w:rsidP="00504004">
      <w:pPr>
        <w:rPr>
          <w:rFonts w:cstheme="minorHAnsi"/>
          <w:b/>
          <w:sz w:val="24"/>
          <w:szCs w:val="24"/>
        </w:rPr>
      </w:pPr>
    </w:p>
    <w:p w14:paraId="03E47710" w14:textId="77777777" w:rsidR="003B4055" w:rsidRPr="00504004" w:rsidRDefault="003B4055" w:rsidP="00504004">
      <w:pPr>
        <w:rPr>
          <w:rFonts w:cstheme="minorHAnsi"/>
          <w:b/>
          <w:sz w:val="24"/>
          <w:szCs w:val="24"/>
        </w:rPr>
      </w:pPr>
    </w:p>
    <w:tbl>
      <w:tblPr>
        <w:tblStyle w:val="Reetkatablice"/>
        <w:tblW w:w="4707" w:type="pct"/>
        <w:tblInd w:w="279"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3119"/>
        <w:gridCol w:w="1843"/>
        <w:gridCol w:w="1984"/>
        <w:gridCol w:w="1984"/>
      </w:tblGrid>
      <w:tr w:rsidR="00D176CE" w:rsidRPr="00B8024D" w14:paraId="72032C2C" w14:textId="77777777" w:rsidTr="00AA24EF">
        <w:trPr>
          <w:trHeight w:val="722"/>
        </w:trPr>
        <w:tc>
          <w:tcPr>
            <w:tcW w:w="1746" w:type="pct"/>
            <w:shd w:val="clear" w:color="auto" w:fill="D9E2F3" w:themeFill="accent1" w:themeFillTint="33"/>
            <w:vAlign w:val="center"/>
          </w:tcPr>
          <w:p w14:paraId="1890D78A" w14:textId="3A0BE42F" w:rsidR="00D176CE" w:rsidRPr="00B8024D" w:rsidRDefault="00D176CE" w:rsidP="00CD0B54">
            <w:pPr>
              <w:jc w:val="center"/>
              <w:rPr>
                <w:rFonts w:cstheme="minorHAnsi"/>
                <w:b/>
                <w:color w:val="4472C4" w:themeColor="accent1"/>
                <w:sz w:val="24"/>
                <w:szCs w:val="24"/>
              </w:rPr>
            </w:pPr>
            <w:bookmarkStart w:id="3" w:name="_Hlk64526596"/>
            <w:r w:rsidRPr="00B8024D">
              <w:rPr>
                <w:rFonts w:cstheme="minorHAnsi"/>
                <w:b/>
                <w:color w:val="4472C4" w:themeColor="accent1"/>
                <w:sz w:val="24"/>
                <w:szCs w:val="24"/>
              </w:rPr>
              <w:lastRenderedPageBreak/>
              <w:t xml:space="preserve">PRIHODI </w:t>
            </w:r>
          </w:p>
        </w:tc>
        <w:tc>
          <w:tcPr>
            <w:tcW w:w="1032" w:type="pct"/>
            <w:shd w:val="clear" w:color="auto" w:fill="D9E2F3" w:themeFill="accent1" w:themeFillTint="33"/>
            <w:vAlign w:val="center"/>
          </w:tcPr>
          <w:p w14:paraId="01B991F9" w14:textId="77777777" w:rsidR="00AA24EF" w:rsidRDefault="00AA24EF" w:rsidP="00037C2F">
            <w:pPr>
              <w:jc w:val="center"/>
              <w:rPr>
                <w:rFonts w:cstheme="minorHAnsi"/>
                <w:b/>
                <w:color w:val="4472C4" w:themeColor="accent1"/>
                <w:sz w:val="24"/>
                <w:szCs w:val="24"/>
              </w:rPr>
            </w:pPr>
          </w:p>
          <w:p w14:paraId="33C5F856" w14:textId="19FC2E60" w:rsidR="00AA24EF" w:rsidRDefault="00D176CE" w:rsidP="00037C2F">
            <w:pPr>
              <w:jc w:val="center"/>
              <w:rPr>
                <w:rFonts w:cstheme="minorHAnsi"/>
                <w:b/>
                <w:color w:val="4472C4" w:themeColor="accent1"/>
                <w:sz w:val="24"/>
                <w:szCs w:val="24"/>
              </w:rPr>
            </w:pPr>
            <w:r w:rsidRPr="00B8024D">
              <w:rPr>
                <w:rFonts w:cstheme="minorHAnsi"/>
                <w:b/>
                <w:color w:val="4472C4" w:themeColor="accent1"/>
                <w:sz w:val="24"/>
                <w:szCs w:val="24"/>
              </w:rPr>
              <w:t>PLAN 202</w:t>
            </w:r>
            <w:r w:rsidR="008518D6">
              <w:rPr>
                <w:rFonts w:cstheme="minorHAnsi"/>
                <w:b/>
                <w:color w:val="4472C4" w:themeColor="accent1"/>
                <w:sz w:val="24"/>
                <w:szCs w:val="24"/>
              </w:rPr>
              <w:t>5</w:t>
            </w:r>
            <w:r w:rsidRPr="00B8024D">
              <w:rPr>
                <w:rFonts w:cstheme="minorHAnsi"/>
                <w:b/>
                <w:color w:val="4472C4" w:themeColor="accent1"/>
                <w:sz w:val="24"/>
                <w:szCs w:val="24"/>
              </w:rPr>
              <w:t xml:space="preserve"> </w:t>
            </w:r>
          </w:p>
          <w:p w14:paraId="0D93ED89" w14:textId="4CD4BC21" w:rsidR="00D176CE" w:rsidRPr="00B8024D" w:rsidRDefault="00D176CE" w:rsidP="00037C2F">
            <w:pPr>
              <w:jc w:val="center"/>
              <w:rPr>
                <w:rFonts w:cstheme="minorHAnsi"/>
                <w:b/>
                <w:color w:val="4472C4" w:themeColor="accent1"/>
                <w:sz w:val="24"/>
                <w:szCs w:val="24"/>
              </w:rPr>
            </w:pPr>
          </w:p>
        </w:tc>
        <w:tc>
          <w:tcPr>
            <w:tcW w:w="1111" w:type="pct"/>
            <w:shd w:val="clear" w:color="auto" w:fill="D9E2F3" w:themeFill="accent1" w:themeFillTint="33"/>
            <w:vAlign w:val="center"/>
          </w:tcPr>
          <w:p w14:paraId="7F0C5524" w14:textId="61EEB610" w:rsidR="00D176CE" w:rsidRPr="00B8024D" w:rsidRDefault="00D176CE" w:rsidP="00CD0B54">
            <w:pPr>
              <w:jc w:val="center"/>
              <w:rPr>
                <w:rFonts w:cstheme="minorHAnsi"/>
                <w:b/>
                <w:color w:val="4472C4" w:themeColor="accent1"/>
                <w:sz w:val="24"/>
                <w:szCs w:val="24"/>
              </w:rPr>
            </w:pPr>
            <w:r w:rsidRPr="00B8024D">
              <w:rPr>
                <w:rFonts w:cstheme="minorHAnsi"/>
                <w:b/>
                <w:color w:val="4472C4" w:themeColor="accent1"/>
                <w:sz w:val="24"/>
                <w:szCs w:val="24"/>
              </w:rPr>
              <w:t>PROJEKCIJE 202</w:t>
            </w:r>
            <w:r w:rsidR="008518D6">
              <w:rPr>
                <w:rFonts w:cstheme="minorHAnsi"/>
                <w:b/>
                <w:color w:val="4472C4" w:themeColor="accent1"/>
                <w:sz w:val="24"/>
                <w:szCs w:val="24"/>
              </w:rPr>
              <w:t>6</w:t>
            </w:r>
            <w:r w:rsidRPr="00B8024D">
              <w:rPr>
                <w:rFonts w:cstheme="minorHAnsi"/>
                <w:b/>
                <w:color w:val="4472C4" w:themeColor="accent1"/>
                <w:sz w:val="24"/>
                <w:szCs w:val="24"/>
              </w:rPr>
              <w:t xml:space="preserve"> </w:t>
            </w:r>
          </w:p>
        </w:tc>
        <w:tc>
          <w:tcPr>
            <w:tcW w:w="1111" w:type="pct"/>
            <w:shd w:val="clear" w:color="auto" w:fill="D9E2F3" w:themeFill="accent1" w:themeFillTint="33"/>
            <w:vAlign w:val="center"/>
          </w:tcPr>
          <w:p w14:paraId="172B4502" w14:textId="12D8D900" w:rsidR="00D176CE" w:rsidRPr="00B8024D" w:rsidRDefault="00D176CE" w:rsidP="00CD0B54">
            <w:pPr>
              <w:jc w:val="center"/>
              <w:rPr>
                <w:rFonts w:cstheme="minorHAnsi"/>
                <w:b/>
                <w:color w:val="4472C4" w:themeColor="accent1"/>
                <w:sz w:val="24"/>
                <w:szCs w:val="24"/>
              </w:rPr>
            </w:pPr>
            <w:r w:rsidRPr="00B8024D">
              <w:rPr>
                <w:rFonts w:cstheme="minorHAnsi"/>
                <w:b/>
                <w:color w:val="4472C4" w:themeColor="accent1"/>
                <w:sz w:val="24"/>
                <w:szCs w:val="24"/>
              </w:rPr>
              <w:t>PROJEKCIJE 202</w:t>
            </w:r>
            <w:r w:rsidR="008518D6">
              <w:rPr>
                <w:rFonts w:cstheme="minorHAnsi"/>
                <w:b/>
                <w:color w:val="4472C4" w:themeColor="accent1"/>
                <w:sz w:val="24"/>
                <w:szCs w:val="24"/>
              </w:rPr>
              <w:t>7</w:t>
            </w:r>
          </w:p>
        </w:tc>
      </w:tr>
      <w:tr w:rsidR="00427F4B" w:rsidRPr="00427F4B" w14:paraId="588B21C5" w14:textId="77777777" w:rsidTr="00427F4B">
        <w:trPr>
          <w:trHeight w:val="381"/>
        </w:trPr>
        <w:tc>
          <w:tcPr>
            <w:tcW w:w="1746" w:type="pct"/>
            <w:shd w:val="clear" w:color="auto" w:fill="D9E2F3" w:themeFill="accent1" w:themeFillTint="33"/>
            <w:vAlign w:val="center"/>
          </w:tcPr>
          <w:p w14:paraId="652CFD09" w14:textId="548FDDC6" w:rsidR="00427F4B" w:rsidRPr="00427F4B" w:rsidRDefault="00427F4B" w:rsidP="00CD0B54">
            <w:pPr>
              <w:jc w:val="center"/>
              <w:rPr>
                <w:rFonts w:cstheme="minorHAnsi"/>
                <w:b/>
                <w:color w:val="4472C4" w:themeColor="accent1"/>
                <w:sz w:val="20"/>
                <w:szCs w:val="20"/>
              </w:rPr>
            </w:pPr>
            <w:r w:rsidRPr="00427F4B">
              <w:rPr>
                <w:rFonts w:cstheme="minorHAnsi"/>
                <w:b/>
                <w:color w:val="4472C4" w:themeColor="accent1"/>
                <w:sz w:val="20"/>
                <w:szCs w:val="20"/>
              </w:rPr>
              <w:t>UKUPNI PRIHODI</w:t>
            </w:r>
          </w:p>
        </w:tc>
        <w:tc>
          <w:tcPr>
            <w:tcW w:w="1032" w:type="pct"/>
            <w:shd w:val="clear" w:color="auto" w:fill="D9E2F3" w:themeFill="accent1" w:themeFillTint="33"/>
            <w:vAlign w:val="center"/>
          </w:tcPr>
          <w:p w14:paraId="09F4258E" w14:textId="26BBBFD8" w:rsidR="00427F4B" w:rsidRPr="00427F4B" w:rsidRDefault="00427F4B" w:rsidP="00037C2F">
            <w:pPr>
              <w:jc w:val="center"/>
              <w:rPr>
                <w:rFonts w:cstheme="minorHAnsi"/>
                <w:b/>
                <w:color w:val="4472C4" w:themeColor="accent1"/>
                <w:sz w:val="20"/>
                <w:szCs w:val="20"/>
              </w:rPr>
            </w:pPr>
            <w:r w:rsidRPr="00427F4B">
              <w:rPr>
                <w:rFonts w:cstheme="minorHAnsi"/>
                <w:b/>
                <w:color w:val="4472C4" w:themeColor="accent1"/>
                <w:sz w:val="20"/>
                <w:szCs w:val="20"/>
              </w:rPr>
              <w:t>2.080.000,00</w:t>
            </w:r>
          </w:p>
        </w:tc>
        <w:tc>
          <w:tcPr>
            <w:tcW w:w="1111" w:type="pct"/>
            <w:shd w:val="clear" w:color="auto" w:fill="D9E2F3" w:themeFill="accent1" w:themeFillTint="33"/>
            <w:vAlign w:val="center"/>
          </w:tcPr>
          <w:p w14:paraId="76515F8C" w14:textId="00732465" w:rsidR="00427F4B" w:rsidRPr="00427F4B" w:rsidRDefault="00427F4B" w:rsidP="00CD0B54">
            <w:pPr>
              <w:jc w:val="center"/>
              <w:rPr>
                <w:rFonts w:cstheme="minorHAnsi"/>
                <w:b/>
                <w:color w:val="4472C4" w:themeColor="accent1"/>
                <w:sz w:val="20"/>
                <w:szCs w:val="20"/>
              </w:rPr>
            </w:pPr>
            <w:r w:rsidRPr="00427F4B">
              <w:rPr>
                <w:rFonts w:cstheme="minorHAnsi"/>
                <w:b/>
                <w:color w:val="4472C4" w:themeColor="accent1"/>
                <w:sz w:val="20"/>
                <w:szCs w:val="20"/>
              </w:rPr>
              <w:t>2.080.000,00</w:t>
            </w:r>
          </w:p>
        </w:tc>
        <w:tc>
          <w:tcPr>
            <w:tcW w:w="1111" w:type="pct"/>
            <w:shd w:val="clear" w:color="auto" w:fill="D9E2F3" w:themeFill="accent1" w:themeFillTint="33"/>
            <w:vAlign w:val="center"/>
          </w:tcPr>
          <w:p w14:paraId="2ACB6915" w14:textId="74573CA0" w:rsidR="00427F4B" w:rsidRPr="00427F4B" w:rsidRDefault="00427F4B" w:rsidP="00CD0B54">
            <w:pPr>
              <w:jc w:val="center"/>
              <w:rPr>
                <w:rFonts w:cstheme="minorHAnsi"/>
                <w:b/>
                <w:color w:val="4472C4" w:themeColor="accent1"/>
                <w:sz w:val="20"/>
                <w:szCs w:val="20"/>
              </w:rPr>
            </w:pPr>
            <w:r w:rsidRPr="00427F4B">
              <w:rPr>
                <w:rFonts w:cstheme="minorHAnsi"/>
                <w:b/>
                <w:color w:val="4472C4" w:themeColor="accent1"/>
                <w:sz w:val="20"/>
                <w:szCs w:val="20"/>
              </w:rPr>
              <w:t>2.080.000,00</w:t>
            </w:r>
          </w:p>
        </w:tc>
      </w:tr>
      <w:tr w:rsidR="00D176CE" w:rsidRPr="00B8024D" w14:paraId="54DA32C2" w14:textId="77777777" w:rsidTr="00AA24EF">
        <w:trPr>
          <w:trHeight w:val="479"/>
        </w:trPr>
        <w:tc>
          <w:tcPr>
            <w:tcW w:w="1746" w:type="pct"/>
            <w:shd w:val="clear" w:color="auto" w:fill="E7E6E6" w:themeFill="background2"/>
            <w:vAlign w:val="center"/>
          </w:tcPr>
          <w:p w14:paraId="7EC29B00" w14:textId="77777777" w:rsidR="00D176CE" w:rsidRPr="00B8024D" w:rsidRDefault="00D176CE" w:rsidP="00CD0B54">
            <w:pPr>
              <w:rPr>
                <w:rFonts w:cstheme="minorHAnsi"/>
                <w:b/>
                <w:sz w:val="20"/>
                <w:szCs w:val="20"/>
              </w:rPr>
            </w:pPr>
            <w:bookmarkStart w:id="4" w:name="_Hlk184299560"/>
            <w:bookmarkEnd w:id="3"/>
            <w:r w:rsidRPr="00B8024D">
              <w:rPr>
                <w:rFonts w:cstheme="minorHAnsi"/>
                <w:b/>
                <w:sz w:val="20"/>
                <w:szCs w:val="20"/>
              </w:rPr>
              <w:t>6 Prihodi poslovanja</w:t>
            </w:r>
          </w:p>
        </w:tc>
        <w:tc>
          <w:tcPr>
            <w:tcW w:w="1032" w:type="pct"/>
            <w:shd w:val="clear" w:color="auto" w:fill="E7E6E6" w:themeFill="background2"/>
            <w:vAlign w:val="center"/>
          </w:tcPr>
          <w:p w14:paraId="0AC15B7E" w14:textId="130EC79E" w:rsidR="00D176CE" w:rsidRPr="00B8024D" w:rsidRDefault="00937E8F" w:rsidP="00CD0B54">
            <w:pPr>
              <w:jc w:val="right"/>
              <w:rPr>
                <w:rFonts w:cstheme="minorHAnsi"/>
                <w:b/>
                <w:sz w:val="20"/>
                <w:szCs w:val="20"/>
              </w:rPr>
            </w:pPr>
            <w:r>
              <w:rPr>
                <w:rFonts w:cstheme="minorHAnsi"/>
                <w:b/>
                <w:sz w:val="20"/>
                <w:szCs w:val="20"/>
              </w:rPr>
              <w:t>1.869.100,00</w:t>
            </w:r>
          </w:p>
        </w:tc>
        <w:tc>
          <w:tcPr>
            <w:tcW w:w="1111" w:type="pct"/>
            <w:shd w:val="clear" w:color="auto" w:fill="E7E6E6" w:themeFill="background2"/>
            <w:vAlign w:val="center"/>
          </w:tcPr>
          <w:p w14:paraId="36DFBA6E" w14:textId="67E0FC2F" w:rsidR="00D176CE" w:rsidRPr="00B8024D" w:rsidRDefault="00937E8F" w:rsidP="00CD0B54">
            <w:pPr>
              <w:jc w:val="right"/>
              <w:rPr>
                <w:rFonts w:cstheme="minorHAnsi"/>
                <w:b/>
                <w:sz w:val="20"/>
                <w:szCs w:val="20"/>
              </w:rPr>
            </w:pPr>
            <w:r>
              <w:rPr>
                <w:rFonts w:cstheme="minorHAnsi"/>
                <w:b/>
                <w:sz w:val="20"/>
                <w:szCs w:val="20"/>
              </w:rPr>
              <w:t>2.010.000,00</w:t>
            </w:r>
          </w:p>
        </w:tc>
        <w:tc>
          <w:tcPr>
            <w:tcW w:w="1111" w:type="pct"/>
            <w:shd w:val="clear" w:color="auto" w:fill="E7E6E6" w:themeFill="background2"/>
            <w:vAlign w:val="center"/>
          </w:tcPr>
          <w:p w14:paraId="3FFFD6A4" w14:textId="08E4BA07" w:rsidR="00D176CE" w:rsidRPr="00B8024D" w:rsidRDefault="00937E8F" w:rsidP="00CD0B54">
            <w:pPr>
              <w:jc w:val="right"/>
              <w:rPr>
                <w:rFonts w:cstheme="minorHAnsi"/>
                <w:b/>
                <w:sz w:val="20"/>
                <w:szCs w:val="20"/>
              </w:rPr>
            </w:pPr>
            <w:r>
              <w:rPr>
                <w:rFonts w:cstheme="minorHAnsi"/>
                <w:b/>
                <w:sz w:val="20"/>
                <w:szCs w:val="20"/>
              </w:rPr>
              <w:t>2.010.000,00</w:t>
            </w:r>
          </w:p>
        </w:tc>
      </w:tr>
      <w:bookmarkEnd w:id="4"/>
      <w:tr w:rsidR="00D176CE" w:rsidRPr="00B8024D" w14:paraId="081857E6" w14:textId="77777777" w:rsidTr="00AA24EF">
        <w:trPr>
          <w:trHeight w:val="479"/>
        </w:trPr>
        <w:tc>
          <w:tcPr>
            <w:tcW w:w="1746" w:type="pct"/>
            <w:vAlign w:val="center"/>
          </w:tcPr>
          <w:p w14:paraId="51DA2CDE" w14:textId="77777777" w:rsidR="00D176CE" w:rsidRPr="00B8024D" w:rsidRDefault="00D176CE" w:rsidP="00CD0B54">
            <w:pPr>
              <w:rPr>
                <w:rFonts w:cstheme="minorHAnsi"/>
                <w:bCs/>
                <w:sz w:val="20"/>
                <w:szCs w:val="20"/>
              </w:rPr>
            </w:pPr>
            <w:r w:rsidRPr="00B8024D">
              <w:rPr>
                <w:rFonts w:cstheme="minorHAnsi"/>
                <w:b/>
                <w:sz w:val="20"/>
                <w:szCs w:val="20"/>
              </w:rPr>
              <w:t>61</w:t>
            </w:r>
            <w:r w:rsidRPr="00B8024D">
              <w:rPr>
                <w:rFonts w:cstheme="minorHAnsi"/>
                <w:bCs/>
                <w:sz w:val="20"/>
                <w:szCs w:val="20"/>
              </w:rPr>
              <w:t xml:space="preserve">  Prihodi od poreza</w:t>
            </w:r>
          </w:p>
        </w:tc>
        <w:tc>
          <w:tcPr>
            <w:tcW w:w="1032" w:type="pct"/>
            <w:vAlign w:val="center"/>
          </w:tcPr>
          <w:p w14:paraId="39F82C2C" w14:textId="33892F76" w:rsidR="00D176CE" w:rsidRPr="00B8024D" w:rsidRDefault="002F27B8" w:rsidP="00CD0B54">
            <w:pPr>
              <w:jc w:val="right"/>
              <w:rPr>
                <w:rFonts w:cstheme="minorHAnsi"/>
                <w:bCs/>
                <w:sz w:val="20"/>
                <w:szCs w:val="20"/>
              </w:rPr>
            </w:pPr>
            <w:r>
              <w:rPr>
                <w:rFonts w:cstheme="minorHAnsi"/>
                <w:bCs/>
                <w:sz w:val="20"/>
                <w:szCs w:val="20"/>
              </w:rPr>
              <w:t>380.000,00</w:t>
            </w:r>
          </w:p>
        </w:tc>
        <w:tc>
          <w:tcPr>
            <w:tcW w:w="1111" w:type="pct"/>
            <w:vAlign w:val="center"/>
          </w:tcPr>
          <w:p w14:paraId="00C36091" w14:textId="7F9475A4" w:rsidR="00D176CE" w:rsidRPr="00B8024D" w:rsidRDefault="002F27B8" w:rsidP="00CD0B54">
            <w:pPr>
              <w:jc w:val="right"/>
              <w:rPr>
                <w:rFonts w:cstheme="minorHAnsi"/>
                <w:bCs/>
                <w:sz w:val="20"/>
                <w:szCs w:val="20"/>
              </w:rPr>
            </w:pPr>
            <w:r>
              <w:rPr>
                <w:rFonts w:cstheme="minorHAnsi"/>
                <w:bCs/>
                <w:sz w:val="20"/>
                <w:szCs w:val="20"/>
              </w:rPr>
              <w:t>400.000,00</w:t>
            </w:r>
          </w:p>
        </w:tc>
        <w:tc>
          <w:tcPr>
            <w:tcW w:w="1111" w:type="pct"/>
            <w:vAlign w:val="center"/>
          </w:tcPr>
          <w:p w14:paraId="625C4037" w14:textId="14C2E8C8" w:rsidR="00D176CE" w:rsidRPr="00B8024D" w:rsidRDefault="002F27B8" w:rsidP="00CD0B54">
            <w:pPr>
              <w:jc w:val="right"/>
              <w:rPr>
                <w:rFonts w:cstheme="minorHAnsi"/>
                <w:bCs/>
                <w:sz w:val="20"/>
                <w:szCs w:val="20"/>
              </w:rPr>
            </w:pPr>
            <w:r>
              <w:rPr>
                <w:rFonts w:cstheme="minorHAnsi"/>
                <w:bCs/>
                <w:sz w:val="20"/>
                <w:szCs w:val="20"/>
              </w:rPr>
              <w:t>400.000,00</w:t>
            </w:r>
          </w:p>
        </w:tc>
      </w:tr>
      <w:tr w:rsidR="00D176CE" w:rsidRPr="00B8024D" w14:paraId="7DA674C7" w14:textId="77777777" w:rsidTr="00AA24EF">
        <w:trPr>
          <w:trHeight w:val="695"/>
        </w:trPr>
        <w:tc>
          <w:tcPr>
            <w:tcW w:w="1746" w:type="pct"/>
            <w:vAlign w:val="center"/>
          </w:tcPr>
          <w:p w14:paraId="28F0D04C" w14:textId="77777777" w:rsidR="00D176CE" w:rsidRPr="00B8024D" w:rsidRDefault="00D176CE" w:rsidP="00CD0B54">
            <w:pPr>
              <w:rPr>
                <w:rFonts w:cstheme="minorHAnsi"/>
                <w:bCs/>
                <w:sz w:val="20"/>
                <w:szCs w:val="20"/>
              </w:rPr>
            </w:pPr>
            <w:r w:rsidRPr="00B8024D">
              <w:rPr>
                <w:rFonts w:cstheme="minorHAnsi"/>
                <w:b/>
                <w:sz w:val="20"/>
                <w:szCs w:val="20"/>
              </w:rPr>
              <w:t>63</w:t>
            </w:r>
            <w:r w:rsidRPr="00B8024D">
              <w:rPr>
                <w:rFonts w:cstheme="minorHAnsi"/>
                <w:bCs/>
                <w:sz w:val="20"/>
                <w:szCs w:val="20"/>
              </w:rPr>
              <w:t xml:space="preserve">  Pomoći iz inozemstva i od subjekata unutar općeg proračuna</w:t>
            </w:r>
          </w:p>
        </w:tc>
        <w:tc>
          <w:tcPr>
            <w:tcW w:w="1032" w:type="pct"/>
            <w:vAlign w:val="center"/>
          </w:tcPr>
          <w:p w14:paraId="3973C0DC" w14:textId="4833E711" w:rsidR="00D176CE" w:rsidRPr="00B8024D" w:rsidRDefault="00057F12" w:rsidP="00CD0B54">
            <w:pPr>
              <w:jc w:val="right"/>
              <w:rPr>
                <w:rFonts w:cstheme="minorHAnsi"/>
                <w:sz w:val="20"/>
                <w:szCs w:val="20"/>
              </w:rPr>
            </w:pPr>
            <w:r>
              <w:rPr>
                <w:rFonts w:cstheme="minorHAnsi"/>
                <w:sz w:val="20"/>
                <w:szCs w:val="20"/>
              </w:rPr>
              <w:t>1.325.714,00</w:t>
            </w:r>
          </w:p>
        </w:tc>
        <w:tc>
          <w:tcPr>
            <w:tcW w:w="1111" w:type="pct"/>
            <w:vAlign w:val="center"/>
          </w:tcPr>
          <w:p w14:paraId="28BA9C2D" w14:textId="01B33AAF" w:rsidR="00DA32FB" w:rsidRPr="00B8024D" w:rsidRDefault="00057F12" w:rsidP="00DA32FB">
            <w:pPr>
              <w:jc w:val="right"/>
              <w:rPr>
                <w:rFonts w:cstheme="minorHAnsi"/>
                <w:bCs/>
                <w:sz w:val="20"/>
                <w:szCs w:val="20"/>
              </w:rPr>
            </w:pPr>
            <w:r>
              <w:rPr>
                <w:rFonts w:cstheme="minorHAnsi"/>
                <w:bCs/>
                <w:sz w:val="20"/>
                <w:szCs w:val="20"/>
              </w:rPr>
              <w:t>1.436.299,00</w:t>
            </w:r>
          </w:p>
        </w:tc>
        <w:tc>
          <w:tcPr>
            <w:tcW w:w="1111" w:type="pct"/>
            <w:vAlign w:val="center"/>
          </w:tcPr>
          <w:p w14:paraId="1A06458A" w14:textId="1AB43F6C" w:rsidR="00D176CE" w:rsidRPr="00B8024D" w:rsidRDefault="00057F12" w:rsidP="00CD0B54">
            <w:pPr>
              <w:jc w:val="right"/>
              <w:rPr>
                <w:rFonts w:cstheme="minorHAnsi"/>
                <w:bCs/>
                <w:sz w:val="20"/>
                <w:szCs w:val="20"/>
              </w:rPr>
            </w:pPr>
            <w:r>
              <w:rPr>
                <w:rFonts w:cstheme="minorHAnsi"/>
                <w:bCs/>
                <w:sz w:val="20"/>
                <w:szCs w:val="20"/>
              </w:rPr>
              <w:t>1.434.299,00</w:t>
            </w:r>
          </w:p>
        </w:tc>
      </w:tr>
      <w:tr w:rsidR="00037C2F" w:rsidRPr="00B8024D" w14:paraId="4A74C81F" w14:textId="77777777" w:rsidTr="00AA24EF">
        <w:trPr>
          <w:trHeight w:val="479"/>
        </w:trPr>
        <w:tc>
          <w:tcPr>
            <w:tcW w:w="1746" w:type="pct"/>
            <w:vAlign w:val="center"/>
          </w:tcPr>
          <w:p w14:paraId="48284149" w14:textId="4AE9D564" w:rsidR="00037C2F" w:rsidRPr="00B8024D" w:rsidRDefault="00037C2F" w:rsidP="00CD0B54">
            <w:pPr>
              <w:rPr>
                <w:rFonts w:cstheme="minorHAnsi"/>
                <w:b/>
                <w:sz w:val="20"/>
                <w:szCs w:val="20"/>
              </w:rPr>
            </w:pPr>
            <w:r w:rsidRPr="00B8024D">
              <w:rPr>
                <w:rFonts w:cstheme="minorHAnsi"/>
                <w:b/>
                <w:sz w:val="20"/>
                <w:szCs w:val="20"/>
              </w:rPr>
              <w:t>6</w:t>
            </w:r>
            <w:r w:rsidR="00057F12">
              <w:rPr>
                <w:rFonts w:cstheme="minorHAnsi"/>
                <w:b/>
                <w:sz w:val="20"/>
                <w:szCs w:val="20"/>
              </w:rPr>
              <w:t>4</w:t>
            </w:r>
            <w:r w:rsidRPr="00B8024D">
              <w:rPr>
                <w:rFonts w:cstheme="minorHAnsi"/>
                <w:b/>
                <w:sz w:val="20"/>
                <w:szCs w:val="20"/>
              </w:rPr>
              <w:t xml:space="preserve"> </w:t>
            </w:r>
            <w:r w:rsidRPr="00B8024D">
              <w:rPr>
                <w:rFonts w:cstheme="minorHAnsi"/>
                <w:bCs/>
                <w:sz w:val="20"/>
                <w:szCs w:val="20"/>
              </w:rPr>
              <w:t>Prihodi od</w:t>
            </w:r>
            <w:r>
              <w:rPr>
                <w:rFonts w:cstheme="minorHAnsi"/>
                <w:bCs/>
                <w:sz w:val="20"/>
                <w:szCs w:val="20"/>
              </w:rPr>
              <w:t xml:space="preserve"> imovine</w:t>
            </w:r>
          </w:p>
        </w:tc>
        <w:tc>
          <w:tcPr>
            <w:tcW w:w="1032" w:type="pct"/>
            <w:vAlign w:val="center"/>
          </w:tcPr>
          <w:p w14:paraId="4B5D7020" w14:textId="2AA665D5" w:rsidR="00037C2F" w:rsidRDefault="00057F12" w:rsidP="00CD0B54">
            <w:pPr>
              <w:jc w:val="right"/>
              <w:rPr>
                <w:rFonts w:cstheme="minorHAnsi"/>
                <w:bCs/>
                <w:sz w:val="20"/>
                <w:szCs w:val="20"/>
              </w:rPr>
            </w:pPr>
            <w:r>
              <w:rPr>
                <w:rFonts w:cstheme="minorHAnsi"/>
                <w:bCs/>
                <w:sz w:val="20"/>
                <w:szCs w:val="20"/>
              </w:rPr>
              <w:t>35.501,00</w:t>
            </w:r>
          </w:p>
        </w:tc>
        <w:tc>
          <w:tcPr>
            <w:tcW w:w="1111" w:type="pct"/>
            <w:vAlign w:val="center"/>
          </w:tcPr>
          <w:p w14:paraId="5AA356F6" w14:textId="493F6DAB" w:rsidR="00037C2F" w:rsidRDefault="00057F12" w:rsidP="00CD0B54">
            <w:pPr>
              <w:jc w:val="right"/>
              <w:rPr>
                <w:rFonts w:cstheme="minorHAnsi"/>
                <w:bCs/>
                <w:sz w:val="20"/>
                <w:szCs w:val="20"/>
              </w:rPr>
            </w:pPr>
            <w:r>
              <w:rPr>
                <w:rFonts w:cstheme="minorHAnsi"/>
                <w:bCs/>
                <w:sz w:val="20"/>
                <w:szCs w:val="20"/>
              </w:rPr>
              <w:t>37.501,00</w:t>
            </w:r>
          </w:p>
        </w:tc>
        <w:tc>
          <w:tcPr>
            <w:tcW w:w="1111" w:type="pct"/>
            <w:vAlign w:val="center"/>
          </w:tcPr>
          <w:p w14:paraId="474C0551" w14:textId="2348D031" w:rsidR="00037C2F" w:rsidRDefault="00057F12" w:rsidP="00CD0B54">
            <w:pPr>
              <w:jc w:val="right"/>
              <w:rPr>
                <w:rFonts w:cstheme="minorHAnsi"/>
                <w:bCs/>
                <w:sz w:val="20"/>
                <w:szCs w:val="20"/>
              </w:rPr>
            </w:pPr>
            <w:r>
              <w:rPr>
                <w:rFonts w:cstheme="minorHAnsi"/>
                <w:bCs/>
                <w:sz w:val="20"/>
                <w:szCs w:val="20"/>
              </w:rPr>
              <w:t>39.501,00</w:t>
            </w:r>
          </w:p>
        </w:tc>
      </w:tr>
      <w:tr w:rsidR="00D176CE" w:rsidRPr="00B8024D" w14:paraId="13D1CDC1" w14:textId="77777777" w:rsidTr="00AA24EF">
        <w:trPr>
          <w:trHeight w:val="479"/>
        </w:trPr>
        <w:tc>
          <w:tcPr>
            <w:tcW w:w="1746" w:type="pct"/>
            <w:vAlign w:val="center"/>
          </w:tcPr>
          <w:p w14:paraId="75DAF897" w14:textId="0BD6C0C1" w:rsidR="00D176CE" w:rsidRPr="00B8024D" w:rsidRDefault="003E46CA" w:rsidP="00CD0B54">
            <w:pPr>
              <w:rPr>
                <w:rFonts w:cstheme="minorHAnsi"/>
                <w:bCs/>
                <w:sz w:val="20"/>
                <w:szCs w:val="20"/>
              </w:rPr>
            </w:pPr>
            <w:r w:rsidRPr="00B8024D">
              <w:rPr>
                <w:rFonts w:cstheme="minorHAnsi"/>
                <w:b/>
                <w:sz w:val="20"/>
                <w:szCs w:val="20"/>
              </w:rPr>
              <w:t xml:space="preserve">65 </w:t>
            </w:r>
            <w:r w:rsidRPr="00B8024D">
              <w:rPr>
                <w:rFonts w:cstheme="minorHAnsi"/>
                <w:bCs/>
                <w:sz w:val="20"/>
                <w:szCs w:val="20"/>
              </w:rPr>
              <w:t>Prihodi od</w:t>
            </w:r>
            <w:r>
              <w:rPr>
                <w:rFonts w:cstheme="minorHAnsi"/>
                <w:bCs/>
                <w:sz w:val="20"/>
                <w:szCs w:val="20"/>
              </w:rPr>
              <w:t xml:space="preserve"> </w:t>
            </w:r>
            <w:r w:rsidRPr="00B8024D">
              <w:rPr>
                <w:rFonts w:cstheme="minorHAnsi"/>
                <w:bCs/>
                <w:sz w:val="20"/>
                <w:szCs w:val="20"/>
              </w:rPr>
              <w:t>administrativnih</w:t>
            </w:r>
            <w:r w:rsidRPr="00B8024D">
              <w:rPr>
                <w:rFonts w:cstheme="minorHAnsi"/>
                <w:bCs/>
              </w:rPr>
              <w:t xml:space="preserve"> </w:t>
            </w:r>
            <w:r w:rsidRPr="00B8024D">
              <w:rPr>
                <w:rFonts w:cstheme="minorHAnsi"/>
                <w:bCs/>
                <w:sz w:val="20"/>
                <w:szCs w:val="20"/>
              </w:rPr>
              <w:t>pristojbi, pristojbi po posebnim propisima i naknada</w:t>
            </w:r>
          </w:p>
        </w:tc>
        <w:tc>
          <w:tcPr>
            <w:tcW w:w="1032" w:type="pct"/>
            <w:vAlign w:val="center"/>
          </w:tcPr>
          <w:p w14:paraId="6C7FB443" w14:textId="1EDF2BDB" w:rsidR="00D176CE" w:rsidRPr="00B8024D" w:rsidRDefault="00057F12" w:rsidP="00CD0B54">
            <w:pPr>
              <w:jc w:val="right"/>
              <w:rPr>
                <w:rFonts w:cstheme="minorHAnsi"/>
                <w:bCs/>
                <w:sz w:val="20"/>
                <w:szCs w:val="20"/>
              </w:rPr>
            </w:pPr>
            <w:r>
              <w:rPr>
                <w:rFonts w:cstheme="minorHAnsi"/>
                <w:bCs/>
                <w:sz w:val="20"/>
                <w:szCs w:val="20"/>
              </w:rPr>
              <w:t>126.700,00</w:t>
            </w:r>
          </w:p>
        </w:tc>
        <w:tc>
          <w:tcPr>
            <w:tcW w:w="1111" w:type="pct"/>
            <w:vAlign w:val="center"/>
          </w:tcPr>
          <w:p w14:paraId="7A334E78" w14:textId="6F27E623" w:rsidR="00D176CE" w:rsidRPr="00B8024D" w:rsidRDefault="00057F12" w:rsidP="00CD0B54">
            <w:pPr>
              <w:jc w:val="right"/>
              <w:rPr>
                <w:rFonts w:cstheme="minorHAnsi"/>
                <w:bCs/>
                <w:sz w:val="20"/>
                <w:szCs w:val="20"/>
              </w:rPr>
            </w:pPr>
            <w:r>
              <w:rPr>
                <w:rFonts w:cstheme="minorHAnsi"/>
                <w:bCs/>
                <w:sz w:val="20"/>
                <w:szCs w:val="20"/>
              </w:rPr>
              <w:t>135.000,00</w:t>
            </w:r>
          </w:p>
        </w:tc>
        <w:tc>
          <w:tcPr>
            <w:tcW w:w="1111" w:type="pct"/>
            <w:vAlign w:val="center"/>
          </w:tcPr>
          <w:p w14:paraId="1D565399" w14:textId="537CD782" w:rsidR="00D176CE" w:rsidRPr="00B8024D" w:rsidRDefault="00057F12" w:rsidP="00AA24EF">
            <w:pPr>
              <w:jc w:val="right"/>
              <w:rPr>
                <w:rFonts w:cstheme="minorHAnsi"/>
                <w:bCs/>
                <w:sz w:val="20"/>
                <w:szCs w:val="20"/>
              </w:rPr>
            </w:pPr>
            <w:r>
              <w:rPr>
                <w:rFonts w:cstheme="minorHAnsi"/>
                <w:bCs/>
                <w:sz w:val="20"/>
                <w:szCs w:val="20"/>
              </w:rPr>
              <w:t>135.000,00</w:t>
            </w:r>
          </w:p>
        </w:tc>
      </w:tr>
      <w:tr w:rsidR="00B631E0" w:rsidRPr="00B8024D" w14:paraId="22442B09" w14:textId="77777777" w:rsidTr="00AA24EF">
        <w:trPr>
          <w:trHeight w:val="479"/>
        </w:trPr>
        <w:tc>
          <w:tcPr>
            <w:tcW w:w="1746" w:type="pct"/>
            <w:vAlign w:val="center"/>
          </w:tcPr>
          <w:p w14:paraId="36362325" w14:textId="02B70B04" w:rsidR="00B631E0" w:rsidRPr="00734A79" w:rsidRDefault="00734A79" w:rsidP="00CD0B54">
            <w:pPr>
              <w:rPr>
                <w:rFonts w:cstheme="minorHAnsi"/>
                <w:bCs/>
                <w:sz w:val="20"/>
                <w:szCs w:val="20"/>
              </w:rPr>
            </w:pPr>
            <w:r>
              <w:rPr>
                <w:rFonts w:cstheme="minorHAnsi"/>
                <w:b/>
                <w:sz w:val="20"/>
                <w:szCs w:val="20"/>
              </w:rPr>
              <w:t xml:space="preserve">66 </w:t>
            </w:r>
            <w:r>
              <w:rPr>
                <w:rFonts w:cstheme="minorHAnsi"/>
                <w:bCs/>
                <w:sz w:val="20"/>
                <w:szCs w:val="20"/>
              </w:rPr>
              <w:t>P</w:t>
            </w:r>
            <w:r w:rsidRPr="00734A79">
              <w:rPr>
                <w:rFonts w:cstheme="minorHAnsi"/>
                <w:sz w:val="20"/>
                <w:szCs w:val="20"/>
              </w:rPr>
              <w:t>rihodi od prodaje proizvoda i robe te pruženih usluga, prihoda od donacija te povrati po protestiranim jamstvima</w:t>
            </w:r>
          </w:p>
        </w:tc>
        <w:tc>
          <w:tcPr>
            <w:tcW w:w="1032" w:type="pct"/>
            <w:vAlign w:val="center"/>
          </w:tcPr>
          <w:p w14:paraId="55EF1D07" w14:textId="76E0A1E6" w:rsidR="00B631E0" w:rsidRDefault="00057F12" w:rsidP="00CD0B54">
            <w:pPr>
              <w:jc w:val="right"/>
              <w:rPr>
                <w:rFonts w:cstheme="minorHAnsi"/>
                <w:bCs/>
                <w:sz w:val="20"/>
                <w:szCs w:val="20"/>
              </w:rPr>
            </w:pPr>
            <w:r>
              <w:rPr>
                <w:rFonts w:cstheme="minorHAnsi"/>
                <w:bCs/>
                <w:sz w:val="20"/>
                <w:szCs w:val="20"/>
              </w:rPr>
              <w:t>1.185,00</w:t>
            </w:r>
          </w:p>
        </w:tc>
        <w:tc>
          <w:tcPr>
            <w:tcW w:w="1111" w:type="pct"/>
            <w:vAlign w:val="center"/>
          </w:tcPr>
          <w:p w14:paraId="51398689" w14:textId="31103F78" w:rsidR="00B631E0" w:rsidRDefault="00057F12" w:rsidP="00CD0B54">
            <w:pPr>
              <w:jc w:val="right"/>
              <w:rPr>
                <w:rFonts w:cstheme="minorHAnsi"/>
                <w:bCs/>
                <w:sz w:val="20"/>
                <w:szCs w:val="20"/>
              </w:rPr>
            </w:pPr>
            <w:r>
              <w:rPr>
                <w:rFonts w:cstheme="minorHAnsi"/>
                <w:bCs/>
                <w:sz w:val="20"/>
                <w:szCs w:val="20"/>
              </w:rPr>
              <w:t>1.200,00</w:t>
            </w:r>
          </w:p>
        </w:tc>
        <w:tc>
          <w:tcPr>
            <w:tcW w:w="1111" w:type="pct"/>
            <w:vAlign w:val="center"/>
          </w:tcPr>
          <w:p w14:paraId="26EB0C50" w14:textId="1947118F" w:rsidR="00B631E0" w:rsidRDefault="00057F12" w:rsidP="00AA24EF">
            <w:pPr>
              <w:jc w:val="right"/>
              <w:rPr>
                <w:rFonts w:cstheme="minorHAnsi"/>
                <w:bCs/>
                <w:sz w:val="20"/>
                <w:szCs w:val="20"/>
              </w:rPr>
            </w:pPr>
            <w:r>
              <w:rPr>
                <w:rFonts w:cstheme="minorHAnsi"/>
                <w:bCs/>
                <w:sz w:val="20"/>
                <w:szCs w:val="20"/>
              </w:rPr>
              <w:t>1.200,00</w:t>
            </w:r>
          </w:p>
        </w:tc>
      </w:tr>
      <w:tr w:rsidR="00734A79" w:rsidRPr="00B8024D" w14:paraId="5290D321" w14:textId="77777777" w:rsidTr="00C47DF3">
        <w:trPr>
          <w:trHeight w:val="479"/>
        </w:trPr>
        <w:tc>
          <w:tcPr>
            <w:tcW w:w="1746" w:type="pct"/>
            <w:shd w:val="clear" w:color="auto" w:fill="E7E6E6" w:themeFill="background2"/>
            <w:vAlign w:val="center"/>
          </w:tcPr>
          <w:p w14:paraId="65919E2E" w14:textId="066F8786" w:rsidR="00734A79" w:rsidRPr="00B8024D" w:rsidRDefault="00734A79" w:rsidP="00C47DF3">
            <w:pPr>
              <w:rPr>
                <w:rFonts w:cstheme="minorHAnsi"/>
                <w:b/>
                <w:sz w:val="20"/>
                <w:szCs w:val="20"/>
              </w:rPr>
            </w:pPr>
            <w:bookmarkStart w:id="5" w:name="_Hlk184300511"/>
            <w:r>
              <w:rPr>
                <w:rFonts w:cstheme="minorHAnsi"/>
                <w:b/>
                <w:sz w:val="20"/>
                <w:szCs w:val="20"/>
              </w:rPr>
              <w:t>7</w:t>
            </w:r>
            <w:r w:rsidRPr="00B8024D">
              <w:rPr>
                <w:rFonts w:cstheme="minorHAnsi"/>
                <w:b/>
                <w:sz w:val="20"/>
                <w:szCs w:val="20"/>
              </w:rPr>
              <w:t xml:space="preserve"> Prihodi </w:t>
            </w:r>
            <w:r>
              <w:rPr>
                <w:rFonts w:cstheme="minorHAnsi"/>
                <w:b/>
                <w:sz w:val="20"/>
                <w:szCs w:val="20"/>
              </w:rPr>
              <w:t>od prodaje nefinancijske imovine</w:t>
            </w:r>
          </w:p>
        </w:tc>
        <w:tc>
          <w:tcPr>
            <w:tcW w:w="1032" w:type="pct"/>
            <w:shd w:val="clear" w:color="auto" w:fill="E7E6E6" w:themeFill="background2"/>
            <w:vAlign w:val="center"/>
          </w:tcPr>
          <w:p w14:paraId="1E6E3988" w14:textId="09AD6DBD" w:rsidR="00734A79" w:rsidRPr="00B8024D" w:rsidRDefault="00057F12" w:rsidP="00C47DF3">
            <w:pPr>
              <w:jc w:val="right"/>
              <w:rPr>
                <w:rFonts w:cstheme="minorHAnsi"/>
                <w:b/>
                <w:sz w:val="20"/>
                <w:szCs w:val="20"/>
              </w:rPr>
            </w:pPr>
            <w:r>
              <w:rPr>
                <w:rFonts w:cstheme="minorHAnsi"/>
                <w:b/>
                <w:sz w:val="20"/>
                <w:szCs w:val="20"/>
              </w:rPr>
              <w:t>60.900,00</w:t>
            </w:r>
          </w:p>
        </w:tc>
        <w:tc>
          <w:tcPr>
            <w:tcW w:w="1111" w:type="pct"/>
            <w:shd w:val="clear" w:color="auto" w:fill="E7E6E6" w:themeFill="background2"/>
            <w:vAlign w:val="center"/>
          </w:tcPr>
          <w:p w14:paraId="05A1E2B0" w14:textId="17D17924" w:rsidR="00734A79" w:rsidRPr="00B8024D" w:rsidRDefault="00057F12" w:rsidP="00C47DF3">
            <w:pPr>
              <w:jc w:val="right"/>
              <w:rPr>
                <w:rFonts w:cstheme="minorHAnsi"/>
                <w:b/>
                <w:sz w:val="20"/>
                <w:szCs w:val="20"/>
              </w:rPr>
            </w:pPr>
            <w:r>
              <w:rPr>
                <w:rFonts w:cstheme="minorHAnsi"/>
                <w:b/>
                <w:sz w:val="20"/>
                <w:szCs w:val="20"/>
              </w:rPr>
              <w:t>70.000,00</w:t>
            </w:r>
          </w:p>
        </w:tc>
        <w:tc>
          <w:tcPr>
            <w:tcW w:w="1111" w:type="pct"/>
            <w:shd w:val="clear" w:color="auto" w:fill="E7E6E6" w:themeFill="background2"/>
            <w:vAlign w:val="center"/>
          </w:tcPr>
          <w:p w14:paraId="2E8229F8" w14:textId="4D3C02F7" w:rsidR="00734A79" w:rsidRPr="00B8024D" w:rsidRDefault="00057F12" w:rsidP="00C47DF3">
            <w:pPr>
              <w:jc w:val="right"/>
              <w:rPr>
                <w:rFonts w:cstheme="minorHAnsi"/>
                <w:b/>
                <w:sz w:val="20"/>
                <w:szCs w:val="20"/>
              </w:rPr>
            </w:pPr>
            <w:r>
              <w:rPr>
                <w:rFonts w:cstheme="minorHAnsi"/>
                <w:b/>
                <w:sz w:val="20"/>
                <w:szCs w:val="20"/>
              </w:rPr>
              <w:t>70.000,00</w:t>
            </w:r>
          </w:p>
        </w:tc>
      </w:tr>
      <w:bookmarkEnd w:id="5"/>
      <w:tr w:rsidR="00734A79" w:rsidRPr="00B8024D" w14:paraId="7408F9B3" w14:textId="77777777" w:rsidTr="00252213">
        <w:trPr>
          <w:trHeight w:val="479"/>
        </w:trPr>
        <w:tc>
          <w:tcPr>
            <w:tcW w:w="1746" w:type="pct"/>
            <w:vAlign w:val="center"/>
          </w:tcPr>
          <w:p w14:paraId="41DB3E7C" w14:textId="62A4068A" w:rsidR="00734A79" w:rsidRDefault="00734A79" w:rsidP="00734A79">
            <w:pPr>
              <w:rPr>
                <w:rFonts w:cstheme="minorHAnsi"/>
                <w:b/>
                <w:sz w:val="20"/>
                <w:szCs w:val="20"/>
              </w:rPr>
            </w:pPr>
            <w:r>
              <w:rPr>
                <w:rFonts w:cstheme="minorHAnsi"/>
                <w:b/>
                <w:sz w:val="20"/>
                <w:szCs w:val="20"/>
              </w:rPr>
              <w:t>7</w:t>
            </w:r>
            <w:r w:rsidRPr="00B8024D">
              <w:rPr>
                <w:rFonts w:cstheme="minorHAnsi"/>
                <w:b/>
                <w:sz w:val="20"/>
                <w:szCs w:val="20"/>
              </w:rPr>
              <w:t>1</w:t>
            </w:r>
            <w:r w:rsidRPr="00B8024D">
              <w:rPr>
                <w:rFonts w:cstheme="minorHAnsi"/>
                <w:bCs/>
                <w:sz w:val="20"/>
                <w:szCs w:val="20"/>
              </w:rPr>
              <w:t xml:space="preserve">  Prihodi od p</w:t>
            </w:r>
            <w:r>
              <w:rPr>
                <w:rFonts w:cstheme="minorHAnsi"/>
                <w:bCs/>
                <w:sz w:val="20"/>
                <w:szCs w:val="20"/>
              </w:rPr>
              <w:t>rodaje neproizvedene dugotrajne imovine</w:t>
            </w:r>
          </w:p>
        </w:tc>
        <w:tc>
          <w:tcPr>
            <w:tcW w:w="1032" w:type="pct"/>
            <w:vAlign w:val="center"/>
          </w:tcPr>
          <w:p w14:paraId="12F8E395" w14:textId="472CCECF" w:rsidR="00734A79" w:rsidRPr="00057F12" w:rsidRDefault="00057F12" w:rsidP="00734A79">
            <w:pPr>
              <w:jc w:val="right"/>
              <w:rPr>
                <w:rFonts w:cstheme="minorHAnsi"/>
                <w:bCs/>
                <w:sz w:val="20"/>
                <w:szCs w:val="20"/>
              </w:rPr>
            </w:pPr>
            <w:r w:rsidRPr="00057F12">
              <w:rPr>
                <w:rFonts w:cstheme="minorHAnsi"/>
                <w:bCs/>
                <w:sz w:val="20"/>
                <w:szCs w:val="20"/>
              </w:rPr>
              <w:t>60.900,00</w:t>
            </w:r>
          </w:p>
        </w:tc>
        <w:tc>
          <w:tcPr>
            <w:tcW w:w="1111" w:type="pct"/>
            <w:vAlign w:val="center"/>
          </w:tcPr>
          <w:p w14:paraId="713F8F03" w14:textId="07261D96" w:rsidR="00734A79" w:rsidRPr="00057F12" w:rsidRDefault="00057F12" w:rsidP="00734A79">
            <w:pPr>
              <w:jc w:val="right"/>
              <w:rPr>
                <w:rFonts w:cstheme="minorHAnsi"/>
                <w:bCs/>
                <w:sz w:val="20"/>
                <w:szCs w:val="20"/>
              </w:rPr>
            </w:pPr>
            <w:r w:rsidRPr="00057F12">
              <w:rPr>
                <w:rFonts w:cstheme="minorHAnsi"/>
                <w:bCs/>
                <w:sz w:val="20"/>
                <w:szCs w:val="20"/>
              </w:rPr>
              <w:t>70.000,00</w:t>
            </w:r>
          </w:p>
        </w:tc>
        <w:tc>
          <w:tcPr>
            <w:tcW w:w="1111" w:type="pct"/>
            <w:vAlign w:val="center"/>
          </w:tcPr>
          <w:p w14:paraId="2E5E55A9" w14:textId="43635CDD" w:rsidR="00734A79" w:rsidRPr="00057F12" w:rsidRDefault="00057F12" w:rsidP="00734A79">
            <w:pPr>
              <w:jc w:val="right"/>
              <w:rPr>
                <w:rFonts w:cstheme="minorHAnsi"/>
                <w:bCs/>
                <w:sz w:val="20"/>
                <w:szCs w:val="20"/>
              </w:rPr>
            </w:pPr>
            <w:r w:rsidRPr="00057F12">
              <w:rPr>
                <w:rFonts w:cstheme="minorHAnsi"/>
                <w:bCs/>
                <w:sz w:val="20"/>
                <w:szCs w:val="20"/>
              </w:rPr>
              <w:t>70.000,00</w:t>
            </w:r>
          </w:p>
        </w:tc>
      </w:tr>
      <w:tr w:rsidR="00427F4B" w:rsidRPr="00B8024D" w14:paraId="154914E3" w14:textId="77777777" w:rsidTr="00C47DF3">
        <w:trPr>
          <w:trHeight w:val="479"/>
        </w:trPr>
        <w:tc>
          <w:tcPr>
            <w:tcW w:w="1746" w:type="pct"/>
            <w:shd w:val="clear" w:color="auto" w:fill="E7E6E6" w:themeFill="background2"/>
            <w:vAlign w:val="center"/>
          </w:tcPr>
          <w:p w14:paraId="677A261C" w14:textId="5A5A594D" w:rsidR="00427F4B" w:rsidRPr="00B8024D" w:rsidRDefault="00427F4B" w:rsidP="00C47DF3">
            <w:pPr>
              <w:rPr>
                <w:rFonts w:cstheme="minorHAnsi"/>
                <w:b/>
                <w:sz w:val="20"/>
                <w:szCs w:val="20"/>
              </w:rPr>
            </w:pPr>
            <w:r>
              <w:rPr>
                <w:rFonts w:cstheme="minorHAnsi"/>
                <w:b/>
                <w:sz w:val="20"/>
                <w:szCs w:val="20"/>
              </w:rPr>
              <w:t>92</w:t>
            </w:r>
            <w:r w:rsidRPr="00B8024D">
              <w:rPr>
                <w:rFonts w:cstheme="minorHAnsi"/>
                <w:b/>
                <w:sz w:val="20"/>
                <w:szCs w:val="20"/>
              </w:rPr>
              <w:t xml:space="preserve"> </w:t>
            </w:r>
            <w:r>
              <w:rPr>
                <w:rFonts w:cstheme="minorHAnsi"/>
                <w:b/>
                <w:sz w:val="20"/>
                <w:szCs w:val="20"/>
              </w:rPr>
              <w:t>Višak prihoda iz prethodne godine</w:t>
            </w:r>
          </w:p>
        </w:tc>
        <w:tc>
          <w:tcPr>
            <w:tcW w:w="1032" w:type="pct"/>
            <w:shd w:val="clear" w:color="auto" w:fill="E7E6E6" w:themeFill="background2"/>
            <w:vAlign w:val="center"/>
          </w:tcPr>
          <w:p w14:paraId="5414E58D" w14:textId="2F4B3582" w:rsidR="00427F4B" w:rsidRPr="00B8024D" w:rsidRDefault="00427F4B" w:rsidP="00C47DF3">
            <w:pPr>
              <w:jc w:val="right"/>
              <w:rPr>
                <w:rFonts w:cstheme="minorHAnsi"/>
                <w:b/>
                <w:sz w:val="20"/>
                <w:szCs w:val="20"/>
              </w:rPr>
            </w:pPr>
            <w:r>
              <w:rPr>
                <w:rFonts w:cstheme="minorHAnsi"/>
                <w:b/>
                <w:sz w:val="20"/>
                <w:szCs w:val="20"/>
              </w:rPr>
              <w:t>150.000,00</w:t>
            </w:r>
          </w:p>
        </w:tc>
        <w:tc>
          <w:tcPr>
            <w:tcW w:w="1111" w:type="pct"/>
            <w:shd w:val="clear" w:color="auto" w:fill="E7E6E6" w:themeFill="background2"/>
            <w:vAlign w:val="center"/>
          </w:tcPr>
          <w:p w14:paraId="40B722D9" w14:textId="0FC38E17" w:rsidR="00427F4B" w:rsidRPr="00B8024D" w:rsidRDefault="00427F4B" w:rsidP="00C47DF3">
            <w:pPr>
              <w:jc w:val="right"/>
              <w:rPr>
                <w:rFonts w:cstheme="minorHAnsi"/>
                <w:b/>
                <w:sz w:val="20"/>
                <w:szCs w:val="20"/>
              </w:rPr>
            </w:pPr>
            <w:r>
              <w:rPr>
                <w:rFonts w:cstheme="minorHAnsi"/>
                <w:b/>
                <w:sz w:val="20"/>
                <w:szCs w:val="20"/>
              </w:rPr>
              <w:t>0,00</w:t>
            </w:r>
          </w:p>
        </w:tc>
        <w:tc>
          <w:tcPr>
            <w:tcW w:w="1111" w:type="pct"/>
            <w:shd w:val="clear" w:color="auto" w:fill="E7E6E6" w:themeFill="background2"/>
            <w:vAlign w:val="center"/>
          </w:tcPr>
          <w:p w14:paraId="4CC0A364" w14:textId="01FCAFEC" w:rsidR="00427F4B" w:rsidRPr="00B8024D" w:rsidRDefault="00427F4B" w:rsidP="00C47DF3">
            <w:pPr>
              <w:jc w:val="right"/>
              <w:rPr>
                <w:rFonts w:cstheme="minorHAnsi"/>
                <w:b/>
                <w:sz w:val="20"/>
                <w:szCs w:val="20"/>
              </w:rPr>
            </w:pPr>
            <w:r>
              <w:rPr>
                <w:rFonts w:cstheme="minorHAnsi"/>
                <w:b/>
                <w:sz w:val="20"/>
                <w:szCs w:val="20"/>
              </w:rPr>
              <w:t>0,00</w:t>
            </w:r>
          </w:p>
        </w:tc>
      </w:tr>
    </w:tbl>
    <w:p w14:paraId="635D8165" w14:textId="77777777" w:rsidR="00AC087B" w:rsidRPr="001F1F69" w:rsidRDefault="00AC087B" w:rsidP="00952A8D">
      <w:pPr>
        <w:spacing w:after="0"/>
        <w:jc w:val="both"/>
        <w:rPr>
          <w:rFonts w:cstheme="minorHAnsi"/>
          <w:bCs/>
          <w:color w:val="4472C4" w:themeColor="accent1"/>
          <w:sz w:val="24"/>
          <w:szCs w:val="24"/>
        </w:rPr>
      </w:pPr>
    </w:p>
    <w:p w14:paraId="1C0CECFE" w14:textId="77777777" w:rsidR="00D176CE" w:rsidRDefault="00D176CE" w:rsidP="00952A8D">
      <w:pPr>
        <w:spacing w:after="0"/>
        <w:jc w:val="both"/>
        <w:rPr>
          <w:rFonts w:cstheme="minorHAnsi"/>
          <w:b/>
          <w:color w:val="4472C4" w:themeColor="accent1"/>
          <w:sz w:val="24"/>
          <w:szCs w:val="24"/>
        </w:rPr>
      </w:pPr>
    </w:p>
    <w:p w14:paraId="14727036" w14:textId="77777777" w:rsidR="002473DE" w:rsidRDefault="002473DE" w:rsidP="00952A8D">
      <w:pPr>
        <w:spacing w:after="0"/>
        <w:jc w:val="both"/>
        <w:rPr>
          <w:rFonts w:cstheme="minorHAnsi"/>
          <w:b/>
          <w:color w:val="4472C4" w:themeColor="accent1"/>
          <w:sz w:val="24"/>
          <w:szCs w:val="24"/>
        </w:rPr>
      </w:pPr>
    </w:p>
    <w:p w14:paraId="38BC9A55" w14:textId="77777777" w:rsidR="00A57A5F" w:rsidRDefault="00A57A5F" w:rsidP="00952A8D">
      <w:pPr>
        <w:spacing w:after="0"/>
        <w:jc w:val="both"/>
        <w:rPr>
          <w:rFonts w:cstheme="minorHAnsi"/>
          <w:b/>
          <w:color w:val="4472C4" w:themeColor="accent1"/>
          <w:sz w:val="24"/>
          <w:szCs w:val="24"/>
        </w:rPr>
      </w:pPr>
    </w:p>
    <w:p w14:paraId="14692B6E" w14:textId="3763C2E4" w:rsidR="00350570" w:rsidRDefault="00734E42" w:rsidP="00952A8D">
      <w:pPr>
        <w:spacing w:after="0"/>
        <w:jc w:val="both"/>
        <w:rPr>
          <w:rFonts w:cstheme="minorHAnsi"/>
          <w:b/>
          <w:color w:val="4472C4" w:themeColor="accent1"/>
          <w:sz w:val="24"/>
          <w:szCs w:val="24"/>
        </w:rPr>
      </w:pPr>
      <w:r w:rsidRPr="00833E11">
        <w:rPr>
          <w:rFonts w:cstheme="minorHAnsi"/>
          <w:b/>
          <w:color w:val="4472C4" w:themeColor="accent1"/>
          <w:sz w:val="24"/>
          <w:szCs w:val="24"/>
        </w:rPr>
        <w:t>RASHODI I IZDACI</w:t>
      </w:r>
    </w:p>
    <w:p w14:paraId="64C84E86" w14:textId="1DF398CD" w:rsidR="00952A8D" w:rsidRDefault="00952A8D" w:rsidP="00952A8D">
      <w:pPr>
        <w:spacing w:after="0"/>
        <w:jc w:val="both"/>
        <w:rPr>
          <w:rFonts w:cstheme="minorHAnsi"/>
          <w:b/>
          <w:color w:val="4472C4" w:themeColor="accent1"/>
          <w:sz w:val="24"/>
          <w:szCs w:val="24"/>
        </w:rPr>
      </w:pPr>
    </w:p>
    <w:p w14:paraId="2539B8B5" w14:textId="2415A1E9" w:rsidR="00552373" w:rsidRPr="00552373" w:rsidRDefault="00552373" w:rsidP="00552373">
      <w:pPr>
        <w:jc w:val="both"/>
        <w:rPr>
          <w:rFonts w:ascii="Calibri" w:hAnsi="Calibri" w:cs="Arial"/>
        </w:rPr>
      </w:pPr>
      <w:r w:rsidRPr="00E96D40">
        <w:rPr>
          <w:rFonts w:ascii="Calibri" w:hAnsi="Calibri" w:cs="Arial"/>
        </w:rPr>
        <w:t>Prikupljene prihode vlasti općine koriste za unapređenje kvalitete života mještana na svom području. To se odnosi na uređenje naselja i stanovanja, brigu o djeci i socijalnu skrb, zdravstvenu zaštitu, obrazovanje, šport, kulturu, zaštitu okoliša, civilnu zaštitu i ostalo.</w:t>
      </w:r>
    </w:p>
    <w:p w14:paraId="52B06195" w14:textId="122D9A82" w:rsidR="00F53E11" w:rsidRPr="00F53E11" w:rsidRDefault="00614B8F" w:rsidP="00F53E11">
      <w:pPr>
        <w:spacing w:after="0"/>
        <w:jc w:val="both"/>
        <w:rPr>
          <w:rFonts w:eastAsia="Times New Roman" w:cstheme="minorHAnsi"/>
          <w:b/>
          <w:bCs/>
          <w:color w:val="808080" w:themeColor="background1" w:themeShade="80"/>
          <w:sz w:val="24"/>
          <w:szCs w:val="24"/>
        </w:rPr>
      </w:pPr>
      <w:r w:rsidRPr="00F01907">
        <w:rPr>
          <w:rFonts w:cstheme="minorHAnsi"/>
          <w:b/>
          <w:bCs/>
          <w:color w:val="323E4F" w:themeColor="text2" w:themeShade="BF"/>
          <w:sz w:val="24"/>
          <w:szCs w:val="24"/>
        </w:rPr>
        <w:t xml:space="preserve">Ukupni rashodi i izdaci Općine </w:t>
      </w:r>
      <w:r w:rsidR="00F53E11">
        <w:rPr>
          <w:rFonts w:cstheme="minorHAnsi"/>
          <w:b/>
          <w:bCs/>
          <w:color w:val="323E4F" w:themeColor="text2" w:themeShade="BF"/>
          <w:sz w:val="24"/>
          <w:szCs w:val="24"/>
        </w:rPr>
        <w:t>Gornja Rijeka</w:t>
      </w:r>
      <w:r w:rsidR="005606BA">
        <w:rPr>
          <w:rFonts w:cstheme="minorHAnsi"/>
          <w:b/>
          <w:bCs/>
          <w:color w:val="323E4F" w:themeColor="text2" w:themeShade="BF"/>
          <w:sz w:val="24"/>
          <w:szCs w:val="24"/>
        </w:rPr>
        <w:t xml:space="preserve"> </w:t>
      </w:r>
      <w:r w:rsidRPr="00F01907">
        <w:rPr>
          <w:rFonts w:cstheme="minorHAnsi"/>
          <w:b/>
          <w:bCs/>
          <w:color w:val="323E4F" w:themeColor="text2" w:themeShade="BF"/>
          <w:sz w:val="24"/>
          <w:szCs w:val="24"/>
        </w:rPr>
        <w:t>za 202</w:t>
      </w:r>
      <w:r w:rsidR="00E06DA4">
        <w:rPr>
          <w:rFonts w:cstheme="minorHAnsi"/>
          <w:b/>
          <w:bCs/>
          <w:color w:val="323E4F" w:themeColor="text2" w:themeShade="BF"/>
          <w:sz w:val="24"/>
          <w:szCs w:val="24"/>
        </w:rPr>
        <w:t>5</w:t>
      </w:r>
      <w:r w:rsidRPr="00F01907">
        <w:rPr>
          <w:rFonts w:cstheme="minorHAnsi"/>
          <w:b/>
          <w:bCs/>
          <w:color w:val="323E4F" w:themeColor="text2" w:themeShade="BF"/>
          <w:sz w:val="24"/>
          <w:szCs w:val="24"/>
        </w:rPr>
        <w:t xml:space="preserve">. godinu planirani su u iznosu od </w:t>
      </w:r>
      <w:r w:rsidR="00E06DA4">
        <w:rPr>
          <w:rFonts w:cstheme="minorHAnsi"/>
          <w:b/>
          <w:bCs/>
          <w:color w:val="323E4F" w:themeColor="text2" w:themeShade="BF"/>
          <w:sz w:val="24"/>
          <w:szCs w:val="24"/>
        </w:rPr>
        <w:t>2.080.000,00</w:t>
      </w:r>
      <w:r w:rsidR="00EA6601">
        <w:rPr>
          <w:rFonts w:cstheme="minorHAnsi"/>
          <w:b/>
          <w:bCs/>
          <w:color w:val="323E4F" w:themeColor="text2" w:themeShade="BF"/>
          <w:sz w:val="24"/>
          <w:szCs w:val="24"/>
        </w:rPr>
        <w:t xml:space="preserve"> </w:t>
      </w:r>
      <w:r w:rsidRPr="00F01907">
        <w:rPr>
          <w:rFonts w:cstheme="minorHAnsi"/>
          <w:b/>
          <w:bCs/>
          <w:color w:val="323E4F" w:themeColor="text2" w:themeShade="BF"/>
          <w:sz w:val="24"/>
          <w:szCs w:val="24"/>
        </w:rPr>
        <w:t>eura</w:t>
      </w:r>
      <w:r w:rsidR="00F53E11">
        <w:rPr>
          <w:rFonts w:cstheme="minorHAnsi"/>
          <w:b/>
          <w:bCs/>
          <w:color w:val="323E4F" w:themeColor="text2" w:themeShade="BF"/>
          <w:sz w:val="24"/>
          <w:szCs w:val="24"/>
        </w:rPr>
        <w:t xml:space="preserve">, a čine </w:t>
      </w:r>
      <w:r w:rsidR="00F53E11" w:rsidRPr="00F53E11">
        <w:rPr>
          <w:rFonts w:cstheme="minorHAnsi"/>
          <w:b/>
          <w:bCs/>
          <w:color w:val="404040" w:themeColor="text1" w:themeTint="BF"/>
          <w:sz w:val="24"/>
          <w:szCs w:val="24"/>
        </w:rPr>
        <w:t xml:space="preserve">ih </w:t>
      </w:r>
      <w:r w:rsidR="00F53E11" w:rsidRPr="00F53E11">
        <w:rPr>
          <w:rFonts w:eastAsia="Times New Roman" w:cstheme="minorHAnsi"/>
          <w:b/>
          <w:bCs/>
          <w:color w:val="404040" w:themeColor="text1" w:themeTint="BF"/>
          <w:sz w:val="24"/>
          <w:szCs w:val="24"/>
        </w:rPr>
        <w:t>rashodi poslovanja u iznos</w:t>
      </w:r>
      <w:r w:rsidR="00F53E11">
        <w:rPr>
          <w:rFonts w:eastAsia="Times New Roman" w:cstheme="minorHAnsi"/>
          <w:b/>
          <w:bCs/>
          <w:color w:val="404040" w:themeColor="text1" w:themeTint="BF"/>
          <w:sz w:val="24"/>
          <w:szCs w:val="24"/>
        </w:rPr>
        <w:t>u od</w:t>
      </w:r>
      <w:r w:rsidR="00F53E11" w:rsidRPr="00F53E11">
        <w:rPr>
          <w:rFonts w:eastAsia="Times New Roman" w:cstheme="minorHAnsi"/>
          <w:b/>
          <w:bCs/>
          <w:color w:val="404040" w:themeColor="text1" w:themeTint="BF"/>
          <w:sz w:val="24"/>
          <w:szCs w:val="24"/>
        </w:rPr>
        <w:t xml:space="preserve"> </w:t>
      </w:r>
      <w:r w:rsidR="00E06DA4">
        <w:rPr>
          <w:rFonts w:eastAsia="Times New Roman" w:cstheme="minorHAnsi"/>
          <w:b/>
          <w:bCs/>
          <w:color w:val="404040" w:themeColor="text1" w:themeTint="BF"/>
          <w:sz w:val="24"/>
          <w:szCs w:val="24"/>
        </w:rPr>
        <w:t>1.057.700,00</w:t>
      </w:r>
      <w:r w:rsidR="00F53E11" w:rsidRPr="00F53E11">
        <w:rPr>
          <w:rFonts w:eastAsia="Times New Roman" w:cstheme="minorHAnsi"/>
          <w:b/>
          <w:bCs/>
          <w:color w:val="404040" w:themeColor="text1" w:themeTint="BF"/>
          <w:sz w:val="24"/>
          <w:szCs w:val="24"/>
        </w:rPr>
        <w:t xml:space="preserve"> eura, rashodi za nabavu nefinancijske imovine </w:t>
      </w:r>
      <w:r w:rsidR="00F53E11">
        <w:rPr>
          <w:rFonts w:eastAsia="Times New Roman" w:cstheme="minorHAnsi"/>
          <w:b/>
          <w:bCs/>
          <w:color w:val="404040" w:themeColor="text1" w:themeTint="BF"/>
          <w:sz w:val="24"/>
          <w:szCs w:val="24"/>
        </w:rPr>
        <w:t xml:space="preserve">u iznosu od </w:t>
      </w:r>
      <w:r w:rsidR="00E06DA4">
        <w:rPr>
          <w:rFonts w:eastAsia="Times New Roman" w:cstheme="minorHAnsi"/>
          <w:b/>
          <w:bCs/>
          <w:color w:val="404040" w:themeColor="text1" w:themeTint="BF"/>
          <w:sz w:val="24"/>
          <w:szCs w:val="24"/>
        </w:rPr>
        <w:t>1.021.300,00</w:t>
      </w:r>
      <w:r w:rsidR="00F53E11" w:rsidRPr="00F53E11">
        <w:rPr>
          <w:rFonts w:eastAsia="Times New Roman" w:cstheme="minorHAnsi"/>
          <w:b/>
          <w:bCs/>
          <w:color w:val="404040" w:themeColor="text1" w:themeTint="BF"/>
          <w:sz w:val="24"/>
          <w:szCs w:val="24"/>
        </w:rPr>
        <w:t xml:space="preserve"> eura</w:t>
      </w:r>
      <w:r w:rsidR="00DB1B80">
        <w:rPr>
          <w:rFonts w:eastAsia="Times New Roman" w:cstheme="minorHAnsi"/>
          <w:b/>
          <w:bCs/>
          <w:color w:val="404040" w:themeColor="text1" w:themeTint="BF"/>
          <w:sz w:val="24"/>
          <w:szCs w:val="24"/>
        </w:rPr>
        <w:t xml:space="preserve"> i</w:t>
      </w:r>
      <w:r w:rsidR="00F53E11" w:rsidRPr="00F53E11">
        <w:rPr>
          <w:rFonts w:eastAsia="Times New Roman" w:cstheme="minorHAnsi"/>
          <w:b/>
          <w:bCs/>
          <w:color w:val="404040" w:themeColor="text1" w:themeTint="BF"/>
          <w:sz w:val="24"/>
          <w:szCs w:val="24"/>
        </w:rPr>
        <w:t xml:space="preserve"> izdaci za financijsku imovinu i otplate zajmova u iznosu </w:t>
      </w:r>
      <w:r w:rsidR="00DB1B80">
        <w:rPr>
          <w:rFonts w:eastAsia="Times New Roman" w:cstheme="minorHAnsi"/>
          <w:b/>
          <w:bCs/>
          <w:color w:val="404040" w:themeColor="text1" w:themeTint="BF"/>
          <w:sz w:val="24"/>
          <w:szCs w:val="24"/>
        </w:rPr>
        <w:t xml:space="preserve">od </w:t>
      </w:r>
      <w:r w:rsidR="00E06DA4">
        <w:rPr>
          <w:rFonts w:eastAsia="Times New Roman" w:cstheme="minorHAnsi"/>
          <w:b/>
          <w:bCs/>
          <w:color w:val="404040" w:themeColor="text1" w:themeTint="BF"/>
          <w:sz w:val="24"/>
          <w:szCs w:val="24"/>
        </w:rPr>
        <w:t>1</w:t>
      </w:r>
      <w:r w:rsidR="00F53E11" w:rsidRPr="00F53E11">
        <w:rPr>
          <w:rFonts w:eastAsia="Times New Roman" w:cstheme="minorHAnsi"/>
          <w:b/>
          <w:bCs/>
          <w:color w:val="404040" w:themeColor="text1" w:themeTint="BF"/>
          <w:sz w:val="24"/>
          <w:szCs w:val="24"/>
        </w:rPr>
        <w:t xml:space="preserve">.000,00 eura. </w:t>
      </w:r>
    </w:p>
    <w:p w14:paraId="41A4EE05" w14:textId="77777777" w:rsidR="00614B8F" w:rsidRPr="00F01907" w:rsidRDefault="00614B8F" w:rsidP="00614B8F">
      <w:pPr>
        <w:spacing w:after="0"/>
        <w:jc w:val="both"/>
        <w:rPr>
          <w:rFonts w:cstheme="minorHAnsi"/>
          <w:b/>
          <w:bCs/>
          <w:color w:val="323E4F" w:themeColor="text2" w:themeShade="BF"/>
          <w:sz w:val="24"/>
          <w:szCs w:val="24"/>
        </w:rPr>
      </w:pPr>
    </w:p>
    <w:p w14:paraId="6F4C157F" w14:textId="77777777" w:rsidR="00614B8F" w:rsidRPr="00F01907" w:rsidRDefault="00614B8F" w:rsidP="00614B8F">
      <w:pPr>
        <w:spacing w:after="0"/>
        <w:jc w:val="both"/>
        <w:rPr>
          <w:rFonts w:cstheme="minorHAnsi"/>
          <w:b/>
          <w:bCs/>
          <w:color w:val="323E4F" w:themeColor="text2" w:themeShade="BF"/>
          <w:sz w:val="24"/>
          <w:szCs w:val="24"/>
        </w:rPr>
      </w:pPr>
      <w:r w:rsidRPr="00F01907">
        <w:rPr>
          <w:rFonts w:cstheme="minorHAnsi"/>
          <w:b/>
          <w:bCs/>
          <w:color w:val="323E4F" w:themeColor="text2" w:themeShade="BF"/>
          <w:sz w:val="24"/>
          <w:szCs w:val="24"/>
        </w:rPr>
        <w:t>Rashodi poslovanja</w:t>
      </w:r>
    </w:p>
    <w:p w14:paraId="54E1A79D" w14:textId="77777777" w:rsidR="00614B8F" w:rsidRPr="00F01907" w:rsidRDefault="00614B8F" w:rsidP="00614B8F">
      <w:pPr>
        <w:spacing w:after="0"/>
        <w:jc w:val="both"/>
        <w:rPr>
          <w:rFonts w:cstheme="minorHAnsi"/>
          <w:b/>
          <w:bCs/>
          <w:color w:val="323E4F" w:themeColor="text2" w:themeShade="BF"/>
          <w:sz w:val="24"/>
          <w:szCs w:val="24"/>
        </w:rPr>
      </w:pPr>
    </w:p>
    <w:p w14:paraId="379D39B3" w14:textId="09D21D70" w:rsidR="00614B8F" w:rsidRPr="00F01907" w:rsidRDefault="00614B8F" w:rsidP="00614B8F">
      <w:pPr>
        <w:spacing w:after="0"/>
        <w:jc w:val="both"/>
        <w:rPr>
          <w:rFonts w:cstheme="minorHAnsi"/>
          <w:color w:val="323E4F" w:themeColor="text2" w:themeShade="BF"/>
          <w:sz w:val="24"/>
          <w:szCs w:val="24"/>
        </w:rPr>
      </w:pPr>
      <w:r w:rsidRPr="00A43931">
        <w:rPr>
          <w:rFonts w:cstheme="minorHAnsi"/>
          <w:b/>
          <w:bCs/>
          <w:color w:val="323E4F" w:themeColor="text2" w:themeShade="BF"/>
          <w:sz w:val="24"/>
          <w:szCs w:val="24"/>
        </w:rPr>
        <w:t>Rashodi poslovanja</w:t>
      </w:r>
      <w:r w:rsidRPr="00F01907">
        <w:rPr>
          <w:rFonts w:cstheme="minorHAnsi"/>
          <w:color w:val="323E4F" w:themeColor="text2" w:themeShade="BF"/>
          <w:sz w:val="24"/>
          <w:szCs w:val="24"/>
        </w:rPr>
        <w:t xml:space="preserve"> planirani su u iznosu od </w:t>
      </w:r>
      <w:r w:rsidR="00794FBF">
        <w:rPr>
          <w:rFonts w:cstheme="minorHAnsi"/>
          <w:b/>
          <w:bCs/>
          <w:color w:val="323E4F" w:themeColor="text2" w:themeShade="BF"/>
          <w:sz w:val="24"/>
          <w:szCs w:val="24"/>
        </w:rPr>
        <w:t>1.057.700</w:t>
      </w:r>
      <w:r w:rsidR="00873BB2">
        <w:rPr>
          <w:rFonts w:cstheme="minorHAnsi"/>
          <w:b/>
          <w:bCs/>
          <w:color w:val="323E4F" w:themeColor="text2" w:themeShade="BF"/>
          <w:sz w:val="24"/>
          <w:szCs w:val="24"/>
        </w:rPr>
        <w:t>,00</w:t>
      </w:r>
      <w:r w:rsidR="00504004" w:rsidRPr="00A43931">
        <w:rPr>
          <w:rFonts w:cstheme="minorHAnsi"/>
          <w:b/>
          <w:bCs/>
          <w:color w:val="323E4F" w:themeColor="text2" w:themeShade="BF"/>
          <w:sz w:val="24"/>
          <w:szCs w:val="24"/>
        </w:rPr>
        <w:t xml:space="preserve"> </w:t>
      </w:r>
      <w:r w:rsidRPr="00A43931">
        <w:rPr>
          <w:rFonts w:cstheme="minorHAnsi"/>
          <w:b/>
          <w:bCs/>
          <w:color w:val="323E4F" w:themeColor="text2" w:themeShade="BF"/>
          <w:sz w:val="24"/>
          <w:szCs w:val="24"/>
        </w:rPr>
        <w:t>eura</w:t>
      </w:r>
      <w:r w:rsidRPr="00F01907">
        <w:rPr>
          <w:rFonts w:cstheme="minorHAnsi"/>
          <w:color w:val="323E4F" w:themeColor="text2" w:themeShade="BF"/>
          <w:sz w:val="24"/>
          <w:szCs w:val="24"/>
        </w:rPr>
        <w:t>, a čine ih:</w:t>
      </w:r>
    </w:p>
    <w:p w14:paraId="15619E99" w14:textId="4B7D9591" w:rsidR="00614B8F" w:rsidRPr="00F01907" w:rsidRDefault="00614B8F" w:rsidP="00614B8F">
      <w:pPr>
        <w:spacing w:after="0"/>
        <w:jc w:val="both"/>
        <w:rPr>
          <w:rFonts w:cstheme="minorHAnsi"/>
          <w:color w:val="323E4F" w:themeColor="text2" w:themeShade="BF"/>
          <w:sz w:val="24"/>
          <w:szCs w:val="24"/>
        </w:rPr>
      </w:pPr>
      <w:r w:rsidRPr="00F01907">
        <w:rPr>
          <w:rFonts w:cstheme="minorHAnsi"/>
          <w:color w:val="323E4F" w:themeColor="text2" w:themeShade="BF"/>
          <w:sz w:val="24"/>
          <w:szCs w:val="24"/>
        </w:rPr>
        <w:t xml:space="preserve">1. </w:t>
      </w:r>
      <w:r w:rsidRPr="003F1E75">
        <w:rPr>
          <w:rFonts w:cstheme="minorHAnsi"/>
          <w:b/>
          <w:bCs/>
          <w:color w:val="323E4F" w:themeColor="text2" w:themeShade="BF"/>
          <w:sz w:val="24"/>
          <w:szCs w:val="24"/>
        </w:rPr>
        <w:t>Rashodi za zaposlene</w:t>
      </w:r>
      <w:r w:rsidRPr="00F01907">
        <w:rPr>
          <w:rFonts w:cstheme="minorHAnsi"/>
          <w:color w:val="323E4F" w:themeColor="text2" w:themeShade="BF"/>
          <w:sz w:val="24"/>
          <w:szCs w:val="24"/>
        </w:rPr>
        <w:t xml:space="preserve"> planirani u iznosu od </w:t>
      </w:r>
      <w:r w:rsidR="00794FBF">
        <w:rPr>
          <w:rFonts w:cstheme="minorHAnsi"/>
          <w:b/>
          <w:bCs/>
          <w:color w:val="323E4F" w:themeColor="text2" w:themeShade="BF"/>
          <w:sz w:val="24"/>
          <w:szCs w:val="24"/>
        </w:rPr>
        <w:t>335.450,00</w:t>
      </w:r>
      <w:r w:rsidRPr="003F1E75">
        <w:rPr>
          <w:rFonts w:cstheme="minorHAnsi"/>
          <w:b/>
          <w:bCs/>
          <w:color w:val="323E4F" w:themeColor="text2" w:themeShade="BF"/>
          <w:sz w:val="24"/>
          <w:szCs w:val="24"/>
        </w:rPr>
        <w:t xml:space="preserve"> eura</w:t>
      </w:r>
      <w:r w:rsidR="00D77CB3">
        <w:rPr>
          <w:rFonts w:cstheme="minorHAnsi"/>
          <w:color w:val="323E4F" w:themeColor="text2" w:themeShade="BF"/>
          <w:sz w:val="24"/>
          <w:szCs w:val="24"/>
        </w:rPr>
        <w:t xml:space="preserve"> (</w:t>
      </w:r>
      <w:r w:rsidR="00794FBF">
        <w:rPr>
          <w:rFonts w:cstheme="minorHAnsi"/>
          <w:color w:val="323E4F" w:themeColor="text2" w:themeShade="BF"/>
          <w:sz w:val="24"/>
          <w:szCs w:val="24"/>
        </w:rPr>
        <w:t>243.468,00</w:t>
      </w:r>
      <w:r w:rsidR="00D77CB3">
        <w:rPr>
          <w:rFonts w:cstheme="minorHAnsi"/>
          <w:color w:val="323E4F" w:themeColor="text2" w:themeShade="BF"/>
          <w:sz w:val="24"/>
          <w:szCs w:val="24"/>
        </w:rPr>
        <w:t xml:space="preserve"> eura financirano iz općih prihoda i primitaka, </w:t>
      </w:r>
      <w:r w:rsidR="00794FBF">
        <w:rPr>
          <w:rFonts w:cstheme="minorHAnsi"/>
          <w:color w:val="323E4F" w:themeColor="text2" w:themeShade="BF"/>
          <w:sz w:val="24"/>
          <w:szCs w:val="24"/>
        </w:rPr>
        <w:t>76.481,00</w:t>
      </w:r>
      <w:r w:rsidR="00D77CB3">
        <w:rPr>
          <w:rFonts w:cstheme="minorHAnsi"/>
          <w:color w:val="323E4F" w:themeColor="text2" w:themeShade="BF"/>
          <w:sz w:val="24"/>
          <w:szCs w:val="24"/>
        </w:rPr>
        <w:t xml:space="preserve"> eura financirano iz pomoći proračunu iz drugih proračuna i </w:t>
      </w:r>
      <w:r w:rsidR="00794FBF">
        <w:rPr>
          <w:rFonts w:cstheme="minorHAnsi"/>
          <w:color w:val="323E4F" w:themeColor="text2" w:themeShade="BF"/>
          <w:sz w:val="24"/>
          <w:szCs w:val="24"/>
        </w:rPr>
        <w:t>15.501,00</w:t>
      </w:r>
      <w:r w:rsidR="00D77CB3">
        <w:rPr>
          <w:rFonts w:cstheme="minorHAnsi"/>
          <w:color w:val="323E4F" w:themeColor="text2" w:themeShade="BF"/>
          <w:sz w:val="24"/>
          <w:szCs w:val="24"/>
        </w:rPr>
        <w:t xml:space="preserve"> eura financirano iz</w:t>
      </w:r>
      <w:r w:rsidR="00873BB2">
        <w:rPr>
          <w:rFonts w:cstheme="minorHAnsi"/>
          <w:color w:val="323E4F" w:themeColor="text2" w:themeShade="BF"/>
          <w:sz w:val="24"/>
          <w:szCs w:val="24"/>
        </w:rPr>
        <w:t xml:space="preserve"> vlastitih izvora proračunskog korisnika</w:t>
      </w:r>
      <w:r w:rsidR="00D92516">
        <w:rPr>
          <w:rFonts w:cstheme="minorHAnsi"/>
          <w:color w:val="323E4F" w:themeColor="text2" w:themeShade="BF"/>
          <w:sz w:val="24"/>
          <w:szCs w:val="24"/>
        </w:rPr>
        <w:t>)</w:t>
      </w:r>
      <w:r w:rsidRPr="00F01907">
        <w:rPr>
          <w:rFonts w:cstheme="minorHAnsi"/>
          <w:color w:val="323E4F" w:themeColor="text2" w:themeShade="BF"/>
          <w:sz w:val="24"/>
          <w:szCs w:val="24"/>
        </w:rPr>
        <w:t>;</w:t>
      </w:r>
    </w:p>
    <w:p w14:paraId="7F8A8C99" w14:textId="29FDE216" w:rsidR="00614B8F" w:rsidRPr="00F01907" w:rsidRDefault="00F86F1D" w:rsidP="00614B8F">
      <w:pPr>
        <w:spacing w:after="0"/>
        <w:jc w:val="both"/>
        <w:rPr>
          <w:rFonts w:cstheme="minorHAnsi"/>
          <w:color w:val="323E4F" w:themeColor="text2" w:themeShade="BF"/>
          <w:sz w:val="24"/>
          <w:szCs w:val="24"/>
        </w:rPr>
      </w:pPr>
      <w:r>
        <w:rPr>
          <w:rFonts w:cstheme="minorHAnsi"/>
          <w:color w:val="323E4F" w:themeColor="text2" w:themeShade="BF"/>
          <w:sz w:val="24"/>
          <w:szCs w:val="24"/>
        </w:rPr>
        <w:lastRenderedPageBreak/>
        <w:t>2</w:t>
      </w:r>
      <w:r w:rsidR="00614B8F" w:rsidRPr="00F01907">
        <w:rPr>
          <w:rFonts w:cstheme="minorHAnsi"/>
          <w:color w:val="323E4F" w:themeColor="text2" w:themeShade="BF"/>
          <w:sz w:val="24"/>
          <w:szCs w:val="24"/>
        </w:rPr>
        <w:t xml:space="preserve">. </w:t>
      </w:r>
      <w:r w:rsidR="00614B8F" w:rsidRPr="003F1E75">
        <w:rPr>
          <w:rFonts w:cstheme="minorHAnsi"/>
          <w:b/>
          <w:bCs/>
          <w:color w:val="323E4F" w:themeColor="text2" w:themeShade="BF"/>
          <w:sz w:val="24"/>
          <w:szCs w:val="24"/>
        </w:rPr>
        <w:t>Materijalni rashodi</w:t>
      </w:r>
      <w:r w:rsidR="00614B8F" w:rsidRPr="00F01907">
        <w:rPr>
          <w:rFonts w:cstheme="minorHAnsi"/>
          <w:color w:val="323E4F" w:themeColor="text2" w:themeShade="BF"/>
          <w:sz w:val="24"/>
          <w:szCs w:val="24"/>
        </w:rPr>
        <w:t xml:space="preserve"> planirani u iznosu od </w:t>
      </w:r>
      <w:r w:rsidR="00794FBF">
        <w:rPr>
          <w:rFonts w:cstheme="minorHAnsi"/>
          <w:b/>
          <w:bCs/>
          <w:color w:val="323E4F" w:themeColor="text2" w:themeShade="BF"/>
          <w:sz w:val="24"/>
          <w:szCs w:val="24"/>
        </w:rPr>
        <w:t>569.250</w:t>
      </w:r>
      <w:r w:rsidR="00D92516" w:rsidRPr="00D92516">
        <w:rPr>
          <w:rFonts w:cstheme="minorHAnsi"/>
          <w:b/>
          <w:bCs/>
          <w:color w:val="323E4F" w:themeColor="text2" w:themeShade="BF"/>
          <w:sz w:val="24"/>
          <w:szCs w:val="24"/>
        </w:rPr>
        <w:t>,00</w:t>
      </w:r>
      <w:r w:rsidRPr="003F1E75">
        <w:rPr>
          <w:rFonts w:cstheme="minorHAnsi"/>
          <w:b/>
          <w:bCs/>
          <w:color w:val="323E4F" w:themeColor="text2" w:themeShade="BF"/>
          <w:sz w:val="24"/>
          <w:szCs w:val="24"/>
        </w:rPr>
        <w:t xml:space="preserve"> </w:t>
      </w:r>
      <w:r w:rsidR="00614B8F" w:rsidRPr="003F1E75">
        <w:rPr>
          <w:rFonts w:cstheme="minorHAnsi"/>
          <w:b/>
          <w:bCs/>
          <w:color w:val="323E4F" w:themeColor="text2" w:themeShade="BF"/>
          <w:sz w:val="24"/>
          <w:szCs w:val="24"/>
        </w:rPr>
        <w:t>eura</w:t>
      </w:r>
      <w:r w:rsidR="0032343A">
        <w:rPr>
          <w:rFonts w:cstheme="minorHAnsi"/>
          <w:color w:val="323E4F" w:themeColor="text2" w:themeShade="BF"/>
          <w:sz w:val="24"/>
          <w:szCs w:val="24"/>
        </w:rPr>
        <w:t xml:space="preserve"> (</w:t>
      </w:r>
      <w:r w:rsidR="00794FBF">
        <w:rPr>
          <w:rFonts w:cstheme="minorHAnsi"/>
          <w:color w:val="323E4F" w:themeColor="text2" w:themeShade="BF"/>
          <w:sz w:val="24"/>
          <w:szCs w:val="24"/>
        </w:rPr>
        <w:t>410.350</w:t>
      </w:r>
      <w:r w:rsidR="0032343A">
        <w:rPr>
          <w:rFonts w:cstheme="minorHAnsi"/>
          <w:color w:val="323E4F" w:themeColor="text2" w:themeShade="BF"/>
          <w:sz w:val="24"/>
          <w:szCs w:val="24"/>
        </w:rPr>
        <w:t xml:space="preserve">,00 eura financirano iz općih prihoda i primitaka, </w:t>
      </w:r>
      <w:r w:rsidR="00D92516">
        <w:rPr>
          <w:rFonts w:cstheme="minorHAnsi"/>
          <w:color w:val="323E4F" w:themeColor="text2" w:themeShade="BF"/>
          <w:sz w:val="24"/>
          <w:szCs w:val="24"/>
        </w:rPr>
        <w:t>63.</w:t>
      </w:r>
      <w:r w:rsidR="00794FBF">
        <w:rPr>
          <w:rFonts w:cstheme="minorHAnsi"/>
          <w:color w:val="323E4F" w:themeColor="text2" w:themeShade="BF"/>
          <w:sz w:val="24"/>
          <w:szCs w:val="24"/>
        </w:rPr>
        <w:t>5</w:t>
      </w:r>
      <w:r w:rsidR="00D92516">
        <w:rPr>
          <w:rFonts w:cstheme="minorHAnsi"/>
          <w:color w:val="323E4F" w:themeColor="text2" w:themeShade="BF"/>
          <w:sz w:val="24"/>
          <w:szCs w:val="24"/>
        </w:rPr>
        <w:t>00</w:t>
      </w:r>
      <w:r w:rsidR="0032343A">
        <w:rPr>
          <w:rFonts w:cstheme="minorHAnsi"/>
          <w:color w:val="323E4F" w:themeColor="text2" w:themeShade="BF"/>
          <w:sz w:val="24"/>
          <w:szCs w:val="24"/>
        </w:rPr>
        <w:t>,00 eura financirano iz vlastitih prihoda</w:t>
      </w:r>
      <w:r w:rsidR="00D92516">
        <w:rPr>
          <w:rFonts w:cstheme="minorHAnsi"/>
          <w:color w:val="323E4F" w:themeColor="text2" w:themeShade="BF"/>
          <w:sz w:val="24"/>
          <w:szCs w:val="24"/>
        </w:rPr>
        <w:t xml:space="preserve"> proračunskog korisnika</w:t>
      </w:r>
      <w:r w:rsidR="0032343A">
        <w:rPr>
          <w:rFonts w:cstheme="minorHAnsi"/>
          <w:color w:val="323E4F" w:themeColor="text2" w:themeShade="BF"/>
          <w:sz w:val="24"/>
          <w:szCs w:val="24"/>
        </w:rPr>
        <w:t xml:space="preserve">, </w:t>
      </w:r>
      <w:r w:rsidR="00D92516">
        <w:rPr>
          <w:rFonts w:cstheme="minorHAnsi"/>
          <w:color w:val="323E4F" w:themeColor="text2" w:themeShade="BF"/>
          <w:sz w:val="24"/>
          <w:szCs w:val="24"/>
        </w:rPr>
        <w:t>4</w:t>
      </w:r>
      <w:r w:rsidR="00794FBF">
        <w:rPr>
          <w:rFonts w:cstheme="minorHAnsi"/>
          <w:color w:val="323E4F" w:themeColor="text2" w:themeShade="BF"/>
          <w:sz w:val="24"/>
          <w:szCs w:val="24"/>
        </w:rPr>
        <w:t>2</w:t>
      </w:r>
      <w:r w:rsidR="0032343A">
        <w:rPr>
          <w:rFonts w:cstheme="minorHAnsi"/>
          <w:color w:val="323E4F" w:themeColor="text2" w:themeShade="BF"/>
          <w:sz w:val="24"/>
          <w:szCs w:val="24"/>
        </w:rPr>
        <w:t>.</w:t>
      </w:r>
      <w:r w:rsidR="00794FBF">
        <w:rPr>
          <w:rFonts w:cstheme="minorHAnsi"/>
          <w:color w:val="323E4F" w:themeColor="text2" w:themeShade="BF"/>
          <w:sz w:val="24"/>
          <w:szCs w:val="24"/>
        </w:rPr>
        <w:t>9</w:t>
      </w:r>
      <w:r w:rsidR="0032343A">
        <w:rPr>
          <w:rFonts w:cstheme="minorHAnsi"/>
          <w:color w:val="323E4F" w:themeColor="text2" w:themeShade="BF"/>
          <w:sz w:val="24"/>
          <w:szCs w:val="24"/>
        </w:rPr>
        <w:t xml:space="preserve">00,00 eura financirano iz ostalih prihoda za posebne namjene, </w:t>
      </w:r>
      <w:r w:rsidR="00794FBF">
        <w:rPr>
          <w:rFonts w:cstheme="minorHAnsi"/>
          <w:color w:val="323E4F" w:themeColor="text2" w:themeShade="BF"/>
          <w:sz w:val="24"/>
          <w:szCs w:val="24"/>
        </w:rPr>
        <w:t>52.500</w:t>
      </w:r>
      <w:r w:rsidR="0032343A">
        <w:rPr>
          <w:rFonts w:cstheme="minorHAnsi"/>
          <w:color w:val="323E4F" w:themeColor="text2" w:themeShade="BF"/>
          <w:sz w:val="24"/>
          <w:szCs w:val="24"/>
        </w:rPr>
        <w:t xml:space="preserve"> eura financirano iz pomoći proračunu iz drugih proračuna</w:t>
      </w:r>
      <w:r w:rsidR="00D92516">
        <w:rPr>
          <w:rFonts w:cstheme="minorHAnsi"/>
          <w:color w:val="323E4F" w:themeColor="text2" w:themeShade="BF"/>
          <w:sz w:val="24"/>
          <w:szCs w:val="24"/>
        </w:rPr>
        <w:t>)</w:t>
      </w:r>
      <w:r w:rsidR="00614B8F" w:rsidRPr="00F01907">
        <w:rPr>
          <w:rFonts w:cstheme="minorHAnsi"/>
          <w:color w:val="323E4F" w:themeColor="text2" w:themeShade="BF"/>
          <w:sz w:val="24"/>
          <w:szCs w:val="24"/>
        </w:rPr>
        <w:t>;</w:t>
      </w:r>
    </w:p>
    <w:p w14:paraId="49EF540E" w14:textId="3D68A2E3" w:rsidR="00614B8F" w:rsidRDefault="00F86F1D" w:rsidP="00614B8F">
      <w:pPr>
        <w:spacing w:after="0"/>
        <w:jc w:val="both"/>
        <w:rPr>
          <w:rFonts w:cstheme="minorHAnsi"/>
          <w:color w:val="323E4F" w:themeColor="text2" w:themeShade="BF"/>
          <w:sz w:val="24"/>
          <w:szCs w:val="24"/>
        </w:rPr>
      </w:pPr>
      <w:r>
        <w:rPr>
          <w:rFonts w:cstheme="minorHAnsi"/>
          <w:color w:val="323E4F" w:themeColor="text2" w:themeShade="BF"/>
          <w:sz w:val="24"/>
          <w:szCs w:val="24"/>
        </w:rPr>
        <w:t>3</w:t>
      </w:r>
      <w:r w:rsidR="00614B8F" w:rsidRPr="00F01907">
        <w:rPr>
          <w:rFonts w:cstheme="minorHAnsi"/>
          <w:color w:val="323E4F" w:themeColor="text2" w:themeShade="BF"/>
          <w:sz w:val="24"/>
          <w:szCs w:val="24"/>
        </w:rPr>
        <w:t xml:space="preserve">. </w:t>
      </w:r>
      <w:r w:rsidR="00614B8F" w:rsidRPr="003F1E75">
        <w:rPr>
          <w:rFonts w:cstheme="minorHAnsi"/>
          <w:b/>
          <w:bCs/>
          <w:color w:val="323E4F" w:themeColor="text2" w:themeShade="BF"/>
          <w:sz w:val="24"/>
          <w:szCs w:val="24"/>
        </w:rPr>
        <w:t>Financijski rashodi</w:t>
      </w:r>
      <w:r w:rsidR="00614B8F" w:rsidRPr="00F01907">
        <w:rPr>
          <w:rFonts w:cstheme="minorHAnsi"/>
          <w:color w:val="323E4F" w:themeColor="text2" w:themeShade="BF"/>
          <w:sz w:val="24"/>
          <w:szCs w:val="24"/>
        </w:rPr>
        <w:t xml:space="preserve"> planirani u iznosu od </w:t>
      </w:r>
      <w:r w:rsidR="001D3EBA">
        <w:rPr>
          <w:rFonts w:cstheme="minorHAnsi"/>
          <w:b/>
          <w:bCs/>
          <w:color w:val="323E4F" w:themeColor="text2" w:themeShade="BF"/>
          <w:sz w:val="24"/>
          <w:szCs w:val="24"/>
        </w:rPr>
        <w:t>2.000</w:t>
      </w:r>
      <w:r w:rsidR="00D92516">
        <w:rPr>
          <w:rFonts w:cstheme="minorHAnsi"/>
          <w:b/>
          <w:bCs/>
          <w:color w:val="323E4F" w:themeColor="text2" w:themeShade="BF"/>
          <w:sz w:val="24"/>
          <w:szCs w:val="24"/>
        </w:rPr>
        <w:t>,00</w:t>
      </w:r>
      <w:r w:rsidR="00614B8F" w:rsidRPr="003F1E75">
        <w:rPr>
          <w:rFonts w:cstheme="minorHAnsi"/>
          <w:b/>
          <w:bCs/>
          <w:color w:val="323E4F" w:themeColor="text2" w:themeShade="BF"/>
          <w:sz w:val="24"/>
          <w:szCs w:val="24"/>
        </w:rPr>
        <w:t xml:space="preserve"> eura</w:t>
      </w:r>
      <w:r w:rsidR="003F1E75">
        <w:rPr>
          <w:rFonts w:cstheme="minorHAnsi"/>
          <w:b/>
          <w:bCs/>
          <w:color w:val="323E4F" w:themeColor="text2" w:themeShade="BF"/>
          <w:sz w:val="24"/>
          <w:szCs w:val="24"/>
        </w:rPr>
        <w:t xml:space="preserve"> </w:t>
      </w:r>
      <w:r w:rsidR="003F1E75" w:rsidRPr="003F1E75">
        <w:rPr>
          <w:rFonts w:cstheme="minorHAnsi"/>
          <w:color w:val="323E4F" w:themeColor="text2" w:themeShade="BF"/>
          <w:sz w:val="24"/>
          <w:szCs w:val="24"/>
        </w:rPr>
        <w:t>(</w:t>
      </w:r>
      <w:r w:rsidR="00262340">
        <w:rPr>
          <w:rFonts w:cstheme="minorHAnsi"/>
          <w:color w:val="323E4F" w:themeColor="text2" w:themeShade="BF"/>
          <w:sz w:val="24"/>
          <w:szCs w:val="24"/>
        </w:rPr>
        <w:t>1.</w:t>
      </w:r>
      <w:r w:rsidR="001D3EBA">
        <w:rPr>
          <w:rFonts w:cstheme="minorHAnsi"/>
          <w:color w:val="323E4F" w:themeColor="text2" w:themeShade="BF"/>
          <w:sz w:val="24"/>
          <w:szCs w:val="24"/>
        </w:rPr>
        <w:t>0</w:t>
      </w:r>
      <w:r w:rsidR="00262340">
        <w:rPr>
          <w:rFonts w:cstheme="minorHAnsi"/>
          <w:color w:val="323E4F" w:themeColor="text2" w:themeShade="BF"/>
          <w:sz w:val="24"/>
          <w:szCs w:val="24"/>
        </w:rPr>
        <w:t xml:space="preserve">00,00 eura </w:t>
      </w:r>
      <w:r w:rsidR="003F1E75" w:rsidRPr="003F1E75">
        <w:rPr>
          <w:rFonts w:cstheme="minorHAnsi"/>
          <w:color w:val="323E4F" w:themeColor="text2" w:themeShade="BF"/>
          <w:sz w:val="24"/>
          <w:szCs w:val="24"/>
        </w:rPr>
        <w:t>financiran</w:t>
      </w:r>
      <w:r w:rsidR="00661788">
        <w:rPr>
          <w:rFonts w:cstheme="minorHAnsi"/>
          <w:color w:val="323E4F" w:themeColor="text2" w:themeShade="BF"/>
          <w:sz w:val="24"/>
          <w:szCs w:val="24"/>
        </w:rPr>
        <w:t>o</w:t>
      </w:r>
      <w:r w:rsidR="003F1E75" w:rsidRPr="003F1E75">
        <w:rPr>
          <w:rFonts w:cstheme="minorHAnsi"/>
          <w:color w:val="323E4F" w:themeColor="text2" w:themeShade="BF"/>
          <w:sz w:val="24"/>
          <w:szCs w:val="24"/>
        </w:rPr>
        <w:t xml:space="preserve"> iz općih prihoda i primitaka</w:t>
      </w:r>
      <w:r w:rsidR="00262340">
        <w:rPr>
          <w:rFonts w:cstheme="minorHAnsi"/>
          <w:color w:val="323E4F" w:themeColor="text2" w:themeShade="BF"/>
          <w:sz w:val="24"/>
          <w:szCs w:val="24"/>
        </w:rPr>
        <w:t xml:space="preserve"> i </w:t>
      </w:r>
      <w:r w:rsidR="001D3EBA">
        <w:rPr>
          <w:rFonts w:cstheme="minorHAnsi"/>
          <w:color w:val="323E4F" w:themeColor="text2" w:themeShade="BF"/>
          <w:sz w:val="24"/>
          <w:szCs w:val="24"/>
        </w:rPr>
        <w:t>1.000</w:t>
      </w:r>
      <w:r w:rsidR="00262340">
        <w:rPr>
          <w:rFonts w:cstheme="minorHAnsi"/>
          <w:color w:val="323E4F" w:themeColor="text2" w:themeShade="BF"/>
          <w:sz w:val="24"/>
          <w:szCs w:val="24"/>
        </w:rPr>
        <w:t>,00 eura financirano vlastitih prihoda proračunskog korisnika</w:t>
      </w:r>
      <w:r w:rsidR="003F1E75" w:rsidRPr="003F1E75">
        <w:rPr>
          <w:rFonts w:cstheme="minorHAnsi"/>
          <w:color w:val="323E4F" w:themeColor="text2" w:themeShade="BF"/>
          <w:sz w:val="24"/>
          <w:szCs w:val="24"/>
        </w:rPr>
        <w:t>)</w:t>
      </w:r>
      <w:r w:rsidR="00614B8F" w:rsidRPr="00F01907">
        <w:rPr>
          <w:rFonts w:cstheme="minorHAnsi"/>
          <w:color w:val="323E4F" w:themeColor="text2" w:themeShade="BF"/>
          <w:sz w:val="24"/>
          <w:szCs w:val="24"/>
        </w:rPr>
        <w:t>;</w:t>
      </w:r>
    </w:p>
    <w:p w14:paraId="723DBEE5" w14:textId="43168E91" w:rsidR="001D3EBA" w:rsidRPr="00FA3753" w:rsidRDefault="001D3EBA" w:rsidP="00614B8F">
      <w:pPr>
        <w:spacing w:after="0"/>
        <w:jc w:val="both"/>
        <w:rPr>
          <w:rFonts w:cstheme="minorHAnsi"/>
          <w:color w:val="323E4F" w:themeColor="text2" w:themeShade="BF"/>
          <w:sz w:val="24"/>
          <w:szCs w:val="24"/>
        </w:rPr>
      </w:pPr>
      <w:r>
        <w:rPr>
          <w:rFonts w:cstheme="minorHAnsi"/>
          <w:color w:val="323E4F" w:themeColor="text2" w:themeShade="BF"/>
          <w:sz w:val="24"/>
          <w:szCs w:val="24"/>
        </w:rPr>
        <w:t xml:space="preserve">4. </w:t>
      </w:r>
      <w:r w:rsidR="00FA3753">
        <w:rPr>
          <w:rFonts w:cstheme="minorHAnsi"/>
          <w:b/>
          <w:bCs/>
          <w:color w:val="323E4F" w:themeColor="text2" w:themeShade="BF"/>
          <w:sz w:val="24"/>
          <w:szCs w:val="24"/>
        </w:rPr>
        <w:t xml:space="preserve">Pomoći dane u inozemstvo i unutar općeg proračuna </w:t>
      </w:r>
      <w:r w:rsidR="00FA3753" w:rsidRPr="00FA3753">
        <w:rPr>
          <w:rFonts w:cstheme="minorHAnsi"/>
          <w:color w:val="323E4F" w:themeColor="text2" w:themeShade="BF"/>
          <w:sz w:val="24"/>
          <w:szCs w:val="24"/>
        </w:rPr>
        <w:t xml:space="preserve">planirane u </w:t>
      </w:r>
      <w:r w:rsidR="00FA3753">
        <w:rPr>
          <w:rFonts w:cstheme="minorHAnsi"/>
          <w:color w:val="323E4F" w:themeColor="text2" w:themeShade="BF"/>
          <w:sz w:val="24"/>
          <w:szCs w:val="24"/>
        </w:rPr>
        <w:t>iznosu 23.900,00 eura, a financirane iz općih prihoda i primitaka;</w:t>
      </w:r>
    </w:p>
    <w:p w14:paraId="3923C538" w14:textId="2E094D59" w:rsidR="00190903" w:rsidRPr="00F01907" w:rsidRDefault="00FA3753" w:rsidP="00614B8F">
      <w:pPr>
        <w:spacing w:after="0"/>
        <w:jc w:val="both"/>
        <w:rPr>
          <w:rFonts w:cstheme="minorHAnsi"/>
          <w:color w:val="323E4F" w:themeColor="text2" w:themeShade="BF"/>
          <w:sz w:val="24"/>
          <w:szCs w:val="24"/>
        </w:rPr>
      </w:pPr>
      <w:r>
        <w:rPr>
          <w:rFonts w:cstheme="minorHAnsi"/>
          <w:color w:val="323E4F" w:themeColor="text2" w:themeShade="BF"/>
          <w:sz w:val="24"/>
          <w:szCs w:val="24"/>
        </w:rPr>
        <w:t>5</w:t>
      </w:r>
      <w:r w:rsidR="00190903">
        <w:rPr>
          <w:rFonts w:cstheme="minorHAnsi"/>
          <w:color w:val="323E4F" w:themeColor="text2" w:themeShade="BF"/>
          <w:sz w:val="24"/>
          <w:szCs w:val="24"/>
        </w:rPr>
        <w:t>.</w:t>
      </w:r>
      <w:r w:rsidR="00647198">
        <w:rPr>
          <w:rFonts w:cstheme="minorHAnsi"/>
          <w:color w:val="323E4F" w:themeColor="text2" w:themeShade="BF"/>
          <w:sz w:val="24"/>
          <w:szCs w:val="24"/>
        </w:rPr>
        <w:t xml:space="preserve"> </w:t>
      </w:r>
      <w:r w:rsidR="00262E39" w:rsidRPr="003F1E75">
        <w:rPr>
          <w:rFonts w:cstheme="minorHAnsi"/>
          <w:b/>
          <w:bCs/>
          <w:color w:val="323E4F" w:themeColor="text2" w:themeShade="BF"/>
          <w:sz w:val="24"/>
          <w:szCs w:val="24"/>
        </w:rPr>
        <w:t>Naknade građanima i kućanstvima na temelju osiguranja i druge naknade</w:t>
      </w:r>
      <w:r w:rsidR="00262E39">
        <w:rPr>
          <w:rFonts w:cstheme="minorHAnsi"/>
          <w:color w:val="323E4F" w:themeColor="text2" w:themeShade="BF"/>
          <w:sz w:val="24"/>
          <w:szCs w:val="24"/>
        </w:rPr>
        <w:t xml:space="preserve"> planirane u iznosu od </w:t>
      </w:r>
      <w:r w:rsidR="00647198">
        <w:rPr>
          <w:rFonts w:cstheme="minorHAnsi"/>
          <w:color w:val="323E4F" w:themeColor="text2" w:themeShade="BF"/>
          <w:sz w:val="24"/>
          <w:szCs w:val="24"/>
        </w:rPr>
        <w:t>2</w:t>
      </w:r>
      <w:r>
        <w:rPr>
          <w:rFonts w:cstheme="minorHAnsi"/>
          <w:color w:val="323E4F" w:themeColor="text2" w:themeShade="BF"/>
          <w:sz w:val="24"/>
          <w:szCs w:val="24"/>
        </w:rPr>
        <w:t>3.130,00</w:t>
      </w:r>
      <w:r w:rsidR="00262E39">
        <w:rPr>
          <w:rFonts w:cstheme="minorHAnsi"/>
          <w:color w:val="323E4F" w:themeColor="text2" w:themeShade="BF"/>
          <w:sz w:val="24"/>
          <w:szCs w:val="24"/>
        </w:rPr>
        <w:t xml:space="preserve"> eura</w:t>
      </w:r>
      <w:r w:rsidR="00942C3C">
        <w:rPr>
          <w:rFonts w:cstheme="minorHAnsi"/>
          <w:color w:val="323E4F" w:themeColor="text2" w:themeShade="BF"/>
          <w:sz w:val="24"/>
          <w:szCs w:val="24"/>
        </w:rPr>
        <w:t xml:space="preserve"> (</w:t>
      </w:r>
      <w:r>
        <w:rPr>
          <w:rFonts w:cstheme="minorHAnsi"/>
          <w:color w:val="323E4F" w:themeColor="text2" w:themeShade="BF"/>
          <w:sz w:val="24"/>
          <w:szCs w:val="24"/>
        </w:rPr>
        <w:t>21.130,00</w:t>
      </w:r>
      <w:r w:rsidR="00942C3C">
        <w:rPr>
          <w:rFonts w:cstheme="minorHAnsi"/>
          <w:color w:val="323E4F" w:themeColor="text2" w:themeShade="BF"/>
          <w:sz w:val="24"/>
          <w:szCs w:val="24"/>
        </w:rPr>
        <w:t xml:space="preserve"> financirano iz općih prihoda i primitaka</w:t>
      </w:r>
      <w:r w:rsidR="00647198">
        <w:rPr>
          <w:rFonts w:cstheme="minorHAnsi"/>
          <w:color w:val="323E4F" w:themeColor="text2" w:themeShade="BF"/>
          <w:sz w:val="24"/>
          <w:szCs w:val="24"/>
        </w:rPr>
        <w:t xml:space="preserve"> i </w:t>
      </w:r>
      <w:r>
        <w:rPr>
          <w:rFonts w:cstheme="minorHAnsi"/>
          <w:color w:val="323E4F" w:themeColor="text2" w:themeShade="BF"/>
          <w:sz w:val="24"/>
          <w:szCs w:val="24"/>
        </w:rPr>
        <w:t>2.0</w:t>
      </w:r>
      <w:r w:rsidR="00647198">
        <w:rPr>
          <w:rFonts w:cstheme="minorHAnsi"/>
          <w:color w:val="323E4F" w:themeColor="text2" w:themeShade="BF"/>
          <w:sz w:val="24"/>
          <w:szCs w:val="24"/>
        </w:rPr>
        <w:t xml:space="preserve">00,00 financirano iz </w:t>
      </w:r>
      <w:r w:rsidR="00647198" w:rsidRPr="00647198">
        <w:rPr>
          <w:rFonts w:cstheme="minorHAnsi"/>
          <w:color w:val="323E4F" w:themeColor="text2" w:themeShade="BF"/>
          <w:sz w:val="24"/>
          <w:szCs w:val="24"/>
        </w:rPr>
        <w:t>pomoći proračunu iz drugih proračuna</w:t>
      </w:r>
      <w:r w:rsidR="00942C3C">
        <w:rPr>
          <w:rFonts w:cstheme="minorHAnsi"/>
          <w:color w:val="323E4F" w:themeColor="text2" w:themeShade="BF"/>
          <w:sz w:val="24"/>
          <w:szCs w:val="24"/>
        </w:rPr>
        <w:t>)</w:t>
      </w:r>
      <w:r w:rsidR="00262E39">
        <w:rPr>
          <w:rFonts w:cstheme="minorHAnsi"/>
          <w:color w:val="323E4F" w:themeColor="text2" w:themeShade="BF"/>
          <w:sz w:val="24"/>
          <w:szCs w:val="24"/>
        </w:rPr>
        <w:t>;</w:t>
      </w:r>
    </w:p>
    <w:p w14:paraId="317F78C5" w14:textId="50FD1E93" w:rsidR="00614B8F" w:rsidRPr="00F01907" w:rsidRDefault="007C6239" w:rsidP="00614B8F">
      <w:pPr>
        <w:spacing w:after="0"/>
        <w:jc w:val="both"/>
        <w:rPr>
          <w:rFonts w:cstheme="minorHAnsi"/>
          <w:color w:val="323E4F" w:themeColor="text2" w:themeShade="BF"/>
          <w:sz w:val="24"/>
          <w:szCs w:val="24"/>
        </w:rPr>
      </w:pPr>
      <w:r>
        <w:rPr>
          <w:rFonts w:cstheme="minorHAnsi"/>
          <w:color w:val="323E4F" w:themeColor="text2" w:themeShade="BF"/>
          <w:sz w:val="24"/>
          <w:szCs w:val="24"/>
        </w:rPr>
        <w:t>6</w:t>
      </w:r>
      <w:r w:rsidR="00614B8F" w:rsidRPr="00F01907">
        <w:rPr>
          <w:rFonts w:cstheme="minorHAnsi"/>
          <w:color w:val="323E4F" w:themeColor="text2" w:themeShade="BF"/>
          <w:sz w:val="24"/>
          <w:szCs w:val="24"/>
        </w:rPr>
        <w:t xml:space="preserve">. </w:t>
      </w:r>
      <w:r>
        <w:rPr>
          <w:rFonts w:cstheme="minorHAnsi"/>
          <w:b/>
          <w:bCs/>
          <w:color w:val="323E4F" w:themeColor="text2" w:themeShade="BF"/>
          <w:sz w:val="24"/>
          <w:szCs w:val="24"/>
        </w:rPr>
        <w:t>Rashodi za donacije, kazne, naknade šteta i kapitalne pomoći</w:t>
      </w:r>
      <w:r w:rsidR="00614B8F" w:rsidRPr="00F01907">
        <w:rPr>
          <w:rFonts w:cstheme="minorHAnsi"/>
          <w:color w:val="323E4F" w:themeColor="text2" w:themeShade="BF"/>
          <w:sz w:val="24"/>
          <w:szCs w:val="24"/>
        </w:rPr>
        <w:t xml:space="preserve"> planiran</w:t>
      </w:r>
      <w:r>
        <w:rPr>
          <w:rFonts w:cstheme="minorHAnsi"/>
          <w:color w:val="323E4F" w:themeColor="text2" w:themeShade="BF"/>
          <w:sz w:val="24"/>
          <w:szCs w:val="24"/>
        </w:rPr>
        <w:t>i</w:t>
      </w:r>
      <w:r w:rsidR="00771DA0">
        <w:rPr>
          <w:rFonts w:cstheme="minorHAnsi"/>
          <w:color w:val="323E4F" w:themeColor="text2" w:themeShade="BF"/>
          <w:sz w:val="24"/>
          <w:szCs w:val="24"/>
        </w:rPr>
        <w:t xml:space="preserve"> su</w:t>
      </w:r>
      <w:r w:rsidR="00614B8F" w:rsidRPr="00F01907">
        <w:rPr>
          <w:rFonts w:cstheme="minorHAnsi"/>
          <w:color w:val="323E4F" w:themeColor="text2" w:themeShade="BF"/>
          <w:sz w:val="24"/>
          <w:szCs w:val="24"/>
        </w:rPr>
        <w:t xml:space="preserve"> u iznosu od </w:t>
      </w:r>
      <w:r w:rsidR="00771DA0">
        <w:rPr>
          <w:rFonts w:cstheme="minorHAnsi"/>
          <w:b/>
          <w:bCs/>
          <w:color w:val="323E4F" w:themeColor="text2" w:themeShade="BF"/>
          <w:sz w:val="24"/>
          <w:szCs w:val="24"/>
        </w:rPr>
        <w:t>103.970</w:t>
      </w:r>
      <w:r w:rsidR="00647198">
        <w:rPr>
          <w:rFonts w:cstheme="minorHAnsi"/>
          <w:b/>
          <w:bCs/>
          <w:color w:val="323E4F" w:themeColor="text2" w:themeShade="BF"/>
          <w:sz w:val="24"/>
          <w:szCs w:val="24"/>
        </w:rPr>
        <w:t>,00</w:t>
      </w:r>
      <w:r w:rsidR="00614B8F" w:rsidRPr="003F1E75">
        <w:rPr>
          <w:rFonts w:cstheme="minorHAnsi"/>
          <w:b/>
          <w:bCs/>
          <w:color w:val="323E4F" w:themeColor="text2" w:themeShade="BF"/>
          <w:sz w:val="24"/>
          <w:szCs w:val="24"/>
        </w:rPr>
        <w:t xml:space="preserve"> eura</w:t>
      </w:r>
      <w:r w:rsidR="00942C3C" w:rsidRPr="00942C3C">
        <w:rPr>
          <w:rFonts w:cstheme="minorHAnsi"/>
          <w:color w:val="323E4F" w:themeColor="text2" w:themeShade="BF"/>
          <w:sz w:val="24"/>
          <w:szCs w:val="24"/>
        </w:rPr>
        <w:t xml:space="preserve"> (financirano iz općih prihoda i primitaka)</w:t>
      </w:r>
      <w:r w:rsidR="00614B8F" w:rsidRPr="00942C3C">
        <w:rPr>
          <w:rFonts w:cstheme="minorHAnsi"/>
          <w:color w:val="323E4F" w:themeColor="text2" w:themeShade="BF"/>
          <w:sz w:val="24"/>
          <w:szCs w:val="24"/>
        </w:rPr>
        <w:t>.</w:t>
      </w:r>
    </w:p>
    <w:p w14:paraId="08F65468" w14:textId="77777777" w:rsidR="00614B8F" w:rsidRPr="00F01907" w:rsidRDefault="00614B8F" w:rsidP="00614B8F">
      <w:pPr>
        <w:spacing w:after="0"/>
        <w:jc w:val="both"/>
        <w:rPr>
          <w:rFonts w:cstheme="minorHAnsi"/>
          <w:color w:val="323E4F" w:themeColor="text2" w:themeShade="BF"/>
          <w:sz w:val="24"/>
          <w:szCs w:val="24"/>
        </w:rPr>
      </w:pPr>
    </w:p>
    <w:p w14:paraId="6D10CC0E" w14:textId="77777777" w:rsidR="00614B8F" w:rsidRPr="00F01907" w:rsidRDefault="00614B8F" w:rsidP="00614B8F">
      <w:pPr>
        <w:spacing w:after="0"/>
        <w:jc w:val="both"/>
        <w:rPr>
          <w:rFonts w:cstheme="minorHAnsi"/>
          <w:b/>
          <w:bCs/>
          <w:color w:val="323E4F" w:themeColor="text2" w:themeShade="BF"/>
          <w:sz w:val="24"/>
          <w:szCs w:val="24"/>
        </w:rPr>
      </w:pPr>
      <w:r w:rsidRPr="00F01907">
        <w:rPr>
          <w:rFonts w:cstheme="minorHAnsi"/>
          <w:b/>
          <w:bCs/>
          <w:color w:val="323E4F" w:themeColor="text2" w:themeShade="BF"/>
          <w:sz w:val="24"/>
          <w:szCs w:val="24"/>
        </w:rPr>
        <w:t>Rashodi za nabavu nefinancijske imovine</w:t>
      </w:r>
    </w:p>
    <w:p w14:paraId="387130B8" w14:textId="77777777" w:rsidR="00614B8F" w:rsidRPr="00F01907" w:rsidRDefault="00614B8F" w:rsidP="00614B8F">
      <w:pPr>
        <w:spacing w:after="0"/>
        <w:jc w:val="both"/>
        <w:rPr>
          <w:rFonts w:cstheme="minorHAnsi"/>
          <w:color w:val="323E4F" w:themeColor="text2" w:themeShade="BF"/>
          <w:sz w:val="24"/>
          <w:szCs w:val="24"/>
        </w:rPr>
      </w:pPr>
    </w:p>
    <w:p w14:paraId="54F80D97" w14:textId="52712061" w:rsidR="009F0E49" w:rsidRPr="00D4355F" w:rsidRDefault="00614B8F" w:rsidP="00614B8F">
      <w:pPr>
        <w:spacing w:after="0"/>
        <w:jc w:val="both"/>
        <w:rPr>
          <w:rFonts w:cstheme="minorHAnsi"/>
          <w:color w:val="323E4F" w:themeColor="text2" w:themeShade="BF"/>
          <w:sz w:val="24"/>
          <w:szCs w:val="24"/>
        </w:rPr>
      </w:pPr>
      <w:r w:rsidRPr="002E087A">
        <w:rPr>
          <w:rFonts w:cstheme="minorHAnsi"/>
          <w:b/>
          <w:bCs/>
          <w:color w:val="323E4F" w:themeColor="text2" w:themeShade="BF"/>
          <w:sz w:val="24"/>
          <w:szCs w:val="24"/>
        </w:rPr>
        <w:t>Rashodi za nabavu nefinancijske imovine</w:t>
      </w:r>
      <w:r w:rsidRPr="00F01907">
        <w:rPr>
          <w:rFonts w:cstheme="minorHAnsi"/>
          <w:color w:val="323E4F" w:themeColor="text2" w:themeShade="BF"/>
          <w:sz w:val="24"/>
          <w:szCs w:val="24"/>
        </w:rPr>
        <w:t xml:space="preserve"> planirani u iznosu od </w:t>
      </w:r>
      <w:r w:rsidR="000E2D43">
        <w:rPr>
          <w:rFonts w:cstheme="minorHAnsi"/>
          <w:b/>
          <w:bCs/>
          <w:color w:val="323E4F" w:themeColor="text2" w:themeShade="BF"/>
          <w:sz w:val="24"/>
          <w:szCs w:val="24"/>
        </w:rPr>
        <w:t>1.021.300,00</w:t>
      </w:r>
      <w:r w:rsidRPr="00EA6601">
        <w:rPr>
          <w:rFonts w:cstheme="minorHAnsi"/>
          <w:b/>
          <w:bCs/>
          <w:color w:val="323E4F" w:themeColor="text2" w:themeShade="BF"/>
          <w:sz w:val="24"/>
          <w:szCs w:val="24"/>
        </w:rPr>
        <w:t xml:space="preserve"> eura</w:t>
      </w:r>
      <w:r w:rsidRPr="00F01907">
        <w:rPr>
          <w:rFonts w:cstheme="minorHAnsi"/>
          <w:color w:val="323E4F" w:themeColor="text2" w:themeShade="BF"/>
          <w:sz w:val="24"/>
          <w:szCs w:val="24"/>
        </w:rPr>
        <w:t>, a čine ih</w:t>
      </w:r>
      <w:r w:rsidR="002342EB">
        <w:rPr>
          <w:rFonts w:cstheme="minorHAnsi"/>
          <w:color w:val="323E4F" w:themeColor="text2" w:themeShade="BF"/>
          <w:sz w:val="24"/>
          <w:szCs w:val="24"/>
        </w:rPr>
        <w:t xml:space="preserve"> </w:t>
      </w:r>
      <w:r w:rsidR="002342EB">
        <w:rPr>
          <w:rFonts w:cstheme="minorHAnsi"/>
          <w:b/>
          <w:bCs/>
          <w:color w:val="323E4F" w:themeColor="text2" w:themeShade="BF"/>
          <w:sz w:val="24"/>
          <w:szCs w:val="24"/>
        </w:rPr>
        <w:t>r</w:t>
      </w:r>
      <w:r w:rsidRPr="00FE486B">
        <w:rPr>
          <w:rFonts w:cstheme="minorHAnsi"/>
          <w:b/>
          <w:bCs/>
          <w:color w:val="323E4F" w:themeColor="text2" w:themeShade="BF"/>
          <w:sz w:val="24"/>
          <w:szCs w:val="24"/>
        </w:rPr>
        <w:t xml:space="preserve">ashodi za </w:t>
      </w:r>
      <w:r w:rsidR="00F11C3E" w:rsidRPr="00FE486B">
        <w:rPr>
          <w:rFonts w:cstheme="minorHAnsi"/>
          <w:b/>
          <w:bCs/>
          <w:color w:val="323E4F" w:themeColor="text2" w:themeShade="BF"/>
          <w:sz w:val="24"/>
          <w:szCs w:val="24"/>
        </w:rPr>
        <w:t>nabavu proizvedene dugotrajne imovine</w:t>
      </w:r>
      <w:r w:rsidR="002342EB">
        <w:rPr>
          <w:rFonts w:cstheme="minorHAnsi"/>
          <w:color w:val="323E4F" w:themeColor="text2" w:themeShade="BF"/>
          <w:sz w:val="24"/>
          <w:szCs w:val="24"/>
        </w:rPr>
        <w:t xml:space="preserve"> </w:t>
      </w:r>
      <w:r w:rsidR="000E2D43">
        <w:rPr>
          <w:rFonts w:cstheme="minorHAnsi"/>
          <w:color w:val="323E4F" w:themeColor="text2" w:themeShade="BF"/>
          <w:sz w:val="24"/>
          <w:szCs w:val="24"/>
        </w:rPr>
        <w:t xml:space="preserve">u iznosu 264.100,00 eura </w:t>
      </w:r>
      <w:bookmarkStart w:id="6" w:name="_Hlk184368005"/>
      <w:r w:rsidR="000E2D43">
        <w:rPr>
          <w:rFonts w:cstheme="minorHAnsi"/>
          <w:color w:val="323E4F" w:themeColor="text2" w:themeShade="BF"/>
          <w:sz w:val="24"/>
          <w:szCs w:val="24"/>
        </w:rPr>
        <w:t>(</w:t>
      </w:r>
      <w:r w:rsidR="00D4355F">
        <w:rPr>
          <w:rFonts w:cstheme="minorHAnsi"/>
          <w:color w:val="323E4F" w:themeColor="text2" w:themeShade="BF"/>
          <w:sz w:val="24"/>
          <w:szCs w:val="24"/>
        </w:rPr>
        <w:t>92.200,00</w:t>
      </w:r>
      <w:r w:rsidR="00020197">
        <w:rPr>
          <w:rFonts w:cstheme="minorHAnsi"/>
          <w:color w:val="323E4F" w:themeColor="text2" w:themeShade="BF"/>
          <w:sz w:val="24"/>
          <w:szCs w:val="24"/>
        </w:rPr>
        <w:t xml:space="preserve"> eura financirano iz općih prihoda i primitaka, </w:t>
      </w:r>
      <w:r w:rsidR="002342EB">
        <w:rPr>
          <w:rFonts w:cstheme="minorHAnsi"/>
          <w:color w:val="323E4F" w:themeColor="text2" w:themeShade="BF"/>
          <w:sz w:val="24"/>
          <w:szCs w:val="24"/>
        </w:rPr>
        <w:t>1</w:t>
      </w:r>
      <w:r w:rsidR="00D4355F">
        <w:rPr>
          <w:rFonts w:cstheme="minorHAnsi"/>
          <w:color w:val="323E4F" w:themeColor="text2" w:themeShade="BF"/>
          <w:sz w:val="24"/>
          <w:szCs w:val="24"/>
        </w:rPr>
        <w:t>11.000,00</w:t>
      </w:r>
      <w:r w:rsidR="00020197">
        <w:rPr>
          <w:rFonts w:cstheme="minorHAnsi"/>
          <w:color w:val="323E4F" w:themeColor="text2" w:themeShade="BF"/>
          <w:sz w:val="24"/>
          <w:szCs w:val="24"/>
        </w:rPr>
        <w:t xml:space="preserve"> eura financirano iz pomoći proračunu iz drugih proračuna i </w:t>
      </w:r>
      <w:r w:rsidR="00D4355F">
        <w:rPr>
          <w:rFonts w:cstheme="minorHAnsi"/>
          <w:color w:val="323E4F" w:themeColor="text2" w:themeShade="BF"/>
          <w:sz w:val="24"/>
          <w:szCs w:val="24"/>
        </w:rPr>
        <w:t>60.900</w:t>
      </w:r>
      <w:r w:rsidR="00020197">
        <w:rPr>
          <w:rFonts w:cstheme="minorHAnsi"/>
          <w:color w:val="323E4F" w:themeColor="text2" w:themeShade="BF"/>
          <w:sz w:val="24"/>
          <w:szCs w:val="24"/>
        </w:rPr>
        <w:t xml:space="preserve"> eura financirano iz</w:t>
      </w:r>
      <w:r w:rsidR="00D4355F">
        <w:rPr>
          <w:rFonts w:cstheme="minorHAnsi"/>
          <w:color w:val="323E4F" w:themeColor="text2" w:themeShade="BF"/>
          <w:sz w:val="24"/>
          <w:szCs w:val="24"/>
        </w:rPr>
        <w:t xml:space="preserve"> prihoda od prodaje imovine</w:t>
      </w:r>
      <w:r w:rsidR="00020197">
        <w:rPr>
          <w:rFonts w:cstheme="minorHAnsi"/>
          <w:color w:val="323E4F" w:themeColor="text2" w:themeShade="BF"/>
          <w:sz w:val="24"/>
          <w:szCs w:val="24"/>
        </w:rPr>
        <w:t>)</w:t>
      </w:r>
      <w:bookmarkEnd w:id="6"/>
      <w:r w:rsidR="00D4355F">
        <w:rPr>
          <w:rFonts w:cstheme="minorHAnsi"/>
          <w:color w:val="323E4F" w:themeColor="text2" w:themeShade="BF"/>
          <w:sz w:val="24"/>
          <w:szCs w:val="24"/>
        </w:rPr>
        <w:t xml:space="preserve"> </w:t>
      </w:r>
      <w:r w:rsidR="00D4355F">
        <w:rPr>
          <w:rFonts w:cstheme="minorHAnsi"/>
          <w:b/>
          <w:bCs/>
          <w:color w:val="323E4F" w:themeColor="text2" w:themeShade="BF"/>
          <w:sz w:val="24"/>
          <w:szCs w:val="24"/>
        </w:rPr>
        <w:t xml:space="preserve">i rashodi za dodatna ulaganja na nefinancijskoj imovini </w:t>
      </w:r>
      <w:r w:rsidR="00D4355F">
        <w:rPr>
          <w:rFonts w:cstheme="minorHAnsi"/>
          <w:color w:val="323E4F" w:themeColor="text2" w:themeShade="BF"/>
          <w:sz w:val="24"/>
          <w:szCs w:val="24"/>
        </w:rPr>
        <w:t xml:space="preserve">u iznosu 757.200,00 eura </w:t>
      </w:r>
      <w:r w:rsidR="00D4355F" w:rsidRPr="00D4355F">
        <w:rPr>
          <w:rFonts w:cstheme="minorHAnsi"/>
          <w:color w:val="323E4F" w:themeColor="text2" w:themeShade="BF"/>
          <w:sz w:val="24"/>
          <w:szCs w:val="24"/>
        </w:rPr>
        <w:t>(</w:t>
      </w:r>
      <w:r w:rsidR="00D4355F">
        <w:rPr>
          <w:rFonts w:cstheme="minorHAnsi"/>
          <w:color w:val="323E4F" w:themeColor="text2" w:themeShade="BF"/>
          <w:sz w:val="24"/>
          <w:szCs w:val="24"/>
        </w:rPr>
        <w:t>71.0</w:t>
      </w:r>
      <w:r w:rsidR="00D4355F" w:rsidRPr="00D4355F">
        <w:rPr>
          <w:rFonts w:cstheme="minorHAnsi"/>
          <w:color w:val="323E4F" w:themeColor="text2" w:themeShade="BF"/>
          <w:sz w:val="24"/>
          <w:szCs w:val="24"/>
        </w:rPr>
        <w:t xml:space="preserve">00,00 eura financirano iz općih prihoda i primitaka, </w:t>
      </w:r>
      <w:r w:rsidR="00D4355F">
        <w:rPr>
          <w:rFonts w:cstheme="minorHAnsi"/>
          <w:color w:val="323E4F" w:themeColor="text2" w:themeShade="BF"/>
          <w:sz w:val="24"/>
          <w:szCs w:val="24"/>
        </w:rPr>
        <w:t>600,00 eura iz prihoda za posebne namjene, 540.480,00</w:t>
      </w:r>
      <w:r w:rsidR="00D4355F" w:rsidRPr="00D4355F">
        <w:rPr>
          <w:rFonts w:cstheme="minorHAnsi"/>
          <w:color w:val="323E4F" w:themeColor="text2" w:themeShade="BF"/>
          <w:sz w:val="24"/>
          <w:szCs w:val="24"/>
        </w:rPr>
        <w:t xml:space="preserve"> eura </w:t>
      </w:r>
      <w:r w:rsidR="00D4355F">
        <w:rPr>
          <w:rFonts w:cstheme="minorHAnsi"/>
          <w:color w:val="323E4F" w:themeColor="text2" w:themeShade="BF"/>
          <w:sz w:val="24"/>
          <w:szCs w:val="24"/>
        </w:rPr>
        <w:t>financirano iz međunarodnih pomoći</w:t>
      </w:r>
      <w:r w:rsidR="000B1691">
        <w:rPr>
          <w:rFonts w:cstheme="minorHAnsi"/>
          <w:color w:val="323E4F" w:themeColor="text2" w:themeShade="BF"/>
          <w:sz w:val="24"/>
          <w:szCs w:val="24"/>
        </w:rPr>
        <w:t xml:space="preserve"> i 145.120,00 eura </w:t>
      </w:r>
      <w:r w:rsidR="00D4355F" w:rsidRPr="00D4355F">
        <w:rPr>
          <w:rFonts w:cstheme="minorHAnsi"/>
          <w:color w:val="323E4F" w:themeColor="text2" w:themeShade="BF"/>
          <w:sz w:val="24"/>
          <w:szCs w:val="24"/>
        </w:rPr>
        <w:t>financirano iz pomoći proračunu iz drugih proračuna)</w:t>
      </w:r>
    </w:p>
    <w:p w14:paraId="1A79550F" w14:textId="77777777" w:rsidR="00AC0678" w:rsidRDefault="00AC0678" w:rsidP="00614B8F">
      <w:pPr>
        <w:spacing w:after="0"/>
        <w:jc w:val="both"/>
        <w:rPr>
          <w:rFonts w:cstheme="minorHAnsi"/>
          <w:color w:val="323E4F" w:themeColor="text2" w:themeShade="BF"/>
          <w:sz w:val="24"/>
          <w:szCs w:val="24"/>
        </w:rPr>
      </w:pPr>
    </w:p>
    <w:p w14:paraId="720D200E" w14:textId="177F245A" w:rsidR="00AC0678" w:rsidRPr="00AC0678" w:rsidRDefault="00AC0678" w:rsidP="00614B8F">
      <w:pPr>
        <w:spacing w:after="0"/>
        <w:jc w:val="both"/>
        <w:rPr>
          <w:rFonts w:cstheme="minorHAnsi"/>
          <w:b/>
          <w:bCs/>
          <w:color w:val="323E4F" w:themeColor="text2" w:themeShade="BF"/>
          <w:sz w:val="24"/>
          <w:szCs w:val="24"/>
        </w:rPr>
      </w:pPr>
      <w:r w:rsidRPr="00AC0678">
        <w:rPr>
          <w:rFonts w:cstheme="minorHAnsi"/>
          <w:b/>
          <w:bCs/>
          <w:color w:val="323E4F" w:themeColor="text2" w:themeShade="BF"/>
          <w:sz w:val="24"/>
          <w:szCs w:val="24"/>
        </w:rPr>
        <w:t>Izdaci za financijsku imovinu i otplate zajmova</w:t>
      </w:r>
      <w:r>
        <w:rPr>
          <w:rFonts w:cstheme="minorHAnsi"/>
          <w:b/>
          <w:bCs/>
          <w:color w:val="323E4F" w:themeColor="text2" w:themeShade="BF"/>
          <w:sz w:val="24"/>
          <w:szCs w:val="24"/>
        </w:rPr>
        <w:t xml:space="preserve"> planirani u iznosu od </w:t>
      </w:r>
      <w:r w:rsidR="00F918F8">
        <w:rPr>
          <w:rFonts w:cstheme="minorHAnsi"/>
          <w:b/>
          <w:bCs/>
          <w:color w:val="323E4F" w:themeColor="text2" w:themeShade="BF"/>
          <w:sz w:val="24"/>
          <w:szCs w:val="24"/>
        </w:rPr>
        <w:t>1</w:t>
      </w:r>
      <w:r w:rsidR="004800C3">
        <w:rPr>
          <w:rFonts w:cstheme="minorHAnsi"/>
          <w:b/>
          <w:bCs/>
          <w:color w:val="323E4F" w:themeColor="text2" w:themeShade="BF"/>
          <w:sz w:val="24"/>
          <w:szCs w:val="24"/>
        </w:rPr>
        <w:t>.000,00</w:t>
      </w:r>
      <w:r w:rsidR="00C526CB">
        <w:rPr>
          <w:rFonts w:cstheme="minorHAnsi"/>
          <w:b/>
          <w:bCs/>
          <w:color w:val="323E4F" w:themeColor="text2" w:themeShade="BF"/>
          <w:sz w:val="24"/>
          <w:szCs w:val="24"/>
        </w:rPr>
        <w:t xml:space="preserve"> eura </w:t>
      </w:r>
      <w:r w:rsidR="00C526CB" w:rsidRPr="00C526CB">
        <w:rPr>
          <w:rFonts w:cstheme="minorHAnsi"/>
          <w:color w:val="323E4F" w:themeColor="text2" w:themeShade="BF"/>
          <w:sz w:val="24"/>
          <w:szCs w:val="24"/>
        </w:rPr>
        <w:t xml:space="preserve">(financirano iz </w:t>
      </w:r>
      <w:r w:rsidR="004800C3">
        <w:rPr>
          <w:rFonts w:cstheme="minorHAnsi"/>
          <w:color w:val="323E4F" w:themeColor="text2" w:themeShade="BF"/>
          <w:sz w:val="24"/>
          <w:szCs w:val="24"/>
        </w:rPr>
        <w:t>općih prihoda i primitaka</w:t>
      </w:r>
      <w:r w:rsidR="00C526CB" w:rsidRPr="00C526CB">
        <w:rPr>
          <w:rFonts w:cstheme="minorHAnsi"/>
          <w:color w:val="323E4F" w:themeColor="text2" w:themeShade="BF"/>
          <w:sz w:val="24"/>
          <w:szCs w:val="24"/>
        </w:rPr>
        <w:t>).</w:t>
      </w:r>
    </w:p>
    <w:p w14:paraId="0498C7A3" w14:textId="034EFB76" w:rsidR="004435B2" w:rsidRDefault="00262340" w:rsidP="00614B8F">
      <w:pPr>
        <w:spacing w:after="0"/>
        <w:jc w:val="both"/>
        <w:rPr>
          <w:rFonts w:cstheme="minorHAnsi"/>
          <w:color w:val="323E4F" w:themeColor="text2" w:themeShade="BF"/>
          <w:sz w:val="24"/>
          <w:szCs w:val="24"/>
        </w:rPr>
      </w:pPr>
      <w:r w:rsidRPr="00262340">
        <w:rPr>
          <w:rFonts w:cstheme="minorHAnsi"/>
          <w:color w:val="323E4F" w:themeColor="text2" w:themeShade="BF"/>
          <w:sz w:val="24"/>
          <w:szCs w:val="24"/>
        </w:rPr>
        <w:t>Izdaci za financijsku imovinu i otplate zajmova planiraju se iz razloga što će  na kraju 202</w:t>
      </w:r>
      <w:r w:rsidR="00F918F8">
        <w:rPr>
          <w:rFonts w:cstheme="minorHAnsi"/>
          <w:color w:val="323E4F" w:themeColor="text2" w:themeShade="BF"/>
          <w:sz w:val="24"/>
          <w:szCs w:val="24"/>
        </w:rPr>
        <w:t>4</w:t>
      </w:r>
      <w:r w:rsidRPr="00262340">
        <w:rPr>
          <w:rFonts w:cstheme="minorHAnsi"/>
          <w:color w:val="323E4F" w:themeColor="text2" w:themeShade="BF"/>
          <w:sz w:val="24"/>
          <w:szCs w:val="24"/>
        </w:rPr>
        <w:t xml:space="preserve">. godine ostati povrat preostalog iznosa duga po namirenju povrata poreza i prireza na dohodak, a knjiženje na izdatke se obavlja temeljem Upute za </w:t>
      </w:r>
      <w:r>
        <w:rPr>
          <w:rFonts w:cstheme="minorHAnsi"/>
          <w:color w:val="323E4F" w:themeColor="text2" w:themeShade="BF"/>
          <w:sz w:val="24"/>
          <w:szCs w:val="24"/>
        </w:rPr>
        <w:t>e</w:t>
      </w:r>
      <w:r w:rsidRPr="00262340">
        <w:rPr>
          <w:rFonts w:cstheme="minorHAnsi"/>
          <w:color w:val="323E4F" w:themeColor="text2" w:themeShade="BF"/>
          <w:sz w:val="24"/>
          <w:szCs w:val="24"/>
        </w:rPr>
        <w:t>videntiranje prihoda od poreza na dohodak kod jedinica lokalne i područne (regionalne) samouprave od strane Ministarstva financija, a temeljem Izvještaja koje ispostavlja Fina.</w:t>
      </w:r>
    </w:p>
    <w:p w14:paraId="0ABDF9B7" w14:textId="64A14992" w:rsidR="007720E3" w:rsidRPr="007720E3" w:rsidRDefault="007720E3" w:rsidP="00614B8F">
      <w:pPr>
        <w:spacing w:after="0"/>
        <w:jc w:val="both"/>
        <w:rPr>
          <w:rFonts w:cstheme="minorHAnsi"/>
          <w:b/>
          <w:bCs/>
          <w:color w:val="323E4F" w:themeColor="text2" w:themeShade="BF"/>
          <w:sz w:val="24"/>
          <w:szCs w:val="24"/>
        </w:rPr>
      </w:pPr>
    </w:p>
    <w:p w14:paraId="397D6F56" w14:textId="77777777" w:rsidR="00614B8F" w:rsidRPr="00614B8F" w:rsidRDefault="00614B8F" w:rsidP="00614B8F">
      <w:pPr>
        <w:spacing w:after="0"/>
        <w:jc w:val="both"/>
        <w:rPr>
          <w:rFonts w:cstheme="minorHAnsi"/>
          <w:color w:val="8496B0" w:themeColor="text2" w:themeTint="99"/>
          <w:sz w:val="24"/>
          <w:szCs w:val="24"/>
        </w:rPr>
      </w:pPr>
    </w:p>
    <w:p w14:paraId="42BFB286" w14:textId="4495ED2F" w:rsidR="00D176CE" w:rsidRPr="00D176CE" w:rsidRDefault="00C209D2" w:rsidP="008B5D4A">
      <w:pPr>
        <w:spacing w:after="0"/>
        <w:ind w:left="567"/>
        <w:jc w:val="both"/>
        <w:rPr>
          <w:rFonts w:cstheme="minorHAnsi"/>
          <w:sz w:val="24"/>
          <w:szCs w:val="24"/>
          <w14:props3d w14:extrusionH="0" w14:contourW="0" w14:prstMaterial="warmMatte">
            <w14:bevelT w14:w="0" w14:h="25400" w14:prst="circle"/>
          </w14:props3d>
        </w:rPr>
      </w:pPr>
      <w:r w:rsidRPr="00B6007A">
        <w:rPr>
          <w:rFonts w:cstheme="minorHAnsi"/>
          <w:noProof/>
          <w:sz w:val="24"/>
          <w:szCs w:val="24"/>
          <w:lang w:eastAsia="hr-HR"/>
        </w:rPr>
        <w:lastRenderedPageBreak/>
        <w:drawing>
          <wp:inline distT="0" distB="0" distL="0" distR="0" wp14:anchorId="7AF198E1" wp14:editId="6AE824A6">
            <wp:extent cx="5514975" cy="4019550"/>
            <wp:effectExtent l="0" t="0" r="9525" b="0"/>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3CB7559" w14:textId="77777777" w:rsidR="00D176CE" w:rsidRDefault="00D176CE" w:rsidP="008B5D4A">
      <w:pPr>
        <w:ind w:left="426"/>
        <w:jc w:val="both"/>
        <w:rPr>
          <w:rFonts w:cstheme="minorHAnsi"/>
          <w:b/>
          <w:color w:val="8496B0" w:themeColor="text2" w:themeTint="99"/>
          <w:sz w:val="24"/>
          <w:szCs w:val="24"/>
        </w:rPr>
      </w:pPr>
    </w:p>
    <w:p w14:paraId="2B13A8C1" w14:textId="24614AB0" w:rsidR="008415B7" w:rsidRDefault="008415B7" w:rsidP="007602C9">
      <w:pPr>
        <w:jc w:val="both"/>
        <w:rPr>
          <w:rFonts w:cstheme="minorHAnsi"/>
          <w:b/>
          <w:color w:val="8496B0" w:themeColor="text2" w:themeTint="99"/>
          <w:sz w:val="24"/>
          <w:szCs w:val="24"/>
        </w:rPr>
      </w:pPr>
      <w:r w:rsidRPr="00B6007A">
        <w:rPr>
          <w:rFonts w:cstheme="minorHAnsi"/>
          <w:b/>
          <w:noProof/>
          <w:sz w:val="24"/>
          <w:szCs w:val="24"/>
          <w:lang w:eastAsia="hr-HR"/>
        </w:rPr>
        <w:drawing>
          <wp:anchor distT="0" distB="0" distL="114300" distR="114300" simplePos="0" relativeHeight="251666432" behindDoc="0" locked="0" layoutInCell="1" allowOverlap="1" wp14:anchorId="437B12C9" wp14:editId="1A344A08">
            <wp:simplePos x="0" y="0"/>
            <wp:positionH relativeFrom="page">
              <wp:align>center</wp:align>
            </wp:positionH>
            <wp:positionV relativeFrom="paragraph">
              <wp:posOffset>319405</wp:posOffset>
            </wp:positionV>
            <wp:extent cx="5724525" cy="3571875"/>
            <wp:effectExtent l="0" t="0" r="9525" b="9525"/>
            <wp:wrapSquare wrapText="bothSides"/>
            <wp:docPr id="1358147384" name="Grafikon 135814738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5A26FA68" w14:textId="77777777" w:rsidR="008415B7" w:rsidRDefault="008415B7" w:rsidP="007602C9">
      <w:pPr>
        <w:jc w:val="both"/>
        <w:rPr>
          <w:rFonts w:cstheme="minorHAnsi"/>
          <w:b/>
          <w:color w:val="8496B0" w:themeColor="text2" w:themeTint="99"/>
          <w:sz w:val="24"/>
          <w:szCs w:val="24"/>
        </w:rPr>
      </w:pPr>
    </w:p>
    <w:tbl>
      <w:tblPr>
        <w:tblStyle w:val="Reetkatablice"/>
        <w:tblW w:w="5000" w:type="pct"/>
        <w:tblInd w:w="279"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3685"/>
        <w:gridCol w:w="1844"/>
        <w:gridCol w:w="1986"/>
        <w:gridCol w:w="1971"/>
      </w:tblGrid>
      <w:tr w:rsidR="00D176CE" w:rsidRPr="00B8024D" w14:paraId="005C3F7B" w14:textId="77777777" w:rsidTr="00AE00A8">
        <w:trPr>
          <w:trHeight w:val="841"/>
        </w:trPr>
        <w:tc>
          <w:tcPr>
            <w:tcW w:w="1942" w:type="pct"/>
            <w:shd w:val="clear" w:color="auto" w:fill="D9E2F3" w:themeFill="accent1" w:themeFillTint="33"/>
            <w:vAlign w:val="center"/>
          </w:tcPr>
          <w:p w14:paraId="3EDF5D98" w14:textId="77777777" w:rsidR="00D176CE" w:rsidRPr="00B8024D" w:rsidRDefault="00D176CE" w:rsidP="00CD0B54">
            <w:pPr>
              <w:jc w:val="center"/>
              <w:rPr>
                <w:rFonts w:cstheme="minorHAnsi"/>
                <w:b/>
                <w:color w:val="4472C4" w:themeColor="accent1"/>
                <w:sz w:val="24"/>
                <w:szCs w:val="24"/>
              </w:rPr>
            </w:pPr>
            <w:r w:rsidRPr="00B8024D">
              <w:rPr>
                <w:rFonts w:cstheme="minorHAnsi"/>
                <w:b/>
                <w:color w:val="4472C4" w:themeColor="accent1"/>
                <w:sz w:val="24"/>
                <w:szCs w:val="24"/>
              </w:rPr>
              <w:lastRenderedPageBreak/>
              <w:t>RASHODI I IZDACI</w:t>
            </w:r>
          </w:p>
        </w:tc>
        <w:tc>
          <w:tcPr>
            <w:tcW w:w="972" w:type="pct"/>
            <w:shd w:val="clear" w:color="auto" w:fill="D9E2F3" w:themeFill="accent1" w:themeFillTint="33"/>
            <w:vAlign w:val="center"/>
          </w:tcPr>
          <w:p w14:paraId="67770410" w14:textId="48C31445" w:rsidR="00D176CE" w:rsidRPr="00B8024D" w:rsidRDefault="00D176CE" w:rsidP="00BC58E2">
            <w:pPr>
              <w:jc w:val="center"/>
              <w:rPr>
                <w:rFonts w:cstheme="minorHAnsi"/>
                <w:b/>
                <w:color w:val="4472C4" w:themeColor="accent1"/>
                <w:sz w:val="24"/>
                <w:szCs w:val="24"/>
              </w:rPr>
            </w:pPr>
            <w:r w:rsidRPr="00B8024D">
              <w:rPr>
                <w:rFonts w:cstheme="minorHAnsi"/>
                <w:b/>
                <w:color w:val="4472C4" w:themeColor="accent1"/>
                <w:sz w:val="24"/>
                <w:szCs w:val="24"/>
              </w:rPr>
              <w:t>PLAN 202</w:t>
            </w:r>
            <w:r w:rsidR="00033668">
              <w:rPr>
                <w:rFonts w:cstheme="minorHAnsi"/>
                <w:b/>
                <w:color w:val="4472C4" w:themeColor="accent1"/>
                <w:sz w:val="24"/>
                <w:szCs w:val="24"/>
              </w:rPr>
              <w:t>5</w:t>
            </w:r>
          </w:p>
        </w:tc>
        <w:tc>
          <w:tcPr>
            <w:tcW w:w="1047" w:type="pct"/>
            <w:shd w:val="clear" w:color="auto" w:fill="D9E2F3" w:themeFill="accent1" w:themeFillTint="33"/>
            <w:vAlign w:val="center"/>
          </w:tcPr>
          <w:p w14:paraId="49C8FB55" w14:textId="77880FFE" w:rsidR="00D176CE" w:rsidRPr="00B8024D" w:rsidRDefault="00D176CE" w:rsidP="00BC58E2">
            <w:pPr>
              <w:jc w:val="center"/>
              <w:rPr>
                <w:rFonts w:cstheme="minorHAnsi"/>
                <w:b/>
                <w:color w:val="4472C4" w:themeColor="accent1"/>
                <w:sz w:val="24"/>
                <w:szCs w:val="24"/>
              </w:rPr>
            </w:pPr>
            <w:r w:rsidRPr="00B8024D">
              <w:rPr>
                <w:rFonts w:cstheme="minorHAnsi"/>
                <w:b/>
                <w:color w:val="4472C4" w:themeColor="accent1"/>
                <w:sz w:val="24"/>
                <w:szCs w:val="24"/>
              </w:rPr>
              <w:t>PROJEKCIJE 202</w:t>
            </w:r>
            <w:r w:rsidR="00033668">
              <w:rPr>
                <w:rFonts w:cstheme="minorHAnsi"/>
                <w:b/>
                <w:color w:val="4472C4" w:themeColor="accent1"/>
                <w:sz w:val="24"/>
                <w:szCs w:val="24"/>
              </w:rPr>
              <w:t>6</w:t>
            </w:r>
            <w:r w:rsidRPr="00B8024D">
              <w:rPr>
                <w:rFonts w:cstheme="minorHAnsi"/>
                <w:b/>
                <w:color w:val="4472C4" w:themeColor="accent1"/>
                <w:sz w:val="24"/>
                <w:szCs w:val="24"/>
              </w:rPr>
              <w:t xml:space="preserve"> </w:t>
            </w:r>
          </w:p>
        </w:tc>
        <w:tc>
          <w:tcPr>
            <w:tcW w:w="1039" w:type="pct"/>
            <w:shd w:val="clear" w:color="auto" w:fill="D9E2F3" w:themeFill="accent1" w:themeFillTint="33"/>
            <w:vAlign w:val="center"/>
          </w:tcPr>
          <w:p w14:paraId="52DCEC26" w14:textId="0D54C3B2" w:rsidR="00D176CE" w:rsidRPr="00B8024D" w:rsidRDefault="00D176CE" w:rsidP="00BC58E2">
            <w:pPr>
              <w:jc w:val="center"/>
              <w:rPr>
                <w:rFonts w:cstheme="minorHAnsi"/>
                <w:b/>
                <w:color w:val="4472C4" w:themeColor="accent1"/>
                <w:sz w:val="24"/>
                <w:szCs w:val="24"/>
              </w:rPr>
            </w:pPr>
            <w:r w:rsidRPr="00B8024D">
              <w:rPr>
                <w:rFonts w:cstheme="minorHAnsi"/>
                <w:b/>
                <w:color w:val="4472C4" w:themeColor="accent1"/>
                <w:sz w:val="24"/>
                <w:szCs w:val="24"/>
              </w:rPr>
              <w:t>PROJEKCIJE 202</w:t>
            </w:r>
            <w:r w:rsidR="00033668">
              <w:rPr>
                <w:rFonts w:cstheme="minorHAnsi"/>
                <w:b/>
                <w:color w:val="4472C4" w:themeColor="accent1"/>
                <w:sz w:val="24"/>
                <w:szCs w:val="24"/>
              </w:rPr>
              <w:t>7</w:t>
            </w:r>
            <w:r w:rsidRPr="00B8024D">
              <w:rPr>
                <w:rFonts w:cstheme="minorHAnsi"/>
                <w:b/>
                <w:color w:val="4472C4" w:themeColor="accent1"/>
                <w:sz w:val="24"/>
                <w:szCs w:val="24"/>
              </w:rPr>
              <w:t xml:space="preserve"> </w:t>
            </w:r>
          </w:p>
        </w:tc>
      </w:tr>
      <w:tr w:rsidR="00706012" w:rsidRPr="00B8024D" w14:paraId="2A98E5DA" w14:textId="77777777" w:rsidTr="00AE00A8">
        <w:trPr>
          <w:trHeight w:val="466"/>
        </w:trPr>
        <w:tc>
          <w:tcPr>
            <w:tcW w:w="1942" w:type="pct"/>
            <w:shd w:val="clear" w:color="auto" w:fill="E7E6E6" w:themeFill="background2"/>
            <w:vAlign w:val="center"/>
          </w:tcPr>
          <w:p w14:paraId="4E44F1AA" w14:textId="6DFD018E" w:rsidR="00706012" w:rsidRPr="00B8024D" w:rsidRDefault="00706012" w:rsidP="00706012">
            <w:pPr>
              <w:rPr>
                <w:rFonts w:cstheme="minorHAnsi"/>
                <w:b/>
                <w:sz w:val="20"/>
                <w:szCs w:val="20"/>
              </w:rPr>
            </w:pPr>
            <w:r>
              <w:rPr>
                <w:rFonts w:cstheme="minorHAnsi"/>
                <w:b/>
                <w:sz w:val="20"/>
                <w:szCs w:val="20"/>
              </w:rPr>
              <w:t>UKUPNI RASHODI I IZDACI</w:t>
            </w:r>
          </w:p>
        </w:tc>
        <w:tc>
          <w:tcPr>
            <w:tcW w:w="972" w:type="pct"/>
            <w:shd w:val="clear" w:color="auto" w:fill="E7E6E6" w:themeFill="background2"/>
            <w:vAlign w:val="center"/>
          </w:tcPr>
          <w:p w14:paraId="45F7F7F9" w14:textId="148E5CDD" w:rsidR="00706012" w:rsidRDefault="00033668" w:rsidP="00706012">
            <w:pPr>
              <w:jc w:val="right"/>
              <w:rPr>
                <w:rFonts w:cstheme="minorHAnsi"/>
                <w:b/>
              </w:rPr>
            </w:pPr>
            <w:r>
              <w:rPr>
                <w:rFonts w:cstheme="minorHAnsi"/>
                <w:b/>
              </w:rPr>
              <w:t>2.080.000</w:t>
            </w:r>
            <w:r w:rsidR="00706012">
              <w:rPr>
                <w:rFonts w:cstheme="minorHAnsi"/>
                <w:b/>
              </w:rPr>
              <w:t>,00</w:t>
            </w:r>
          </w:p>
        </w:tc>
        <w:tc>
          <w:tcPr>
            <w:tcW w:w="1047" w:type="pct"/>
            <w:shd w:val="clear" w:color="auto" w:fill="E7E6E6" w:themeFill="background2"/>
            <w:vAlign w:val="center"/>
          </w:tcPr>
          <w:p w14:paraId="54F0F6E7" w14:textId="6FA0B0FC" w:rsidR="00706012" w:rsidRDefault="00033668" w:rsidP="00706012">
            <w:pPr>
              <w:jc w:val="right"/>
              <w:rPr>
                <w:rFonts w:cstheme="minorHAnsi"/>
                <w:b/>
              </w:rPr>
            </w:pPr>
            <w:r>
              <w:rPr>
                <w:rFonts w:cstheme="minorHAnsi"/>
                <w:b/>
              </w:rPr>
              <w:t>2.080.000</w:t>
            </w:r>
            <w:r w:rsidR="00706012">
              <w:rPr>
                <w:rFonts w:cstheme="minorHAnsi"/>
                <w:b/>
              </w:rPr>
              <w:t>,00</w:t>
            </w:r>
          </w:p>
        </w:tc>
        <w:tc>
          <w:tcPr>
            <w:tcW w:w="1039" w:type="pct"/>
            <w:shd w:val="clear" w:color="auto" w:fill="E7E6E6" w:themeFill="background2"/>
            <w:vAlign w:val="center"/>
          </w:tcPr>
          <w:p w14:paraId="3B3CE7E4" w14:textId="2C7AB04B" w:rsidR="00706012" w:rsidRDefault="00033668" w:rsidP="00706012">
            <w:pPr>
              <w:jc w:val="right"/>
              <w:rPr>
                <w:rFonts w:cstheme="minorHAnsi"/>
                <w:b/>
              </w:rPr>
            </w:pPr>
            <w:r>
              <w:rPr>
                <w:rFonts w:cstheme="minorHAnsi"/>
                <w:b/>
              </w:rPr>
              <w:t>2.080.000</w:t>
            </w:r>
            <w:r w:rsidR="00706012">
              <w:rPr>
                <w:rFonts w:cstheme="minorHAnsi"/>
                <w:b/>
              </w:rPr>
              <w:t>,00</w:t>
            </w:r>
          </w:p>
        </w:tc>
      </w:tr>
      <w:tr w:rsidR="00706012" w:rsidRPr="00B8024D" w14:paraId="6FD542D5" w14:textId="77777777" w:rsidTr="00AE00A8">
        <w:trPr>
          <w:trHeight w:val="466"/>
        </w:trPr>
        <w:tc>
          <w:tcPr>
            <w:tcW w:w="1942" w:type="pct"/>
            <w:shd w:val="clear" w:color="auto" w:fill="E7E6E6" w:themeFill="background2"/>
            <w:vAlign w:val="center"/>
          </w:tcPr>
          <w:p w14:paraId="6DFC04B5" w14:textId="77777777" w:rsidR="00706012" w:rsidRPr="00B8024D" w:rsidRDefault="00706012" w:rsidP="00706012">
            <w:pPr>
              <w:rPr>
                <w:rFonts w:cstheme="minorHAnsi"/>
                <w:b/>
                <w:sz w:val="20"/>
                <w:szCs w:val="20"/>
              </w:rPr>
            </w:pPr>
            <w:bookmarkStart w:id="7" w:name="_Hlk153889136"/>
            <w:r w:rsidRPr="00B8024D">
              <w:rPr>
                <w:rFonts w:cstheme="minorHAnsi"/>
                <w:b/>
                <w:sz w:val="20"/>
                <w:szCs w:val="20"/>
              </w:rPr>
              <w:t>3 Rashodi poslovanja</w:t>
            </w:r>
          </w:p>
        </w:tc>
        <w:tc>
          <w:tcPr>
            <w:tcW w:w="972" w:type="pct"/>
            <w:shd w:val="clear" w:color="auto" w:fill="E7E6E6" w:themeFill="background2"/>
            <w:vAlign w:val="center"/>
          </w:tcPr>
          <w:p w14:paraId="784D8857" w14:textId="0866A77D" w:rsidR="00706012" w:rsidRPr="00B8024D" w:rsidRDefault="00033668" w:rsidP="00706012">
            <w:pPr>
              <w:jc w:val="right"/>
              <w:rPr>
                <w:rFonts w:cstheme="minorHAnsi"/>
                <w:b/>
              </w:rPr>
            </w:pPr>
            <w:r>
              <w:rPr>
                <w:rFonts w:cstheme="minorHAnsi"/>
                <w:b/>
              </w:rPr>
              <w:t>1.057.700</w:t>
            </w:r>
            <w:r w:rsidR="00706012">
              <w:rPr>
                <w:rFonts w:cstheme="minorHAnsi"/>
                <w:b/>
              </w:rPr>
              <w:t>,00</w:t>
            </w:r>
          </w:p>
        </w:tc>
        <w:tc>
          <w:tcPr>
            <w:tcW w:w="1047" w:type="pct"/>
            <w:shd w:val="clear" w:color="auto" w:fill="E7E6E6" w:themeFill="background2"/>
            <w:vAlign w:val="center"/>
          </w:tcPr>
          <w:p w14:paraId="5174721B" w14:textId="3DC2656E" w:rsidR="00706012" w:rsidRPr="00B8024D" w:rsidRDefault="00033668" w:rsidP="00706012">
            <w:pPr>
              <w:jc w:val="right"/>
              <w:rPr>
                <w:rFonts w:cstheme="minorHAnsi"/>
                <w:b/>
              </w:rPr>
            </w:pPr>
            <w:r>
              <w:rPr>
                <w:rFonts w:cstheme="minorHAnsi"/>
                <w:b/>
              </w:rPr>
              <w:t>869.400</w:t>
            </w:r>
            <w:r w:rsidR="00706012">
              <w:rPr>
                <w:rFonts w:cstheme="minorHAnsi"/>
                <w:b/>
              </w:rPr>
              <w:t>,00</w:t>
            </w:r>
          </w:p>
        </w:tc>
        <w:tc>
          <w:tcPr>
            <w:tcW w:w="1039" w:type="pct"/>
            <w:shd w:val="clear" w:color="auto" w:fill="E7E6E6" w:themeFill="background2"/>
            <w:vAlign w:val="center"/>
          </w:tcPr>
          <w:p w14:paraId="7B4A636D" w14:textId="249C39E2" w:rsidR="00706012" w:rsidRPr="00B8024D" w:rsidRDefault="00033668" w:rsidP="00706012">
            <w:pPr>
              <w:jc w:val="right"/>
              <w:rPr>
                <w:rFonts w:cstheme="minorHAnsi"/>
                <w:b/>
              </w:rPr>
            </w:pPr>
            <w:r>
              <w:rPr>
                <w:rFonts w:cstheme="minorHAnsi"/>
                <w:b/>
              </w:rPr>
              <w:t>870.400</w:t>
            </w:r>
            <w:r w:rsidR="00706012">
              <w:rPr>
                <w:rFonts w:cstheme="minorHAnsi"/>
                <w:b/>
              </w:rPr>
              <w:t>,00</w:t>
            </w:r>
          </w:p>
        </w:tc>
      </w:tr>
      <w:bookmarkEnd w:id="7"/>
      <w:tr w:rsidR="00706012" w:rsidRPr="00B8024D" w14:paraId="3DFDD72D" w14:textId="77777777" w:rsidTr="00AE00A8">
        <w:trPr>
          <w:trHeight w:val="372"/>
        </w:trPr>
        <w:tc>
          <w:tcPr>
            <w:tcW w:w="1942" w:type="pct"/>
            <w:vAlign w:val="center"/>
          </w:tcPr>
          <w:p w14:paraId="6371D77E" w14:textId="77777777" w:rsidR="00706012" w:rsidRPr="00B8024D" w:rsidRDefault="00706012" w:rsidP="00706012">
            <w:pPr>
              <w:rPr>
                <w:rFonts w:cstheme="minorHAnsi"/>
                <w:bCs/>
                <w:sz w:val="20"/>
                <w:szCs w:val="20"/>
              </w:rPr>
            </w:pPr>
            <w:r w:rsidRPr="00B8024D">
              <w:rPr>
                <w:rFonts w:cstheme="minorHAnsi"/>
                <w:b/>
                <w:sz w:val="20"/>
                <w:szCs w:val="20"/>
              </w:rPr>
              <w:t xml:space="preserve">31 </w:t>
            </w:r>
            <w:r w:rsidRPr="00B8024D">
              <w:rPr>
                <w:rFonts w:cstheme="minorHAnsi"/>
                <w:bCs/>
                <w:sz w:val="20"/>
                <w:szCs w:val="20"/>
              </w:rPr>
              <w:t>Rashodi za zaposlene</w:t>
            </w:r>
          </w:p>
        </w:tc>
        <w:tc>
          <w:tcPr>
            <w:tcW w:w="972" w:type="pct"/>
            <w:vAlign w:val="center"/>
          </w:tcPr>
          <w:p w14:paraId="2164EF31" w14:textId="099C7226" w:rsidR="00706012" w:rsidRPr="00B8024D" w:rsidRDefault="00033668" w:rsidP="00706012">
            <w:pPr>
              <w:jc w:val="right"/>
              <w:rPr>
                <w:rFonts w:cstheme="minorHAnsi"/>
              </w:rPr>
            </w:pPr>
            <w:r>
              <w:rPr>
                <w:rFonts w:cstheme="minorHAnsi"/>
              </w:rPr>
              <w:t>335.450</w:t>
            </w:r>
            <w:r w:rsidR="00706012">
              <w:rPr>
                <w:rFonts w:cstheme="minorHAnsi"/>
              </w:rPr>
              <w:t>,00</w:t>
            </w:r>
          </w:p>
        </w:tc>
        <w:tc>
          <w:tcPr>
            <w:tcW w:w="1047" w:type="pct"/>
            <w:vAlign w:val="center"/>
          </w:tcPr>
          <w:p w14:paraId="3838EC4A" w14:textId="5FAAED85" w:rsidR="00706012" w:rsidRPr="00B8024D" w:rsidRDefault="00033668" w:rsidP="00706012">
            <w:pPr>
              <w:jc w:val="right"/>
              <w:rPr>
                <w:rFonts w:cstheme="minorHAnsi"/>
              </w:rPr>
            </w:pPr>
            <w:r>
              <w:rPr>
                <w:rFonts w:cstheme="minorHAnsi"/>
              </w:rPr>
              <w:t>343.0</w:t>
            </w:r>
            <w:r w:rsidR="00706012">
              <w:rPr>
                <w:rFonts w:cstheme="minorHAnsi"/>
              </w:rPr>
              <w:t>00,00</w:t>
            </w:r>
          </w:p>
        </w:tc>
        <w:tc>
          <w:tcPr>
            <w:tcW w:w="1039" w:type="pct"/>
            <w:vAlign w:val="center"/>
          </w:tcPr>
          <w:p w14:paraId="7ACDA347" w14:textId="35291A45" w:rsidR="00706012" w:rsidRPr="00B8024D" w:rsidRDefault="00033668" w:rsidP="00706012">
            <w:pPr>
              <w:jc w:val="right"/>
              <w:rPr>
                <w:rFonts w:cstheme="minorHAnsi"/>
              </w:rPr>
            </w:pPr>
            <w:r>
              <w:rPr>
                <w:rFonts w:cstheme="minorHAnsi"/>
              </w:rPr>
              <w:t>345.0</w:t>
            </w:r>
            <w:r w:rsidR="00706012">
              <w:rPr>
                <w:rFonts w:cstheme="minorHAnsi"/>
              </w:rPr>
              <w:t>00,00</w:t>
            </w:r>
          </w:p>
        </w:tc>
      </w:tr>
      <w:tr w:rsidR="00706012" w:rsidRPr="00B8024D" w14:paraId="5A25A2D9" w14:textId="77777777" w:rsidTr="00AE00A8">
        <w:trPr>
          <w:trHeight w:val="450"/>
        </w:trPr>
        <w:tc>
          <w:tcPr>
            <w:tcW w:w="1942" w:type="pct"/>
            <w:vAlign w:val="center"/>
          </w:tcPr>
          <w:p w14:paraId="4E34A0E7" w14:textId="77777777" w:rsidR="00706012" w:rsidRPr="00B8024D" w:rsidRDefault="00706012" w:rsidP="00706012">
            <w:pPr>
              <w:rPr>
                <w:rFonts w:cstheme="minorHAnsi"/>
                <w:bCs/>
                <w:sz w:val="20"/>
                <w:szCs w:val="20"/>
              </w:rPr>
            </w:pPr>
            <w:r w:rsidRPr="00B8024D">
              <w:rPr>
                <w:rFonts w:cstheme="minorHAnsi"/>
                <w:b/>
                <w:sz w:val="20"/>
                <w:szCs w:val="20"/>
              </w:rPr>
              <w:t xml:space="preserve">32 </w:t>
            </w:r>
            <w:r w:rsidRPr="00B8024D">
              <w:rPr>
                <w:rFonts w:cstheme="minorHAnsi"/>
                <w:bCs/>
                <w:sz w:val="20"/>
                <w:szCs w:val="20"/>
              </w:rPr>
              <w:t>Materijalni rashodi</w:t>
            </w:r>
          </w:p>
        </w:tc>
        <w:tc>
          <w:tcPr>
            <w:tcW w:w="972" w:type="pct"/>
            <w:vAlign w:val="center"/>
          </w:tcPr>
          <w:p w14:paraId="540DA9AA" w14:textId="117873E8" w:rsidR="00706012" w:rsidRPr="00B8024D" w:rsidRDefault="00033668" w:rsidP="00706012">
            <w:pPr>
              <w:jc w:val="right"/>
              <w:rPr>
                <w:rFonts w:cstheme="minorHAnsi"/>
              </w:rPr>
            </w:pPr>
            <w:r>
              <w:rPr>
                <w:rFonts w:cstheme="minorHAnsi"/>
              </w:rPr>
              <w:t>569.25</w:t>
            </w:r>
            <w:r w:rsidR="00706012">
              <w:rPr>
                <w:rFonts w:cstheme="minorHAnsi"/>
              </w:rPr>
              <w:t>0,00</w:t>
            </w:r>
          </w:p>
        </w:tc>
        <w:tc>
          <w:tcPr>
            <w:tcW w:w="1047" w:type="pct"/>
            <w:vAlign w:val="center"/>
          </w:tcPr>
          <w:p w14:paraId="2B32C03E" w14:textId="7AFE0DF4" w:rsidR="00706012" w:rsidRPr="00B8024D" w:rsidRDefault="00706012" w:rsidP="00706012">
            <w:pPr>
              <w:jc w:val="right"/>
              <w:rPr>
                <w:rFonts w:cstheme="minorHAnsi"/>
              </w:rPr>
            </w:pPr>
            <w:r>
              <w:rPr>
                <w:rFonts w:cstheme="minorHAnsi"/>
              </w:rPr>
              <w:t>42</w:t>
            </w:r>
            <w:r w:rsidR="00033668">
              <w:rPr>
                <w:rFonts w:cstheme="minorHAnsi"/>
              </w:rPr>
              <w:t>1</w:t>
            </w:r>
            <w:r>
              <w:rPr>
                <w:rFonts w:cstheme="minorHAnsi"/>
              </w:rPr>
              <w:t>.900,00</w:t>
            </w:r>
          </w:p>
        </w:tc>
        <w:tc>
          <w:tcPr>
            <w:tcW w:w="1039" w:type="pct"/>
            <w:vAlign w:val="center"/>
          </w:tcPr>
          <w:p w14:paraId="5505CA10" w14:textId="4EBAB5FE" w:rsidR="00706012" w:rsidRPr="00B8024D" w:rsidRDefault="00033668" w:rsidP="00706012">
            <w:pPr>
              <w:jc w:val="right"/>
              <w:rPr>
                <w:rFonts w:cstheme="minorHAnsi"/>
              </w:rPr>
            </w:pPr>
            <w:r>
              <w:rPr>
                <w:rFonts w:cstheme="minorHAnsi"/>
              </w:rPr>
              <w:t>420</w:t>
            </w:r>
            <w:r w:rsidR="00706012">
              <w:rPr>
                <w:rFonts w:cstheme="minorHAnsi"/>
              </w:rPr>
              <w:t>.</w:t>
            </w:r>
            <w:r>
              <w:rPr>
                <w:rFonts w:cstheme="minorHAnsi"/>
              </w:rPr>
              <w:t>9</w:t>
            </w:r>
            <w:r w:rsidR="00706012">
              <w:rPr>
                <w:rFonts w:cstheme="minorHAnsi"/>
              </w:rPr>
              <w:t>00,00</w:t>
            </w:r>
          </w:p>
        </w:tc>
      </w:tr>
      <w:tr w:rsidR="00706012" w:rsidRPr="00B8024D" w14:paraId="3015D901" w14:textId="77777777" w:rsidTr="00AE00A8">
        <w:trPr>
          <w:trHeight w:val="370"/>
        </w:trPr>
        <w:tc>
          <w:tcPr>
            <w:tcW w:w="1942" w:type="pct"/>
            <w:vAlign w:val="center"/>
          </w:tcPr>
          <w:p w14:paraId="70E55345" w14:textId="77777777" w:rsidR="00706012" w:rsidRPr="00B8024D" w:rsidRDefault="00706012" w:rsidP="00706012">
            <w:pPr>
              <w:rPr>
                <w:rFonts w:cstheme="minorHAnsi"/>
                <w:bCs/>
                <w:sz w:val="20"/>
                <w:szCs w:val="20"/>
              </w:rPr>
            </w:pPr>
            <w:r w:rsidRPr="00B8024D">
              <w:rPr>
                <w:rFonts w:cstheme="minorHAnsi"/>
                <w:b/>
                <w:sz w:val="20"/>
                <w:szCs w:val="20"/>
              </w:rPr>
              <w:t xml:space="preserve">34 </w:t>
            </w:r>
            <w:r w:rsidRPr="00B8024D">
              <w:rPr>
                <w:rFonts w:cstheme="minorHAnsi"/>
                <w:bCs/>
                <w:sz w:val="20"/>
                <w:szCs w:val="20"/>
              </w:rPr>
              <w:t>Financijski rashodi</w:t>
            </w:r>
          </w:p>
        </w:tc>
        <w:tc>
          <w:tcPr>
            <w:tcW w:w="972" w:type="pct"/>
            <w:vAlign w:val="center"/>
          </w:tcPr>
          <w:p w14:paraId="28B8623F" w14:textId="7ACBB268" w:rsidR="00706012" w:rsidRPr="00B8024D" w:rsidRDefault="00706012" w:rsidP="00706012">
            <w:pPr>
              <w:jc w:val="right"/>
              <w:rPr>
                <w:rFonts w:cstheme="minorHAnsi"/>
                <w:bCs/>
              </w:rPr>
            </w:pPr>
            <w:r>
              <w:rPr>
                <w:rFonts w:cstheme="minorHAnsi"/>
                <w:bCs/>
              </w:rPr>
              <w:t>1.950,00</w:t>
            </w:r>
          </w:p>
        </w:tc>
        <w:tc>
          <w:tcPr>
            <w:tcW w:w="1047" w:type="pct"/>
            <w:vAlign w:val="center"/>
          </w:tcPr>
          <w:p w14:paraId="449DDF2E" w14:textId="46E2FF90" w:rsidR="00706012" w:rsidRPr="00B8024D" w:rsidRDefault="00033668" w:rsidP="00706012">
            <w:pPr>
              <w:jc w:val="right"/>
              <w:rPr>
                <w:rFonts w:cstheme="minorHAnsi"/>
                <w:bCs/>
              </w:rPr>
            </w:pPr>
            <w:r>
              <w:rPr>
                <w:rFonts w:cstheme="minorHAnsi"/>
                <w:bCs/>
              </w:rPr>
              <w:t>2.00</w:t>
            </w:r>
            <w:r w:rsidR="00706012">
              <w:rPr>
                <w:rFonts w:cstheme="minorHAnsi"/>
                <w:bCs/>
              </w:rPr>
              <w:t>0,00</w:t>
            </w:r>
          </w:p>
        </w:tc>
        <w:tc>
          <w:tcPr>
            <w:tcW w:w="1039" w:type="pct"/>
            <w:vAlign w:val="center"/>
          </w:tcPr>
          <w:p w14:paraId="7787CECF" w14:textId="68936507" w:rsidR="00706012" w:rsidRPr="00B8024D" w:rsidRDefault="00033668" w:rsidP="00706012">
            <w:pPr>
              <w:jc w:val="right"/>
              <w:rPr>
                <w:rFonts w:cstheme="minorHAnsi"/>
                <w:bCs/>
              </w:rPr>
            </w:pPr>
            <w:r>
              <w:rPr>
                <w:rFonts w:cstheme="minorHAnsi"/>
                <w:bCs/>
              </w:rPr>
              <w:t>2.000</w:t>
            </w:r>
            <w:r w:rsidR="00706012">
              <w:rPr>
                <w:rFonts w:cstheme="minorHAnsi"/>
                <w:bCs/>
              </w:rPr>
              <w:t>,00</w:t>
            </w:r>
          </w:p>
        </w:tc>
      </w:tr>
      <w:tr w:rsidR="00033668" w:rsidRPr="00B8024D" w14:paraId="1052C6F4" w14:textId="77777777" w:rsidTr="00AE00A8">
        <w:trPr>
          <w:trHeight w:val="370"/>
        </w:trPr>
        <w:tc>
          <w:tcPr>
            <w:tcW w:w="1942" w:type="pct"/>
            <w:vAlign w:val="center"/>
          </w:tcPr>
          <w:p w14:paraId="65F3BB16" w14:textId="046EE441" w:rsidR="00033668" w:rsidRPr="00033668" w:rsidRDefault="00033668" w:rsidP="00706012">
            <w:pPr>
              <w:rPr>
                <w:rFonts w:cstheme="minorHAnsi"/>
                <w:bCs/>
                <w:sz w:val="20"/>
                <w:szCs w:val="20"/>
              </w:rPr>
            </w:pPr>
            <w:r>
              <w:rPr>
                <w:rFonts w:cstheme="minorHAnsi"/>
                <w:b/>
                <w:sz w:val="20"/>
                <w:szCs w:val="20"/>
              </w:rPr>
              <w:t xml:space="preserve">36 </w:t>
            </w:r>
            <w:r>
              <w:rPr>
                <w:rFonts w:cstheme="minorHAnsi"/>
                <w:bCs/>
                <w:sz w:val="20"/>
                <w:szCs w:val="20"/>
              </w:rPr>
              <w:t>Pomoći dane u inozemstvo i unutar općeg proračuna</w:t>
            </w:r>
          </w:p>
        </w:tc>
        <w:tc>
          <w:tcPr>
            <w:tcW w:w="972" w:type="pct"/>
            <w:vAlign w:val="center"/>
          </w:tcPr>
          <w:p w14:paraId="525D24CA" w14:textId="30497997" w:rsidR="00033668" w:rsidRDefault="00024C6C" w:rsidP="00706012">
            <w:pPr>
              <w:jc w:val="right"/>
              <w:rPr>
                <w:rFonts w:cstheme="minorHAnsi"/>
                <w:bCs/>
              </w:rPr>
            </w:pPr>
            <w:r>
              <w:rPr>
                <w:rFonts w:cstheme="minorHAnsi"/>
                <w:bCs/>
              </w:rPr>
              <w:t>23.900,00</w:t>
            </w:r>
          </w:p>
        </w:tc>
        <w:tc>
          <w:tcPr>
            <w:tcW w:w="1047" w:type="pct"/>
            <w:vAlign w:val="center"/>
          </w:tcPr>
          <w:p w14:paraId="5A594581" w14:textId="68C9EA3B" w:rsidR="00033668" w:rsidRDefault="00024C6C" w:rsidP="00706012">
            <w:pPr>
              <w:jc w:val="right"/>
              <w:rPr>
                <w:rFonts w:cstheme="minorHAnsi"/>
                <w:bCs/>
              </w:rPr>
            </w:pPr>
            <w:r>
              <w:rPr>
                <w:rFonts w:cstheme="minorHAnsi"/>
                <w:bCs/>
              </w:rPr>
              <w:t>23.900,00</w:t>
            </w:r>
          </w:p>
        </w:tc>
        <w:tc>
          <w:tcPr>
            <w:tcW w:w="1039" w:type="pct"/>
            <w:vAlign w:val="center"/>
          </w:tcPr>
          <w:p w14:paraId="2DCC43D3" w14:textId="7170B93B" w:rsidR="00033668" w:rsidRDefault="00024C6C" w:rsidP="00706012">
            <w:pPr>
              <w:jc w:val="right"/>
              <w:rPr>
                <w:rFonts w:cstheme="minorHAnsi"/>
                <w:bCs/>
              </w:rPr>
            </w:pPr>
            <w:r>
              <w:rPr>
                <w:rFonts w:cstheme="minorHAnsi"/>
                <w:bCs/>
              </w:rPr>
              <w:t>23.900,00</w:t>
            </w:r>
          </w:p>
        </w:tc>
      </w:tr>
      <w:tr w:rsidR="00706012" w:rsidRPr="00B8024D" w14:paraId="37720342" w14:textId="77777777" w:rsidTr="00AE00A8">
        <w:trPr>
          <w:trHeight w:val="275"/>
        </w:trPr>
        <w:tc>
          <w:tcPr>
            <w:tcW w:w="1942" w:type="pct"/>
            <w:vAlign w:val="center"/>
          </w:tcPr>
          <w:p w14:paraId="5754ED17" w14:textId="77777777" w:rsidR="00706012" w:rsidRPr="00B8024D" w:rsidRDefault="00706012" w:rsidP="00706012">
            <w:pPr>
              <w:rPr>
                <w:rFonts w:cstheme="minorHAnsi"/>
                <w:b/>
                <w:sz w:val="20"/>
                <w:szCs w:val="20"/>
              </w:rPr>
            </w:pPr>
            <w:r w:rsidRPr="00B8024D">
              <w:rPr>
                <w:rFonts w:cstheme="minorHAnsi"/>
                <w:b/>
                <w:sz w:val="20"/>
                <w:szCs w:val="20"/>
              </w:rPr>
              <w:t>37</w:t>
            </w:r>
            <w:r w:rsidRPr="00B8024D">
              <w:rPr>
                <w:rFonts w:cstheme="minorHAnsi"/>
                <w:bCs/>
                <w:sz w:val="20"/>
                <w:szCs w:val="20"/>
              </w:rPr>
              <w:t xml:space="preserve"> Naknade građanima i kućanstvima</w:t>
            </w:r>
          </w:p>
        </w:tc>
        <w:tc>
          <w:tcPr>
            <w:tcW w:w="972" w:type="pct"/>
            <w:vAlign w:val="center"/>
          </w:tcPr>
          <w:p w14:paraId="70187022" w14:textId="3D528302" w:rsidR="00706012" w:rsidRPr="00B8024D" w:rsidRDefault="00706012" w:rsidP="00706012">
            <w:pPr>
              <w:jc w:val="right"/>
              <w:rPr>
                <w:rFonts w:cstheme="minorHAnsi"/>
              </w:rPr>
            </w:pPr>
            <w:r>
              <w:rPr>
                <w:rFonts w:cstheme="minorHAnsi"/>
              </w:rPr>
              <w:t>2</w:t>
            </w:r>
            <w:r w:rsidR="00024C6C">
              <w:rPr>
                <w:rFonts w:cstheme="minorHAnsi"/>
              </w:rPr>
              <w:t>3.130,00</w:t>
            </w:r>
          </w:p>
        </w:tc>
        <w:tc>
          <w:tcPr>
            <w:tcW w:w="1047" w:type="pct"/>
            <w:vAlign w:val="center"/>
          </w:tcPr>
          <w:p w14:paraId="7492ADF4" w14:textId="160F28B3" w:rsidR="00706012" w:rsidRPr="00B8024D" w:rsidRDefault="00024C6C" w:rsidP="00706012">
            <w:pPr>
              <w:jc w:val="right"/>
              <w:rPr>
                <w:rFonts w:cstheme="minorHAnsi"/>
              </w:rPr>
            </w:pPr>
            <w:r>
              <w:rPr>
                <w:rFonts w:cstheme="minorHAnsi"/>
              </w:rPr>
              <w:t>21.830,00</w:t>
            </w:r>
          </w:p>
        </w:tc>
        <w:tc>
          <w:tcPr>
            <w:tcW w:w="1039" w:type="pct"/>
            <w:vAlign w:val="center"/>
          </w:tcPr>
          <w:p w14:paraId="3A284F2B" w14:textId="623A91AD" w:rsidR="00706012" w:rsidRPr="00B8024D" w:rsidRDefault="00706012" w:rsidP="00706012">
            <w:pPr>
              <w:jc w:val="right"/>
              <w:rPr>
                <w:rFonts w:cstheme="minorHAnsi"/>
              </w:rPr>
            </w:pPr>
            <w:r>
              <w:rPr>
                <w:rFonts w:cstheme="minorHAnsi"/>
              </w:rPr>
              <w:t>2</w:t>
            </w:r>
            <w:r w:rsidR="00024C6C">
              <w:rPr>
                <w:rFonts w:cstheme="minorHAnsi"/>
              </w:rPr>
              <w:t>2.330,00</w:t>
            </w:r>
          </w:p>
        </w:tc>
      </w:tr>
      <w:tr w:rsidR="00706012" w:rsidRPr="00B8024D" w14:paraId="6C87EA42" w14:textId="77777777" w:rsidTr="00AE00A8">
        <w:trPr>
          <w:trHeight w:val="422"/>
        </w:trPr>
        <w:tc>
          <w:tcPr>
            <w:tcW w:w="1942" w:type="pct"/>
            <w:vAlign w:val="center"/>
          </w:tcPr>
          <w:p w14:paraId="2BF3BE44" w14:textId="77777777" w:rsidR="00706012" w:rsidRPr="00B8024D" w:rsidRDefault="00706012" w:rsidP="00706012">
            <w:pPr>
              <w:rPr>
                <w:rFonts w:cstheme="minorHAnsi"/>
                <w:bCs/>
                <w:sz w:val="20"/>
                <w:szCs w:val="20"/>
              </w:rPr>
            </w:pPr>
            <w:r w:rsidRPr="00B8024D">
              <w:rPr>
                <w:rFonts w:cstheme="minorHAnsi"/>
                <w:b/>
                <w:sz w:val="20"/>
                <w:szCs w:val="20"/>
              </w:rPr>
              <w:t>38</w:t>
            </w:r>
            <w:r w:rsidRPr="00B8024D">
              <w:rPr>
                <w:rFonts w:cstheme="minorHAnsi"/>
                <w:bCs/>
                <w:sz w:val="20"/>
                <w:szCs w:val="20"/>
              </w:rPr>
              <w:t xml:space="preserve"> Ostali rashodi</w:t>
            </w:r>
          </w:p>
        </w:tc>
        <w:tc>
          <w:tcPr>
            <w:tcW w:w="972" w:type="pct"/>
            <w:vAlign w:val="center"/>
          </w:tcPr>
          <w:p w14:paraId="40D6EE86" w14:textId="4914CE50" w:rsidR="00706012" w:rsidRPr="00B8024D" w:rsidRDefault="00024C6C" w:rsidP="00706012">
            <w:pPr>
              <w:jc w:val="right"/>
              <w:rPr>
                <w:rFonts w:cstheme="minorHAnsi"/>
                <w:bCs/>
              </w:rPr>
            </w:pPr>
            <w:r>
              <w:rPr>
                <w:rFonts w:cstheme="minorHAnsi"/>
                <w:bCs/>
              </w:rPr>
              <w:t>103.970,00</w:t>
            </w:r>
          </w:p>
        </w:tc>
        <w:tc>
          <w:tcPr>
            <w:tcW w:w="1047" w:type="pct"/>
            <w:vAlign w:val="center"/>
          </w:tcPr>
          <w:p w14:paraId="108970E3" w14:textId="747345A3" w:rsidR="00706012" w:rsidRPr="00B8024D" w:rsidRDefault="00024C6C" w:rsidP="00706012">
            <w:pPr>
              <w:jc w:val="right"/>
              <w:rPr>
                <w:rFonts w:cstheme="minorHAnsi"/>
                <w:bCs/>
              </w:rPr>
            </w:pPr>
            <w:r>
              <w:rPr>
                <w:rFonts w:cstheme="minorHAnsi"/>
                <w:bCs/>
              </w:rPr>
              <w:t>56.770</w:t>
            </w:r>
            <w:r w:rsidR="00706012">
              <w:rPr>
                <w:rFonts w:cstheme="minorHAnsi"/>
                <w:bCs/>
              </w:rPr>
              <w:t>,00</w:t>
            </w:r>
          </w:p>
        </w:tc>
        <w:tc>
          <w:tcPr>
            <w:tcW w:w="1039" w:type="pct"/>
            <w:vAlign w:val="center"/>
          </w:tcPr>
          <w:p w14:paraId="03BC5EA7" w14:textId="55CD4E6A" w:rsidR="00706012" w:rsidRPr="00B8024D" w:rsidRDefault="00024C6C" w:rsidP="00706012">
            <w:pPr>
              <w:jc w:val="right"/>
              <w:rPr>
                <w:rFonts w:cstheme="minorHAnsi"/>
                <w:bCs/>
              </w:rPr>
            </w:pPr>
            <w:r>
              <w:rPr>
                <w:rFonts w:cstheme="minorHAnsi"/>
                <w:bCs/>
              </w:rPr>
              <w:t>5</w:t>
            </w:r>
            <w:r w:rsidR="00706012">
              <w:rPr>
                <w:rFonts w:cstheme="minorHAnsi"/>
                <w:bCs/>
              </w:rPr>
              <w:t>6.</w:t>
            </w:r>
            <w:r>
              <w:rPr>
                <w:rFonts w:cstheme="minorHAnsi"/>
                <w:bCs/>
              </w:rPr>
              <w:t>270</w:t>
            </w:r>
            <w:r w:rsidR="00706012">
              <w:rPr>
                <w:rFonts w:cstheme="minorHAnsi"/>
                <w:bCs/>
              </w:rPr>
              <w:t>,00</w:t>
            </w:r>
          </w:p>
        </w:tc>
      </w:tr>
      <w:tr w:rsidR="00706012" w:rsidRPr="00B8024D" w14:paraId="0F213BD6" w14:textId="77777777" w:rsidTr="00AE00A8">
        <w:trPr>
          <w:trHeight w:val="542"/>
        </w:trPr>
        <w:tc>
          <w:tcPr>
            <w:tcW w:w="1942" w:type="pct"/>
            <w:shd w:val="clear" w:color="auto" w:fill="E7E6E6" w:themeFill="background2"/>
            <w:vAlign w:val="center"/>
          </w:tcPr>
          <w:p w14:paraId="3532CBA8" w14:textId="77777777" w:rsidR="00706012" w:rsidRPr="00B8024D" w:rsidRDefault="00706012" w:rsidP="00706012">
            <w:pPr>
              <w:rPr>
                <w:rFonts w:cstheme="minorHAnsi"/>
                <w:b/>
                <w:sz w:val="20"/>
                <w:szCs w:val="20"/>
              </w:rPr>
            </w:pPr>
            <w:r w:rsidRPr="00B8024D">
              <w:rPr>
                <w:rFonts w:cstheme="minorHAnsi"/>
                <w:b/>
                <w:sz w:val="20"/>
                <w:szCs w:val="20"/>
              </w:rPr>
              <w:t>4 Rashodi za nabavu nefinancijske imovine</w:t>
            </w:r>
          </w:p>
        </w:tc>
        <w:tc>
          <w:tcPr>
            <w:tcW w:w="972" w:type="pct"/>
            <w:shd w:val="clear" w:color="auto" w:fill="E7E6E6" w:themeFill="background2"/>
            <w:vAlign w:val="center"/>
          </w:tcPr>
          <w:p w14:paraId="78BBB23C" w14:textId="55DAF062" w:rsidR="00706012" w:rsidRPr="00B8024D" w:rsidRDefault="00D045B4" w:rsidP="00706012">
            <w:pPr>
              <w:jc w:val="right"/>
              <w:rPr>
                <w:rFonts w:cstheme="minorHAnsi"/>
                <w:b/>
              </w:rPr>
            </w:pPr>
            <w:r>
              <w:rPr>
                <w:rFonts w:cstheme="minorHAnsi"/>
                <w:b/>
              </w:rPr>
              <w:t>1.021.300</w:t>
            </w:r>
            <w:r w:rsidR="00706012">
              <w:rPr>
                <w:rFonts w:cstheme="minorHAnsi"/>
                <w:b/>
              </w:rPr>
              <w:t>,00</w:t>
            </w:r>
          </w:p>
        </w:tc>
        <w:tc>
          <w:tcPr>
            <w:tcW w:w="1047" w:type="pct"/>
            <w:shd w:val="clear" w:color="auto" w:fill="E7E6E6" w:themeFill="background2"/>
            <w:vAlign w:val="center"/>
          </w:tcPr>
          <w:p w14:paraId="53B1AF91" w14:textId="3D403998" w:rsidR="00706012" w:rsidRPr="00B8024D" w:rsidRDefault="00D045B4" w:rsidP="00706012">
            <w:pPr>
              <w:jc w:val="right"/>
              <w:rPr>
                <w:rFonts w:cstheme="minorHAnsi"/>
                <w:b/>
              </w:rPr>
            </w:pPr>
            <w:r>
              <w:rPr>
                <w:rFonts w:cstheme="minorHAnsi"/>
                <w:b/>
              </w:rPr>
              <w:t>1.209.6</w:t>
            </w:r>
            <w:r w:rsidR="00706012">
              <w:rPr>
                <w:rFonts w:cstheme="minorHAnsi"/>
                <w:b/>
              </w:rPr>
              <w:t>00,00</w:t>
            </w:r>
          </w:p>
        </w:tc>
        <w:tc>
          <w:tcPr>
            <w:tcW w:w="1039" w:type="pct"/>
            <w:shd w:val="clear" w:color="auto" w:fill="E7E6E6" w:themeFill="background2"/>
            <w:vAlign w:val="center"/>
          </w:tcPr>
          <w:p w14:paraId="62A92C9C" w14:textId="2D2531B2" w:rsidR="00706012" w:rsidRPr="00B8024D" w:rsidRDefault="00D045B4" w:rsidP="00706012">
            <w:pPr>
              <w:jc w:val="right"/>
              <w:rPr>
                <w:rFonts w:cstheme="minorHAnsi"/>
                <w:b/>
                <w:bCs/>
              </w:rPr>
            </w:pPr>
            <w:r>
              <w:rPr>
                <w:rFonts w:cstheme="minorHAnsi"/>
                <w:b/>
                <w:bCs/>
              </w:rPr>
              <w:t>1.208</w:t>
            </w:r>
            <w:r w:rsidR="00706012">
              <w:rPr>
                <w:rFonts w:cstheme="minorHAnsi"/>
                <w:b/>
                <w:bCs/>
              </w:rPr>
              <w:t>.</w:t>
            </w:r>
            <w:r>
              <w:rPr>
                <w:rFonts w:cstheme="minorHAnsi"/>
                <w:b/>
                <w:bCs/>
              </w:rPr>
              <w:t>6</w:t>
            </w:r>
            <w:r w:rsidR="00706012">
              <w:rPr>
                <w:rFonts w:cstheme="minorHAnsi"/>
                <w:b/>
                <w:bCs/>
              </w:rPr>
              <w:t>00,00</w:t>
            </w:r>
          </w:p>
        </w:tc>
      </w:tr>
      <w:tr w:rsidR="00706012" w:rsidRPr="00B8024D" w14:paraId="7EA65C9F" w14:textId="77777777" w:rsidTr="00AE00A8">
        <w:trPr>
          <w:trHeight w:val="578"/>
        </w:trPr>
        <w:tc>
          <w:tcPr>
            <w:tcW w:w="1942" w:type="pct"/>
            <w:vAlign w:val="center"/>
          </w:tcPr>
          <w:p w14:paraId="319EE96B" w14:textId="72182007" w:rsidR="00706012" w:rsidRPr="00B8024D" w:rsidRDefault="00706012" w:rsidP="00706012">
            <w:pPr>
              <w:rPr>
                <w:rFonts w:cstheme="minorHAnsi"/>
                <w:b/>
                <w:sz w:val="20"/>
                <w:szCs w:val="20"/>
              </w:rPr>
            </w:pPr>
            <w:r w:rsidRPr="00B8024D">
              <w:rPr>
                <w:rFonts w:eastAsia="Times New Roman" w:cstheme="minorHAnsi"/>
                <w:b/>
                <w:bCs/>
                <w:sz w:val="20"/>
                <w:szCs w:val="20"/>
                <w:lang w:eastAsia="hr-HR"/>
              </w:rPr>
              <w:t>4</w:t>
            </w:r>
            <w:r>
              <w:rPr>
                <w:rFonts w:eastAsia="Times New Roman" w:cstheme="minorHAnsi"/>
                <w:b/>
                <w:bCs/>
                <w:sz w:val="20"/>
                <w:szCs w:val="20"/>
                <w:lang w:eastAsia="hr-HR"/>
              </w:rPr>
              <w:t>2</w:t>
            </w:r>
            <w:r w:rsidRPr="00B8024D">
              <w:rPr>
                <w:rFonts w:eastAsia="Times New Roman" w:cstheme="minorHAnsi"/>
                <w:b/>
                <w:bCs/>
                <w:sz w:val="20"/>
                <w:szCs w:val="20"/>
                <w:lang w:eastAsia="hr-HR"/>
              </w:rPr>
              <w:t xml:space="preserve"> </w:t>
            </w:r>
            <w:r w:rsidRPr="00B8024D">
              <w:rPr>
                <w:rFonts w:cstheme="minorHAnsi"/>
                <w:bCs/>
                <w:sz w:val="20"/>
                <w:szCs w:val="20"/>
              </w:rPr>
              <w:t>Rashodi za nabavu proizvedene dugotrajne imovine</w:t>
            </w:r>
          </w:p>
        </w:tc>
        <w:tc>
          <w:tcPr>
            <w:tcW w:w="972" w:type="pct"/>
            <w:vAlign w:val="center"/>
          </w:tcPr>
          <w:p w14:paraId="386D73EE" w14:textId="4B0CAC8F" w:rsidR="00706012" w:rsidRPr="00B8024D" w:rsidRDefault="00D045B4" w:rsidP="00706012">
            <w:pPr>
              <w:jc w:val="right"/>
              <w:rPr>
                <w:rFonts w:cstheme="minorHAnsi"/>
              </w:rPr>
            </w:pPr>
            <w:r>
              <w:rPr>
                <w:rFonts w:cstheme="minorHAnsi"/>
              </w:rPr>
              <w:t>264.100,00</w:t>
            </w:r>
          </w:p>
        </w:tc>
        <w:tc>
          <w:tcPr>
            <w:tcW w:w="1047" w:type="pct"/>
            <w:vAlign w:val="center"/>
          </w:tcPr>
          <w:p w14:paraId="5A0544EE" w14:textId="6936204F" w:rsidR="00706012" w:rsidRPr="00B8024D" w:rsidRDefault="00D045B4" w:rsidP="00706012">
            <w:pPr>
              <w:jc w:val="right"/>
              <w:rPr>
                <w:rFonts w:cstheme="minorHAnsi"/>
              </w:rPr>
            </w:pPr>
            <w:r>
              <w:rPr>
                <w:rFonts w:cstheme="minorHAnsi"/>
              </w:rPr>
              <w:t>937.700,00</w:t>
            </w:r>
          </w:p>
        </w:tc>
        <w:tc>
          <w:tcPr>
            <w:tcW w:w="1039" w:type="pct"/>
            <w:vAlign w:val="center"/>
          </w:tcPr>
          <w:p w14:paraId="173245A4" w14:textId="6BADE51D" w:rsidR="00706012" w:rsidRPr="00B8024D" w:rsidRDefault="00D045B4" w:rsidP="00706012">
            <w:pPr>
              <w:jc w:val="right"/>
              <w:rPr>
                <w:rFonts w:cstheme="minorHAnsi"/>
              </w:rPr>
            </w:pPr>
            <w:r>
              <w:rPr>
                <w:rFonts w:cstheme="minorHAnsi"/>
              </w:rPr>
              <w:t>986.700,00</w:t>
            </w:r>
          </w:p>
        </w:tc>
      </w:tr>
      <w:tr w:rsidR="00D045B4" w:rsidRPr="00B8024D" w14:paraId="253FC739" w14:textId="77777777" w:rsidTr="00AE00A8">
        <w:trPr>
          <w:trHeight w:val="578"/>
        </w:trPr>
        <w:tc>
          <w:tcPr>
            <w:tcW w:w="1942" w:type="pct"/>
            <w:vAlign w:val="center"/>
          </w:tcPr>
          <w:p w14:paraId="11A8F3D5" w14:textId="72D303E3" w:rsidR="00D045B4" w:rsidRPr="00D045B4" w:rsidRDefault="00D045B4" w:rsidP="00706012">
            <w:pPr>
              <w:rPr>
                <w:rFonts w:eastAsia="Times New Roman" w:cstheme="minorHAnsi"/>
                <w:sz w:val="20"/>
                <w:szCs w:val="20"/>
                <w:lang w:eastAsia="hr-HR"/>
              </w:rPr>
            </w:pPr>
            <w:r>
              <w:rPr>
                <w:rFonts w:eastAsia="Times New Roman" w:cstheme="minorHAnsi"/>
                <w:b/>
                <w:bCs/>
                <w:sz w:val="20"/>
                <w:szCs w:val="20"/>
                <w:lang w:eastAsia="hr-HR"/>
              </w:rPr>
              <w:t xml:space="preserve">45 </w:t>
            </w:r>
            <w:r>
              <w:rPr>
                <w:rFonts w:eastAsia="Times New Roman" w:cstheme="minorHAnsi"/>
                <w:sz w:val="20"/>
                <w:szCs w:val="20"/>
                <w:lang w:eastAsia="hr-HR"/>
              </w:rPr>
              <w:t>Rashodi za dodatna ulaganja na nefinancijskoj imovini</w:t>
            </w:r>
          </w:p>
        </w:tc>
        <w:tc>
          <w:tcPr>
            <w:tcW w:w="972" w:type="pct"/>
            <w:vAlign w:val="center"/>
          </w:tcPr>
          <w:p w14:paraId="199EF9F0" w14:textId="2F5D7A9F" w:rsidR="00D045B4" w:rsidRDefault="00D045B4" w:rsidP="00706012">
            <w:pPr>
              <w:jc w:val="right"/>
              <w:rPr>
                <w:rFonts w:cstheme="minorHAnsi"/>
              </w:rPr>
            </w:pPr>
            <w:r>
              <w:rPr>
                <w:rFonts w:cstheme="minorHAnsi"/>
              </w:rPr>
              <w:t>757.200,00</w:t>
            </w:r>
          </w:p>
        </w:tc>
        <w:tc>
          <w:tcPr>
            <w:tcW w:w="1047" w:type="pct"/>
            <w:vAlign w:val="center"/>
          </w:tcPr>
          <w:p w14:paraId="02E73193" w14:textId="47BFE333" w:rsidR="00D045B4" w:rsidRDefault="00D045B4" w:rsidP="00706012">
            <w:pPr>
              <w:jc w:val="right"/>
              <w:rPr>
                <w:rFonts w:cstheme="minorHAnsi"/>
              </w:rPr>
            </w:pPr>
            <w:r>
              <w:rPr>
                <w:rFonts w:cstheme="minorHAnsi"/>
              </w:rPr>
              <w:t>271.900,00</w:t>
            </w:r>
          </w:p>
        </w:tc>
        <w:tc>
          <w:tcPr>
            <w:tcW w:w="1039" w:type="pct"/>
            <w:vAlign w:val="center"/>
          </w:tcPr>
          <w:p w14:paraId="7A658F84" w14:textId="6A8C2F49" w:rsidR="00D045B4" w:rsidRDefault="00D045B4" w:rsidP="00706012">
            <w:pPr>
              <w:jc w:val="right"/>
              <w:rPr>
                <w:rFonts w:cstheme="minorHAnsi"/>
              </w:rPr>
            </w:pPr>
            <w:r>
              <w:rPr>
                <w:rFonts w:cstheme="minorHAnsi"/>
              </w:rPr>
              <w:t>221.900,00</w:t>
            </w:r>
          </w:p>
        </w:tc>
      </w:tr>
      <w:tr w:rsidR="00706012" w:rsidRPr="00B8024D" w14:paraId="71340375" w14:textId="77777777" w:rsidTr="00AE00A8">
        <w:trPr>
          <w:trHeight w:val="544"/>
        </w:trPr>
        <w:tc>
          <w:tcPr>
            <w:tcW w:w="1942" w:type="pct"/>
            <w:shd w:val="clear" w:color="auto" w:fill="E7E6E6" w:themeFill="background2"/>
            <w:vAlign w:val="center"/>
          </w:tcPr>
          <w:p w14:paraId="4F3C3ADE" w14:textId="77777777" w:rsidR="00706012" w:rsidRPr="00B8024D" w:rsidRDefault="00706012" w:rsidP="00706012">
            <w:pPr>
              <w:rPr>
                <w:rFonts w:eastAsia="Times New Roman" w:cstheme="minorHAnsi"/>
                <w:b/>
                <w:bCs/>
                <w:sz w:val="20"/>
                <w:szCs w:val="20"/>
                <w:lang w:eastAsia="hr-HR"/>
              </w:rPr>
            </w:pPr>
            <w:r w:rsidRPr="00E23C0D">
              <w:rPr>
                <w:rFonts w:eastAsia="Times New Roman" w:cstheme="minorHAnsi"/>
                <w:b/>
                <w:bCs/>
                <w:sz w:val="20"/>
                <w:szCs w:val="20"/>
                <w:lang w:eastAsia="hr-HR"/>
              </w:rPr>
              <w:t>5 Izdaci za financijsku imovinu i otplate zajmova</w:t>
            </w:r>
          </w:p>
        </w:tc>
        <w:tc>
          <w:tcPr>
            <w:tcW w:w="972" w:type="pct"/>
            <w:shd w:val="clear" w:color="auto" w:fill="E7E6E6" w:themeFill="background2"/>
            <w:vAlign w:val="center"/>
          </w:tcPr>
          <w:p w14:paraId="54AB4145" w14:textId="04E2EB38" w:rsidR="00706012" w:rsidRPr="00E23C0D" w:rsidRDefault="00311946" w:rsidP="00706012">
            <w:pPr>
              <w:jc w:val="right"/>
              <w:rPr>
                <w:rFonts w:cstheme="minorHAnsi"/>
                <w:b/>
                <w:bCs/>
              </w:rPr>
            </w:pPr>
            <w:r>
              <w:rPr>
                <w:rFonts w:cstheme="minorHAnsi"/>
                <w:b/>
                <w:bCs/>
              </w:rPr>
              <w:t>1</w:t>
            </w:r>
            <w:r w:rsidR="00706012">
              <w:rPr>
                <w:rFonts w:cstheme="minorHAnsi"/>
                <w:b/>
                <w:bCs/>
              </w:rPr>
              <w:t>.000,00</w:t>
            </w:r>
          </w:p>
        </w:tc>
        <w:tc>
          <w:tcPr>
            <w:tcW w:w="1047" w:type="pct"/>
            <w:shd w:val="clear" w:color="auto" w:fill="E7E6E6" w:themeFill="background2"/>
            <w:vAlign w:val="center"/>
          </w:tcPr>
          <w:p w14:paraId="48F3E01D" w14:textId="57521610" w:rsidR="00706012" w:rsidRPr="00E23C0D" w:rsidRDefault="00311946" w:rsidP="00706012">
            <w:pPr>
              <w:jc w:val="right"/>
              <w:rPr>
                <w:rFonts w:cstheme="minorHAnsi"/>
                <w:b/>
                <w:bCs/>
              </w:rPr>
            </w:pPr>
            <w:r>
              <w:rPr>
                <w:rFonts w:cstheme="minorHAnsi"/>
                <w:b/>
                <w:bCs/>
              </w:rPr>
              <w:t>1</w:t>
            </w:r>
            <w:r w:rsidR="00706012">
              <w:rPr>
                <w:rFonts w:cstheme="minorHAnsi"/>
                <w:b/>
                <w:bCs/>
              </w:rPr>
              <w:t>.000,00</w:t>
            </w:r>
          </w:p>
        </w:tc>
        <w:tc>
          <w:tcPr>
            <w:tcW w:w="1039" w:type="pct"/>
            <w:shd w:val="clear" w:color="auto" w:fill="E7E6E6" w:themeFill="background2"/>
            <w:vAlign w:val="center"/>
          </w:tcPr>
          <w:p w14:paraId="4EE98F87" w14:textId="5615986F" w:rsidR="00706012" w:rsidRPr="00E23C0D" w:rsidRDefault="00311946" w:rsidP="00706012">
            <w:pPr>
              <w:jc w:val="right"/>
              <w:rPr>
                <w:rFonts w:cstheme="minorHAnsi"/>
                <w:b/>
                <w:bCs/>
              </w:rPr>
            </w:pPr>
            <w:r>
              <w:rPr>
                <w:rFonts w:cstheme="minorHAnsi"/>
                <w:b/>
                <w:bCs/>
              </w:rPr>
              <w:t>1</w:t>
            </w:r>
            <w:r w:rsidR="00706012">
              <w:rPr>
                <w:rFonts w:cstheme="minorHAnsi"/>
                <w:b/>
                <w:bCs/>
              </w:rPr>
              <w:t>.000,00</w:t>
            </w:r>
          </w:p>
        </w:tc>
      </w:tr>
      <w:tr w:rsidR="00706012" w:rsidRPr="00B8024D" w14:paraId="5FEE9ED6" w14:textId="77777777" w:rsidTr="00AE00A8">
        <w:trPr>
          <w:trHeight w:val="552"/>
        </w:trPr>
        <w:tc>
          <w:tcPr>
            <w:tcW w:w="1942" w:type="pct"/>
            <w:vAlign w:val="center"/>
          </w:tcPr>
          <w:p w14:paraId="7375A267" w14:textId="77777777" w:rsidR="00706012" w:rsidRPr="00E23C0D" w:rsidRDefault="00706012" w:rsidP="00706012">
            <w:pPr>
              <w:rPr>
                <w:rFonts w:eastAsia="Times New Roman" w:cstheme="minorHAnsi"/>
                <w:sz w:val="20"/>
                <w:szCs w:val="20"/>
                <w:lang w:eastAsia="hr-HR"/>
              </w:rPr>
            </w:pPr>
            <w:r w:rsidRPr="00E23C0D">
              <w:rPr>
                <w:rFonts w:eastAsia="Times New Roman" w:cstheme="minorHAnsi"/>
                <w:b/>
                <w:bCs/>
                <w:sz w:val="20"/>
                <w:szCs w:val="20"/>
                <w:lang w:eastAsia="hr-HR"/>
              </w:rPr>
              <w:t>54</w:t>
            </w:r>
            <w:r w:rsidRPr="00E23C0D">
              <w:rPr>
                <w:rFonts w:eastAsia="Times New Roman" w:cstheme="minorHAnsi"/>
                <w:sz w:val="20"/>
                <w:szCs w:val="20"/>
                <w:lang w:eastAsia="hr-HR"/>
              </w:rPr>
              <w:t xml:space="preserve"> Izdaci za otplatu glavnice primljenih kredita i zajmova</w:t>
            </w:r>
          </w:p>
        </w:tc>
        <w:tc>
          <w:tcPr>
            <w:tcW w:w="972" w:type="pct"/>
            <w:vAlign w:val="center"/>
          </w:tcPr>
          <w:p w14:paraId="02E42FD9" w14:textId="0B769D6C" w:rsidR="00706012" w:rsidRPr="005606BA" w:rsidRDefault="00311946" w:rsidP="00706012">
            <w:pPr>
              <w:jc w:val="right"/>
              <w:rPr>
                <w:rFonts w:cstheme="minorHAnsi"/>
              </w:rPr>
            </w:pPr>
            <w:r>
              <w:rPr>
                <w:rFonts w:cstheme="minorHAnsi"/>
              </w:rPr>
              <w:t>1</w:t>
            </w:r>
            <w:r w:rsidR="00706012">
              <w:rPr>
                <w:rFonts w:cstheme="minorHAnsi"/>
              </w:rPr>
              <w:t>.000</w:t>
            </w:r>
            <w:r w:rsidR="00706012" w:rsidRPr="005606BA">
              <w:rPr>
                <w:rFonts w:cstheme="minorHAnsi"/>
              </w:rPr>
              <w:t>,00</w:t>
            </w:r>
          </w:p>
        </w:tc>
        <w:tc>
          <w:tcPr>
            <w:tcW w:w="1047" w:type="pct"/>
            <w:vAlign w:val="center"/>
          </w:tcPr>
          <w:p w14:paraId="070C5700" w14:textId="6DB91789" w:rsidR="00706012" w:rsidRPr="00B8024D" w:rsidRDefault="00311946" w:rsidP="00706012">
            <w:pPr>
              <w:jc w:val="right"/>
              <w:rPr>
                <w:rFonts w:cstheme="minorHAnsi"/>
              </w:rPr>
            </w:pPr>
            <w:r>
              <w:rPr>
                <w:rFonts w:cstheme="minorHAnsi"/>
              </w:rPr>
              <w:t>1</w:t>
            </w:r>
            <w:r w:rsidR="00706012">
              <w:rPr>
                <w:rFonts w:cstheme="minorHAnsi"/>
              </w:rPr>
              <w:t>.000,00</w:t>
            </w:r>
          </w:p>
        </w:tc>
        <w:tc>
          <w:tcPr>
            <w:tcW w:w="1039" w:type="pct"/>
            <w:vAlign w:val="center"/>
          </w:tcPr>
          <w:p w14:paraId="7F725332" w14:textId="6C34B3E0" w:rsidR="00706012" w:rsidRPr="00B8024D" w:rsidRDefault="00311946" w:rsidP="00706012">
            <w:pPr>
              <w:jc w:val="right"/>
              <w:rPr>
                <w:rFonts w:cstheme="minorHAnsi"/>
              </w:rPr>
            </w:pPr>
            <w:r>
              <w:rPr>
                <w:rFonts w:cstheme="minorHAnsi"/>
              </w:rPr>
              <w:t>1</w:t>
            </w:r>
            <w:r w:rsidR="00706012">
              <w:rPr>
                <w:rFonts w:cstheme="minorHAnsi"/>
              </w:rPr>
              <w:t>.000,00</w:t>
            </w:r>
          </w:p>
        </w:tc>
      </w:tr>
    </w:tbl>
    <w:p w14:paraId="5E3C002B" w14:textId="77777777" w:rsidR="00D176CE" w:rsidRDefault="00D176CE" w:rsidP="007602C9">
      <w:pPr>
        <w:jc w:val="both"/>
        <w:rPr>
          <w:rFonts w:cstheme="minorHAnsi"/>
          <w:b/>
          <w:color w:val="8496B0" w:themeColor="text2" w:themeTint="99"/>
          <w:sz w:val="24"/>
          <w:szCs w:val="24"/>
        </w:rPr>
      </w:pPr>
    </w:p>
    <w:p w14:paraId="7A9A72D2" w14:textId="7F61991E" w:rsidR="00BB79D2" w:rsidRPr="00F00B45" w:rsidRDefault="00BB79D2" w:rsidP="007602C9">
      <w:pPr>
        <w:jc w:val="both"/>
        <w:rPr>
          <w:rFonts w:cstheme="minorHAnsi"/>
          <w:b/>
          <w:color w:val="2F5496" w:themeColor="accent1" w:themeShade="BF"/>
          <w:sz w:val="24"/>
          <w:szCs w:val="24"/>
        </w:rPr>
      </w:pPr>
      <w:r w:rsidRPr="00F00B45">
        <w:rPr>
          <w:rFonts w:cstheme="minorHAnsi"/>
          <w:b/>
          <w:color w:val="2F5496" w:themeColor="accent1" w:themeShade="BF"/>
          <w:sz w:val="24"/>
          <w:szCs w:val="24"/>
        </w:rPr>
        <w:t>PRORAČUNSKE KLASIFIKACIJE</w:t>
      </w:r>
    </w:p>
    <w:p w14:paraId="1233E0D9" w14:textId="4AC301BC" w:rsidR="00BB79D2" w:rsidRPr="00C3185B" w:rsidRDefault="00BB79D2" w:rsidP="00BB79D2">
      <w:pPr>
        <w:spacing w:after="0"/>
        <w:jc w:val="both"/>
        <w:rPr>
          <w:rFonts w:cstheme="minorHAnsi"/>
          <w:bCs/>
          <w:sz w:val="24"/>
          <w:szCs w:val="24"/>
        </w:rPr>
      </w:pPr>
      <w:r>
        <w:rPr>
          <w:rFonts w:cstheme="minorHAnsi"/>
          <w:bCs/>
          <w:sz w:val="24"/>
          <w:szCs w:val="24"/>
        </w:rPr>
        <w:t>Prihodi, primici, rashodi i izdaci proračuna i financijskog plana iskazuju se prema proračunskim klasifikacijama. Sukladno</w:t>
      </w:r>
      <w:r w:rsidRPr="00C3185B">
        <w:rPr>
          <w:rFonts w:cstheme="minorHAnsi"/>
          <w:bCs/>
          <w:sz w:val="24"/>
          <w:szCs w:val="24"/>
        </w:rPr>
        <w:t xml:space="preserve"> Pravilniku o proračunskim klasifikacijama</w:t>
      </w:r>
      <w:r>
        <w:rPr>
          <w:rFonts w:cstheme="minorHAnsi"/>
          <w:bCs/>
          <w:sz w:val="24"/>
          <w:szCs w:val="24"/>
        </w:rPr>
        <w:t xml:space="preserve"> (»</w:t>
      </w:r>
      <w:r w:rsidRPr="00C3185B">
        <w:rPr>
          <w:rFonts w:cstheme="minorHAnsi"/>
          <w:bCs/>
          <w:sz w:val="24"/>
          <w:szCs w:val="24"/>
        </w:rPr>
        <w:t>Narodne novine</w:t>
      </w:r>
      <w:r>
        <w:rPr>
          <w:rFonts w:cstheme="minorHAnsi"/>
          <w:bCs/>
          <w:sz w:val="24"/>
          <w:szCs w:val="24"/>
        </w:rPr>
        <w:t>«</w:t>
      </w:r>
      <w:r w:rsidRPr="00C3185B">
        <w:rPr>
          <w:rFonts w:cstheme="minorHAnsi"/>
          <w:bCs/>
          <w:sz w:val="24"/>
          <w:szCs w:val="24"/>
        </w:rPr>
        <w:t xml:space="preserve">, broj </w:t>
      </w:r>
      <w:r w:rsidR="00016871">
        <w:rPr>
          <w:rFonts w:cstheme="minorHAnsi"/>
          <w:bCs/>
          <w:sz w:val="24"/>
          <w:szCs w:val="24"/>
        </w:rPr>
        <w:t>04</w:t>
      </w:r>
      <w:r w:rsidRPr="00C3185B">
        <w:rPr>
          <w:rFonts w:cstheme="minorHAnsi"/>
          <w:bCs/>
          <w:sz w:val="24"/>
          <w:szCs w:val="24"/>
        </w:rPr>
        <w:t>/</w:t>
      </w:r>
      <w:r w:rsidR="00016871">
        <w:rPr>
          <w:rFonts w:cstheme="minorHAnsi"/>
          <w:bCs/>
          <w:sz w:val="24"/>
          <w:szCs w:val="24"/>
        </w:rPr>
        <w:t>24</w:t>
      </w:r>
      <w:r>
        <w:rPr>
          <w:rFonts w:cstheme="minorHAnsi"/>
          <w:bCs/>
          <w:sz w:val="24"/>
          <w:szCs w:val="24"/>
        </w:rPr>
        <w:t>)</w:t>
      </w:r>
      <w:r w:rsidRPr="00C3185B">
        <w:rPr>
          <w:rFonts w:cstheme="minorHAnsi"/>
          <w:bCs/>
          <w:sz w:val="24"/>
          <w:szCs w:val="24"/>
        </w:rPr>
        <w:t xml:space="preserve"> </w:t>
      </w:r>
      <w:r>
        <w:rPr>
          <w:rFonts w:cstheme="minorHAnsi"/>
          <w:bCs/>
          <w:sz w:val="24"/>
          <w:szCs w:val="24"/>
        </w:rPr>
        <w:t>p</w:t>
      </w:r>
      <w:r w:rsidRPr="00C3185B">
        <w:rPr>
          <w:rFonts w:cstheme="minorHAnsi"/>
          <w:bCs/>
          <w:sz w:val="24"/>
          <w:szCs w:val="24"/>
        </w:rPr>
        <w:t xml:space="preserve">roračunske klasifikacije jesu: </w:t>
      </w:r>
    </w:p>
    <w:p w14:paraId="6B45905D" w14:textId="77777777" w:rsidR="00BB79D2" w:rsidRPr="00C3185B" w:rsidRDefault="00BB79D2" w:rsidP="00BB79D2">
      <w:pPr>
        <w:pStyle w:val="Odlomakpopisa"/>
        <w:numPr>
          <w:ilvl w:val="1"/>
          <w:numId w:val="37"/>
        </w:numPr>
        <w:spacing w:after="0"/>
        <w:ind w:left="284"/>
        <w:jc w:val="both"/>
        <w:rPr>
          <w:rFonts w:cstheme="minorHAnsi"/>
          <w:bCs/>
          <w:sz w:val="24"/>
          <w:szCs w:val="24"/>
        </w:rPr>
      </w:pPr>
      <w:r w:rsidRPr="00F00B45">
        <w:rPr>
          <w:rFonts w:cstheme="minorHAnsi"/>
          <w:b/>
          <w:color w:val="2F5496" w:themeColor="accent1" w:themeShade="BF"/>
          <w:sz w:val="24"/>
          <w:szCs w:val="24"/>
        </w:rPr>
        <w:t>Organizacijska klasifikacija</w:t>
      </w:r>
      <w:r w:rsidRPr="00F00B45">
        <w:rPr>
          <w:rFonts w:cstheme="minorHAnsi"/>
          <w:bCs/>
          <w:color w:val="2F5496" w:themeColor="accent1" w:themeShade="BF"/>
          <w:sz w:val="24"/>
          <w:szCs w:val="24"/>
        </w:rPr>
        <w:t xml:space="preserve"> </w:t>
      </w:r>
      <w:r w:rsidRPr="00C3185B">
        <w:rPr>
          <w:rFonts w:cstheme="minorHAnsi"/>
          <w:bCs/>
          <w:sz w:val="24"/>
          <w:szCs w:val="24"/>
        </w:rPr>
        <w:t>sadrži povezane i međusobno usklađene (hijerarhijski i s obzirom na odnose prava i odgovornosti) cjeline proračuna i proračunskih korisnika koje odgovarajućim materijalnim sredstvima ostvaruju postavljene ciljeve</w:t>
      </w:r>
      <w:r>
        <w:rPr>
          <w:rFonts w:cstheme="minorHAnsi"/>
          <w:bCs/>
          <w:sz w:val="24"/>
          <w:szCs w:val="24"/>
        </w:rPr>
        <w:t>,</w:t>
      </w:r>
    </w:p>
    <w:p w14:paraId="66C02E14" w14:textId="77777777" w:rsidR="00BB79D2" w:rsidRPr="00C3185B" w:rsidRDefault="00BB79D2" w:rsidP="00BB79D2">
      <w:pPr>
        <w:pStyle w:val="Odlomakpopisa"/>
        <w:numPr>
          <w:ilvl w:val="1"/>
          <w:numId w:val="37"/>
        </w:numPr>
        <w:spacing w:after="0"/>
        <w:ind w:left="284"/>
        <w:jc w:val="both"/>
        <w:rPr>
          <w:rFonts w:cstheme="minorHAnsi"/>
          <w:bCs/>
          <w:sz w:val="24"/>
          <w:szCs w:val="24"/>
        </w:rPr>
      </w:pPr>
      <w:r w:rsidRPr="00F00B45">
        <w:rPr>
          <w:rFonts w:cstheme="minorHAnsi"/>
          <w:b/>
          <w:color w:val="2F5496" w:themeColor="accent1" w:themeShade="BF"/>
          <w:sz w:val="24"/>
          <w:szCs w:val="24"/>
        </w:rPr>
        <w:t>Programska klasifikacija</w:t>
      </w:r>
      <w:r w:rsidRPr="00F00B45">
        <w:rPr>
          <w:rFonts w:cstheme="minorHAnsi"/>
          <w:bCs/>
          <w:color w:val="2F5496" w:themeColor="accent1" w:themeShade="BF"/>
          <w:sz w:val="24"/>
          <w:szCs w:val="24"/>
        </w:rPr>
        <w:t xml:space="preserve"> </w:t>
      </w:r>
      <w:r w:rsidRPr="00C3185B">
        <w:rPr>
          <w:rFonts w:cstheme="minorHAnsi"/>
          <w:bCs/>
          <w:sz w:val="24"/>
          <w:szCs w:val="24"/>
        </w:rPr>
        <w:t>sadrži rashode i izdatke iskazane kroz aktivnosti i projekte, koji su povezani u programe temeljem zajedničkih ciljeva</w:t>
      </w:r>
      <w:r>
        <w:rPr>
          <w:rFonts w:cstheme="minorHAnsi"/>
          <w:bCs/>
          <w:sz w:val="24"/>
          <w:szCs w:val="24"/>
        </w:rPr>
        <w:t>,</w:t>
      </w:r>
    </w:p>
    <w:p w14:paraId="75B49D7D" w14:textId="77777777" w:rsidR="00BB79D2" w:rsidRPr="00C3185B" w:rsidRDefault="00BB79D2" w:rsidP="00BB79D2">
      <w:pPr>
        <w:pStyle w:val="Odlomakpopisa"/>
        <w:numPr>
          <w:ilvl w:val="1"/>
          <w:numId w:val="37"/>
        </w:numPr>
        <w:spacing w:after="0"/>
        <w:ind w:left="284"/>
        <w:jc w:val="both"/>
        <w:rPr>
          <w:rFonts w:cstheme="minorHAnsi"/>
          <w:bCs/>
          <w:sz w:val="24"/>
          <w:szCs w:val="24"/>
        </w:rPr>
      </w:pPr>
      <w:r w:rsidRPr="00F00B45">
        <w:rPr>
          <w:rFonts w:cstheme="minorHAnsi"/>
          <w:b/>
          <w:color w:val="2F5496" w:themeColor="accent1" w:themeShade="BF"/>
          <w:sz w:val="24"/>
          <w:szCs w:val="24"/>
        </w:rPr>
        <w:t>Funkcijska klasifikacija</w:t>
      </w:r>
      <w:r w:rsidRPr="00F00B45">
        <w:rPr>
          <w:rFonts w:cstheme="minorHAnsi"/>
          <w:bCs/>
          <w:color w:val="2F5496" w:themeColor="accent1" w:themeShade="BF"/>
          <w:sz w:val="24"/>
          <w:szCs w:val="24"/>
        </w:rPr>
        <w:t xml:space="preserve"> </w:t>
      </w:r>
      <w:r w:rsidRPr="00C3185B">
        <w:rPr>
          <w:rFonts w:cstheme="minorHAnsi"/>
          <w:bCs/>
          <w:sz w:val="24"/>
          <w:szCs w:val="24"/>
        </w:rPr>
        <w:t>sadrži rashode razvrstane prema njihovoj namjeni</w:t>
      </w:r>
      <w:r>
        <w:rPr>
          <w:rFonts w:cstheme="minorHAnsi"/>
          <w:bCs/>
          <w:sz w:val="24"/>
          <w:szCs w:val="24"/>
        </w:rPr>
        <w:t>,</w:t>
      </w:r>
    </w:p>
    <w:p w14:paraId="2D0AB7A7" w14:textId="77777777" w:rsidR="00BB79D2" w:rsidRPr="00C3185B" w:rsidRDefault="00BB79D2" w:rsidP="00BB79D2">
      <w:pPr>
        <w:pStyle w:val="Odlomakpopisa"/>
        <w:numPr>
          <w:ilvl w:val="1"/>
          <w:numId w:val="37"/>
        </w:numPr>
        <w:spacing w:after="0"/>
        <w:ind w:left="284"/>
        <w:jc w:val="both"/>
        <w:rPr>
          <w:rFonts w:cstheme="minorHAnsi"/>
          <w:bCs/>
          <w:sz w:val="24"/>
          <w:szCs w:val="24"/>
        </w:rPr>
      </w:pPr>
      <w:r w:rsidRPr="00F00B45">
        <w:rPr>
          <w:rFonts w:cstheme="minorHAnsi"/>
          <w:b/>
          <w:color w:val="2F5496" w:themeColor="accent1" w:themeShade="BF"/>
          <w:sz w:val="24"/>
          <w:szCs w:val="24"/>
        </w:rPr>
        <w:t>Ekonomska klasifikacija</w:t>
      </w:r>
      <w:r w:rsidRPr="00F00B45">
        <w:rPr>
          <w:rFonts w:cstheme="minorHAnsi"/>
          <w:bCs/>
          <w:color w:val="2F5496" w:themeColor="accent1" w:themeShade="BF"/>
          <w:sz w:val="24"/>
          <w:szCs w:val="24"/>
        </w:rPr>
        <w:t xml:space="preserve"> </w:t>
      </w:r>
      <w:r w:rsidRPr="00C3185B">
        <w:rPr>
          <w:rFonts w:cstheme="minorHAnsi"/>
          <w:bCs/>
          <w:sz w:val="24"/>
          <w:szCs w:val="24"/>
        </w:rPr>
        <w:t>sadrži prihode i primitke po prirodnim vrstama te rashode i izdatke prema njihovoj ekonomskoj namjeni</w:t>
      </w:r>
      <w:r>
        <w:rPr>
          <w:rFonts w:cstheme="minorHAnsi"/>
          <w:bCs/>
          <w:sz w:val="24"/>
          <w:szCs w:val="24"/>
        </w:rPr>
        <w:t>,</w:t>
      </w:r>
    </w:p>
    <w:p w14:paraId="0F34433C" w14:textId="77777777" w:rsidR="00BB79D2" w:rsidRPr="00C3185B" w:rsidRDefault="00BB79D2" w:rsidP="00BB79D2">
      <w:pPr>
        <w:pStyle w:val="Odlomakpopisa"/>
        <w:numPr>
          <w:ilvl w:val="1"/>
          <w:numId w:val="37"/>
        </w:numPr>
        <w:spacing w:after="0"/>
        <w:ind w:left="284"/>
        <w:jc w:val="both"/>
        <w:rPr>
          <w:rFonts w:cstheme="minorHAnsi"/>
          <w:bCs/>
          <w:sz w:val="24"/>
          <w:szCs w:val="24"/>
        </w:rPr>
      </w:pPr>
      <w:r w:rsidRPr="00F00B45">
        <w:rPr>
          <w:rFonts w:cstheme="minorHAnsi"/>
          <w:b/>
          <w:color w:val="2F5496" w:themeColor="accent1" w:themeShade="BF"/>
          <w:sz w:val="24"/>
          <w:szCs w:val="24"/>
        </w:rPr>
        <w:t>Lokacijska klasifikacija</w:t>
      </w:r>
      <w:r w:rsidRPr="00F00B45">
        <w:rPr>
          <w:rFonts w:cstheme="minorHAnsi"/>
          <w:bCs/>
          <w:color w:val="2F5496" w:themeColor="accent1" w:themeShade="BF"/>
          <w:sz w:val="24"/>
          <w:szCs w:val="24"/>
        </w:rPr>
        <w:t xml:space="preserve"> </w:t>
      </w:r>
      <w:r w:rsidRPr="00C3185B">
        <w:rPr>
          <w:rFonts w:cstheme="minorHAnsi"/>
          <w:bCs/>
          <w:sz w:val="24"/>
          <w:szCs w:val="24"/>
        </w:rPr>
        <w:t>sadrži rashode i izdatke razvrstane za Republiku Hrvatsku i za inozemstvo</w:t>
      </w:r>
      <w:r>
        <w:rPr>
          <w:rFonts w:cstheme="minorHAnsi"/>
          <w:bCs/>
          <w:sz w:val="24"/>
          <w:szCs w:val="24"/>
        </w:rPr>
        <w:t>,</w:t>
      </w:r>
    </w:p>
    <w:p w14:paraId="2C5F5B5F" w14:textId="564253AC" w:rsidR="00BB79D2" w:rsidRPr="007602C9" w:rsidRDefault="00BB79D2" w:rsidP="007602C9">
      <w:pPr>
        <w:pStyle w:val="Odlomakpopisa"/>
        <w:numPr>
          <w:ilvl w:val="1"/>
          <w:numId w:val="37"/>
        </w:numPr>
        <w:ind w:left="284"/>
        <w:jc w:val="both"/>
        <w:rPr>
          <w:rFonts w:cstheme="minorHAnsi"/>
          <w:bCs/>
          <w:sz w:val="24"/>
          <w:szCs w:val="24"/>
        </w:rPr>
      </w:pPr>
      <w:r w:rsidRPr="00F00B45">
        <w:rPr>
          <w:rFonts w:cstheme="minorHAnsi"/>
          <w:b/>
          <w:color w:val="2F5496" w:themeColor="accent1" w:themeShade="BF"/>
          <w:sz w:val="24"/>
          <w:szCs w:val="24"/>
        </w:rPr>
        <w:t>Izvori financiranja</w:t>
      </w:r>
      <w:r w:rsidRPr="00F00B45">
        <w:rPr>
          <w:rFonts w:cstheme="minorHAnsi"/>
          <w:bCs/>
          <w:color w:val="2F5496" w:themeColor="accent1" w:themeShade="BF"/>
          <w:sz w:val="24"/>
          <w:szCs w:val="24"/>
        </w:rPr>
        <w:t xml:space="preserve"> </w:t>
      </w:r>
      <w:r w:rsidRPr="00C3185B">
        <w:rPr>
          <w:rFonts w:cstheme="minorHAnsi"/>
          <w:bCs/>
          <w:sz w:val="24"/>
          <w:szCs w:val="24"/>
        </w:rPr>
        <w:t>sadrže prihode i primitke iz kojih se podmiruju rashodi i izdaci određene vrste i namjene.</w:t>
      </w:r>
    </w:p>
    <w:p w14:paraId="0922C8C7" w14:textId="6249E968" w:rsidR="00B324C2" w:rsidRPr="00595CC1" w:rsidRDefault="00BB79D2" w:rsidP="00F00B45">
      <w:pPr>
        <w:jc w:val="both"/>
        <w:rPr>
          <w:rFonts w:cstheme="minorHAnsi"/>
          <w:bCs/>
          <w:sz w:val="24"/>
          <w:szCs w:val="24"/>
        </w:rPr>
      </w:pPr>
      <w:r>
        <w:rPr>
          <w:rFonts w:cstheme="minorHAnsi"/>
          <w:bCs/>
          <w:sz w:val="24"/>
          <w:szCs w:val="24"/>
        </w:rPr>
        <w:lastRenderedPageBreak/>
        <w:t>Proračun Općine</w:t>
      </w:r>
      <w:r w:rsidR="00A74849">
        <w:rPr>
          <w:rFonts w:cstheme="minorHAnsi"/>
          <w:bCs/>
          <w:sz w:val="24"/>
          <w:szCs w:val="24"/>
        </w:rPr>
        <w:t xml:space="preserve"> Gornja Rijeka</w:t>
      </w:r>
      <w:r>
        <w:rPr>
          <w:rFonts w:cstheme="minorHAnsi"/>
          <w:bCs/>
          <w:sz w:val="24"/>
          <w:szCs w:val="24"/>
        </w:rPr>
        <w:t xml:space="preserve"> sastoji se od razdjela, glava i programa. Programi se sastoje od </w:t>
      </w:r>
      <w:r w:rsidRPr="0055517C">
        <w:rPr>
          <w:rFonts w:cstheme="minorHAnsi"/>
          <w:bCs/>
          <w:sz w:val="24"/>
          <w:szCs w:val="24"/>
        </w:rPr>
        <w:t>aktivnosti</w:t>
      </w:r>
      <w:r>
        <w:rPr>
          <w:rFonts w:cstheme="minorHAnsi"/>
          <w:bCs/>
          <w:sz w:val="24"/>
          <w:szCs w:val="24"/>
        </w:rPr>
        <w:t xml:space="preserve"> i projekata (kapitalni i tekući projekti). </w:t>
      </w:r>
    </w:p>
    <w:p w14:paraId="17D9A6D8" w14:textId="167D2887" w:rsidR="00ED4B4D" w:rsidRPr="00F00B45" w:rsidRDefault="00350570" w:rsidP="007602C9">
      <w:pPr>
        <w:jc w:val="both"/>
        <w:rPr>
          <w:rFonts w:cstheme="minorHAnsi"/>
          <w:b/>
          <w:color w:val="2F5496" w:themeColor="accent1" w:themeShade="BF"/>
          <w:sz w:val="24"/>
          <w:szCs w:val="24"/>
        </w:rPr>
      </w:pPr>
      <w:r w:rsidRPr="00F00B45">
        <w:rPr>
          <w:rFonts w:cstheme="minorHAnsi"/>
          <w:b/>
          <w:color w:val="2F5496" w:themeColor="accent1" w:themeShade="BF"/>
          <w:sz w:val="24"/>
          <w:szCs w:val="24"/>
        </w:rPr>
        <w:t>OPIS POSEBNOG DIJELA PRORAČUNA</w:t>
      </w:r>
    </w:p>
    <w:p w14:paraId="497DC738" w14:textId="7893B472" w:rsidR="00B324C2" w:rsidRPr="00F47F33" w:rsidRDefault="00B324C2" w:rsidP="00B324C2">
      <w:pPr>
        <w:autoSpaceDE w:val="0"/>
        <w:autoSpaceDN w:val="0"/>
        <w:adjustRightInd w:val="0"/>
        <w:jc w:val="both"/>
        <w:rPr>
          <w:rFonts w:ascii="Calibri" w:hAnsi="Calibri" w:cs="Arial"/>
          <w:color w:val="000000"/>
          <w:sz w:val="24"/>
          <w:szCs w:val="24"/>
        </w:rPr>
      </w:pPr>
      <w:r w:rsidRPr="00F47F33">
        <w:rPr>
          <w:rFonts w:ascii="Calibri" w:hAnsi="Calibri" w:cs="Arial"/>
          <w:color w:val="000000"/>
          <w:sz w:val="24"/>
          <w:szCs w:val="24"/>
        </w:rPr>
        <w:t>Ukupno planirani prihodi  Proračuna Općine Gornja Rijeka za 202</w:t>
      </w:r>
      <w:r w:rsidR="00016871">
        <w:rPr>
          <w:rFonts w:ascii="Calibri" w:hAnsi="Calibri" w:cs="Arial"/>
          <w:color w:val="000000"/>
          <w:sz w:val="24"/>
          <w:szCs w:val="24"/>
        </w:rPr>
        <w:t>5</w:t>
      </w:r>
      <w:r w:rsidRPr="00F47F33">
        <w:rPr>
          <w:rFonts w:ascii="Calibri" w:hAnsi="Calibri" w:cs="Arial"/>
          <w:color w:val="000000"/>
          <w:sz w:val="24"/>
          <w:szCs w:val="24"/>
        </w:rPr>
        <w:t xml:space="preserve">. godinu raspoređeni su u Posebnom dijelu proračuna </w:t>
      </w:r>
      <w:r w:rsidR="00F00B45">
        <w:rPr>
          <w:rFonts w:ascii="Calibri" w:hAnsi="Calibri" w:cs="Arial"/>
          <w:color w:val="000000"/>
          <w:sz w:val="24"/>
          <w:szCs w:val="24"/>
        </w:rPr>
        <w:t xml:space="preserve">na rashodovnu stranu </w:t>
      </w:r>
      <w:r w:rsidRPr="00F47F33">
        <w:rPr>
          <w:rFonts w:ascii="Calibri" w:hAnsi="Calibri" w:cs="Arial"/>
          <w:color w:val="000000"/>
          <w:sz w:val="24"/>
          <w:szCs w:val="24"/>
        </w:rPr>
        <w:t xml:space="preserve">po programima proračunskih korisnika te po aktivnostima, tekućim i kapitalnim projektima. </w:t>
      </w:r>
    </w:p>
    <w:p w14:paraId="1EF9E16E" w14:textId="0B48AB35" w:rsidR="00F47F33" w:rsidRPr="00F47F33" w:rsidRDefault="00F47F33" w:rsidP="00F47F33">
      <w:pPr>
        <w:autoSpaceDE w:val="0"/>
        <w:autoSpaceDN w:val="0"/>
        <w:adjustRightInd w:val="0"/>
        <w:spacing w:after="0" w:line="360" w:lineRule="auto"/>
        <w:jc w:val="both"/>
        <w:rPr>
          <w:rFonts w:ascii="Calibri" w:hAnsi="Calibri" w:cs="Arial"/>
          <w:color w:val="000000"/>
          <w:sz w:val="24"/>
          <w:szCs w:val="24"/>
        </w:rPr>
      </w:pPr>
      <w:r w:rsidRPr="00F47F33">
        <w:rPr>
          <w:rFonts w:ascii="Calibri" w:hAnsi="Calibri" w:cs="Arial"/>
          <w:color w:val="000000"/>
          <w:sz w:val="24"/>
          <w:szCs w:val="24"/>
        </w:rPr>
        <w:t>Organizacijska struktura Proračuna planira se kroz dva razdjela i to Predstavnička i izvršna</w:t>
      </w:r>
      <w:r>
        <w:rPr>
          <w:rFonts w:ascii="Calibri" w:hAnsi="Calibri" w:cs="Arial"/>
          <w:color w:val="000000"/>
          <w:sz w:val="24"/>
          <w:szCs w:val="24"/>
        </w:rPr>
        <w:t xml:space="preserve"> </w:t>
      </w:r>
      <w:r w:rsidRPr="00F47F33">
        <w:rPr>
          <w:rFonts w:ascii="Calibri" w:hAnsi="Calibri" w:cs="Arial"/>
          <w:color w:val="000000"/>
          <w:sz w:val="24"/>
          <w:szCs w:val="24"/>
        </w:rPr>
        <w:t>tijela i Jedinstveni upravni odjel.</w:t>
      </w:r>
    </w:p>
    <w:p w14:paraId="734A090E" w14:textId="06BF4A78" w:rsidR="00F47F33" w:rsidRPr="00F47F33" w:rsidRDefault="00F47F33" w:rsidP="00F47F33">
      <w:pPr>
        <w:autoSpaceDE w:val="0"/>
        <w:autoSpaceDN w:val="0"/>
        <w:adjustRightInd w:val="0"/>
        <w:spacing w:after="0" w:line="360" w:lineRule="auto"/>
        <w:rPr>
          <w:rFonts w:ascii="Calibri" w:hAnsi="Calibri" w:cs="Arial"/>
          <w:color w:val="000000"/>
          <w:sz w:val="24"/>
          <w:szCs w:val="24"/>
        </w:rPr>
      </w:pPr>
      <w:r w:rsidRPr="00F47F33">
        <w:rPr>
          <w:rFonts w:ascii="Calibri" w:hAnsi="Calibri" w:cs="Arial"/>
          <w:color w:val="000000"/>
          <w:sz w:val="24"/>
          <w:szCs w:val="24"/>
        </w:rPr>
        <w:t xml:space="preserve">Općina </w:t>
      </w:r>
      <w:r>
        <w:rPr>
          <w:rFonts w:ascii="Calibri" w:hAnsi="Calibri" w:cs="Arial"/>
          <w:color w:val="000000"/>
          <w:sz w:val="24"/>
          <w:szCs w:val="24"/>
        </w:rPr>
        <w:t>Gornja Rijeka</w:t>
      </w:r>
      <w:r w:rsidRPr="00F47F33">
        <w:rPr>
          <w:rFonts w:ascii="Calibri" w:hAnsi="Calibri" w:cs="Arial"/>
          <w:color w:val="000000"/>
          <w:sz w:val="24"/>
          <w:szCs w:val="24"/>
        </w:rPr>
        <w:t xml:space="preserve"> ima </w:t>
      </w:r>
      <w:r w:rsidR="00016871">
        <w:rPr>
          <w:rFonts w:ascii="Calibri" w:hAnsi="Calibri" w:cs="Arial"/>
          <w:color w:val="000000"/>
          <w:sz w:val="24"/>
          <w:szCs w:val="24"/>
        </w:rPr>
        <w:t>jednog</w:t>
      </w:r>
      <w:r w:rsidRPr="00F47F33">
        <w:rPr>
          <w:rFonts w:ascii="Calibri" w:hAnsi="Calibri" w:cs="Arial"/>
          <w:color w:val="000000"/>
          <w:sz w:val="24"/>
          <w:szCs w:val="24"/>
        </w:rPr>
        <w:t xml:space="preserve"> proračunsk</w:t>
      </w:r>
      <w:r w:rsidR="00016871">
        <w:rPr>
          <w:rFonts w:ascii="Calibri" w:hAnsi="Calibri" w:cs="Arial"/>
          <w:color w:val="000000"/>
          <w:sz w:val="24"/>
          <w:szCs w:val="24"/>
        </w:rPr>
        <w:t xml:space="preserve">og </w:t>
      </w:r>
      <w:r w:rsidRPr="00F47F33">
        <w:rPr>
          <w:rFonts w:ascii="Calibri" w:hAnsi="Calibri" w:cs="Arial"/>
          <w:color w:val="000000"/>
          <w:sz w:val="24"/>
          <w:szCs w:val="24"/>
        </w:rPr>
        <w:t>korisnika:</w:t>
      </w:r>
    </w:p>
    <w:p w14:paraId="7A4A64F4" w14:textId="24D7E92B" w:rsidR="00F47F33" w:rsidRPr="0043588F" w:rsidRDefault="0043588F" w:rsidP="0043588F">
      <w:pPr>
        <w:autoSpaceDE w:val="0"/>
        <w:autoSpaceDN w:val="0"/>
        <w:adjustRightInd w:val="0"/>
        <w:spacing w:after="0" w:line="360" w:lineRule="auto"/>
        <w:rPr>
          <w:rFonts w:ascii="Calibri" w:hAnsi="Calibri" w:cs="Arial"/>
          <w:color w:val="000000"/>
          <w:sz w:val="24"/>
          <w:szCs w:val="24"/>
        </w:rPr>
      </w:pPr>
      <w:r w:rsidRPr="0043588F">
        <w:rPr>
          <w:rFonts w:ascii="Calibri" w:hAnsi="Calibri" w:cs="Arial"/>
          <w:color w:val="000000"/>
          <w:sz w:val="24"/>
          <w:szCs w:val="24"/>
        </w:rPr>
        <w:t>-</w:t>
      </w:r>
      <w:r>
        <w:rPr>
          <w:rFonts w:ascii="Calibri" w:hAnsi="Calibri" w:cs="Arial"/>
          <w:color w:val="000000"/>
          <w:sz w:val="24"/>
          <w:szCs w:val="24"/>
        </w:rPr>
        <w:t xml:space="preserve">  </w:t>
      </w:r>
      <w:r w:rsidR="00F47F33" w:rsidRPr="0043588F">
        <w:rPr>
          <w:rFonts w:ascii="Calibri" w:hAnsi="Calibri" w:cs="Arial"/>
          <w:color w:val="000000"/>
          <w:sz w:val="24"/>
          <w:szCs w:val="24"/>
        </w:rPr>
        <w:t>Dječji vrtić Mali medo 2</w:t>
      </w:r>
      <w:r w:rsidR="00016871">
        <w:rPr>
          <w:rFonts w:ascii="Calibri" w:hAnsi="Calibri" w:cs="Arial"/>
          <w:color w:val="000000"/>
          <w:sz w:val="24"/>
          <w:szCs w:val="24"/>
        </w:rPr>
        <w:t>97.</w:t>
      </w:r>
      <w:r w:rsidR="00F47F33" w:rsidRPr="0043588F">
        <w:rPr>
          <w:rFonts w:ascii="Calibri" w:hAnsi="Calibri" w:cs="Arial"/>
          <w:color w:val="000000"/>
          <w:sz w:val="24"/>
          <w:szCs w:val="24"/>
        </w:rPr>
        <w:t>50</w:t>
      </w:r>
      <w:r w:rsidR="00016871">
        <w:rPr>
          <w:rFonts w:ascii="Calibri" w:hAnsi="Calibri" w:cs="Arial"/>
          <w:color w:val="000000"/>
          <w:sz w:val="24"/>
          <w:szCs w:val="24"/>
        </w:rPr>
        <w:t>0</w:t>
      </w:r>
      <w:r w:rsidR="00F47F33" w:rsidRPr="0043588F">
        <w:rPr>
          <w:rFonts w:ascii="Calibri" w:hAnsi="Calibri" w:cs="Arial"/>
          <w:color w:val="000000"/>
          <w:sz w:val="24"/>
          <w:szCs w:val="24"/>
        </w:rPr>
        <w:t>,00 EUR</w:t>
      </w:r>
    </w:p>
    <w:p w14:paraId="03FBAB8B" w14:textId="77777777" w:rsidR="00F47F33" w:rsidRPr="00F47F33" w:rsidRDefault="00F47F33" w:rsidP="00F47F33">
      <w:pPr>
        <w:pStyle w:val="Odlomakpopisa"/>
        <w:autoSpaceDE w:val="0"/>
        <w:autoSpaceDN w:val="0"/>
        <w:adjustRightInd w:val="0"/>
        <w:spacing w:after="0" w:line="360" w:lineRule="auto"/>
        <w:ind w:left="0"/>
        <w:rPr>
          <w:rFonts w:ascii="Calibri" w:hAnsi="Calibri" w:cs="Arial"/>
          <w:color w:val="000000"/>
          <w:sz w:val="24"/>
          <w:szCs w:val="24"/>
        </w:rPr>
      </w:pPr>
    </w:p>
    <w:p w14:paraId="63860751" w14:textId="76301A2E" w:rsidR="00F47F33" w:rsidRPr="00F47F33" w:rsidRDefault="00F47F33" w:rsidP="00F47F33">
      <w:pPr>
        <w:autoSpaceDE w:val="0"/>
        <w:autoSpaceDN w:val="0"/>
        <w:adjustRightInd w:val="0"/>
        <w:spacing w:after="0" w:line="360" w:lineRule="auto"/>
        <w:rPr>
          <w:rFonts w:ascii="Calibri" w:hAnsi="Calibri" w:cs="Arial"/>
          <w:color w:val="000000"/>
          <w:sz w:val="24"/>
          <w:szCs w:val="24"/>
        </w:rPr>
      </w:pPr>
      <w:r w:rsidRPr="00F47F33">
        <w:rPr>
          <w:rFonts w:ascii="Calibri" w:hAnsi="Calibri" w:cs="Arial"/>
          <w:color w:val="000000"/>
          <w:sz w:val="24"/>
          <w:szCs w:val="24"/>
        </w:rPr>
        <w:t>Programska struktura Proračuna definirana je kroz programe gdje je u Proračunu Općine</w:t>
      </w:r>
      <w:r w:rsidR="00C1554F">
        <w:rPr>
          <w:rFonts w:ascii="Calibri" w:hAnsi="Calibri" w:cs="Arial"/>
          <w:color w:val="000000"/>
          <w:sz w:val="24"/>
          <w:szCs w:val="24"/>
        </w:rPr>
        <w:t xml:space="preserve"> Gornja Rijeka</w:t>
      </w:r>
      <w:r w:rsidRPr="00F47F33">
        <w:rPr>
          <w:rFonts w:ascii="Calibri" w:hAnsi="Calibri" w:cs="Arial"/>
          <w:color w:val="000000"/>
          <w:sz w:val="24"/>
          <w:szCs w:val="24"/>
        </w:rPr>
        <w:t xml:space="preserve"> za 202</w:t>
      </w:r>
      <w:r w:rsidR="00016871">
        <w:rPr>
          <w:rFonts w:ascii="Calibri" w:hAnsi="Calibri" w:cs="Arial"/>
          <w:color w:val="000000"/>
          <w:sz w:val="24"/>
          <w:szCs w:val="24"/>
        </w:rPr>
        <w:t>5</w:t>
      </w:r>
      <w:r w:rsidRPr="00F47F33">
        <w:rPr>
          <w:rFonts w:ascii="Calibri" w:hAnsi="Calibri" w:cs="Arial"/>
          <w:color w:val="000000"/>
          <w:sz w:val="24"/>
          <w:szCs w:val="24"/>
        </w:rPr>
        <w:t xml:space="preserve">. definirano </w:t>
      </w:r>
      <w:r w:rsidR="00F35A75">
        <w:rPr>
          <w:rFonts w:ascii="Calibri" w:hAnsi="Calibri" w:cs="Arial"/>
          <w:color w:val="000000"/>
          <w:sz w:val="24"/>
          <w:szCs w:val="24"/>
        </w:rPr>
        <w:t>12</w:t>
      </w:r>
      <w:r w:rsidRPr="00F47F33">
        <w:rPr>
          <w:rFonts w:ascii="Calibri" w:hAnsi="Calibri" w:cs="Arial"/>
          <w:color w:val="000000"/>
          <w:sz w:val="24"/>
          <w:szCs w:val="24"/>
        </w:rPr>
        <w:t xml:space="preserve"> programa, a to su:</w:t>
      </w:r>
    </w:p>
    <w:p w14:paraId="27D3A4F7" w14:textId="52AD0C3D" w:rsidR="00F47F33" w:rsidRDefault="00F47F33" w:rsidP="00F47F33">
      <w:pPr>
        <w:autoSpaceDE w:val="0"/>
        <w:autoSpaceDN w:val="0"/>
        <w:adjustRightInd w:val="0"/>
        <w:spacing w:after="0" w:line="360" w:lineRule="auto"/>
        <w:rPr>
          <w:rFonts w:ascii="Calibri" w:hAnsi="Calibri" w:cs="Arial"/>
          <w:color w:val="000000"/>
          <w:sz w:val="24"/>
          <w:szCs w:val="24"/>
        </w:rPr>
      </w:pPr>
      <w:r w:rsidRPr="00F47F33">
        <w:rPr>
          <w:rFonts w:ascii="Calibri" w:hAnsi="Calibri" w:cs="Arial"/>
          <w:color w:val="000000"/>
          <w:sz w:val="24"/>
          <w:szCs w:val="24"/>
        </w:rPr>
        <w:t xml:space="preserve">• </w:t>
      </w:r>
      <w:r w:rsidR="00C1554F">
        <w:rPr>
          <w:rFonts w:ascii="Calibri" w:hAnsi="Calibri" w:cs="Arial"/>
          <w:color w:val="000000"/>
          <w:sz w:val="24"/>
          <w:szCs w:val="24"/>
        </w:rPr>
        <w:t>Izvršna i predstavnička tijela</w:t>
      </w:r>
      <w:r w:rsidRPr="00F47F33">
        <w:rPr>
          <w:rFonts w:ascii="Calibri" w:hAnsi="Calibri" w:cs="Arial"/>
          <w:color w:val="000000"/>
          <w:sz w:val="24"/>
          <w:szCs w:val="24"/>
        </w:rPr>
        <w:t xml:space="preserve"> 1</w:t>
      </w:r>
      <w:r w:rsidR="00016871">
        <w:rPr>
          <w:rFonts w:ascii="Calibri" w:hAnsi="Calibri" w:cs="Arial"/>
          <w:color w:val="000000"/>
          <w:sz w:val="24"/>
          <w:szCs w:val="24"/>
        </w:rPr>
        <w:t>09</w:t>
      </w:r>
      <w:r w:rsidRPr="00F47F33">
        <w:rPr>
          <w:rFonts w:ascii="Calibri" w:hAnsi="Calibri" w:cs="Arial"/>
          <w:color w:val="000000"/>
          <w:sz w:val="24"/>
          <w:szCs w:val="24"/>
        </w:rPr>
        <w:t>.</w:t>
      </w:r>
      <w:r w:rsidR="00C1554F">
        <w:rPr>
          <w:rFonts w:ascii="Calibri" w:hAnsi="Calibri" w:cs="Arial"/>
          <w:color w:val="000000"/>
          <w:sz w:val="24"/>
          <w:szCs w:val="24"/>
        </w:rPr>
        <w:t>0</w:t>
      </w:r>
      <w:r w:rsidRPr="00F47F33">
        <w:rPr>
          <w:rFonts w:ascii="Calibri" w:hAnsi="Calibri" w:cs="Arial"/>
          <w:color w:val="000000"/>
          <w:sz w:val="24"/>
          <w:szCs w:val="24"/>
        </w:rPr>
        <w:t>00,00 EUR</w:t>
      </w:r>
    </w:p>
    <w:p w14:paraId="53BB74E6" w14:textId="116660BE" w:rsidR="00112E24" w:rsidRDefault="00112E24" w:rsidP="0079588A">
      <w:pPr>
        <w:autoSpaceDE w:val="0"/>
        <w:autoSpaceDN w:val="0"/>
        <w:adjustRightInd w:val="0"/>
        <w:spacing w:after="0" w:line="360" w:lineRule="auto"/>
        <w:rPr>
          <w:rFonts w:ascii="Calibri" w:hAnsi="Calibri" w:cs="Arial"/>
          <w:color w:val="000000"/>
        </w:rPr>
      </w:pPr>
      <w:r>
        <w:rPr>
          <w:rFonts w:ascii="Calibri" w:hAnsi="Calibri" w:cs="Arial"/>
          <w:color w:val="000000"/>
        </w:rPr>
        <w:t>Rashodi programa odnose se na</w:t>
      </w:r>
      <w:r w:rsidR="0079588A">
        <w:rPr>
          <w:rFonts w:ascii="Calibri" w:hAnsi="Calibri" w:cs="Arial"/>
          <w:color w:val="000000"/>
        </w:rPr>
        <w:t xml:space="preserve">: redovni rad općinskog vijeća, općinskog načelnika i njihovih radnih tijela, informiranje i odnose s javnošću, članarine, tekuće donacije političkim strankama, obilježavanje dana općine, stipendiranje studenata, proračunsku zalihu, manifestacije, lokalne izbore i otplatu zajma za izvršeni povrata poreza na dohodak. </w:t>
      </w:r>
    </w:p>
    <w:p w14:paraId="1F9A0AB4" w14:textId="77777777" w:rsidR="0079588A" w:rsidRPr="00112E24" w:rsidRDefault="0079588A" w:rsidP="00112E24">
      <w:pPr>
        <w:autoSpaceDE w:val="0"/>
        <w:autoSpaceDN w:val="0"/>
        <w:adjustRightInd w:val="0"/>
        <w:spacing w:after="0" w:line="240" w:lineRule="auto"/>
        <w:rPr>
          <w:rFonts w:ascii="Calibri" w:hAnsi="Calibri" w:cs="Arial"/>
          <w:color w:val="000000"/>
        </w:rPr>
      </w:pPr>
    </w:p>
    <w:p w14:paraId="7D6C58D7" w14:textId="0828BDDD" w:rsidR="00F47F33" w:rsidRDefault="00F47F33" w:rsidP="00F47F33">
      <w:pPr>
        <w:autoSpaceDE w:val="0"/>
        <w:autoSpaceDN w:val="0"/>
        <w:adjustRightInd w:val="0"/>
        <w:spacing w:after="0" w:line="360" w:lineRule="auto"/>
        <w:rPr>
          <w:rFonts w:ascii="Calibri" w:hAnsi="Calibri" w:cs="Arial"/>
          <w:color w:val="000000"/>
          <w:sz w:val="24"/>
          <w:szCs w:val="24"/>
        </w:rPr>
      </w:pPr>
      <w:r w:rsidRPr="00F47F33">
        <w:rPr>
          <w:rFonts w:ascii="Calibri" w:hAnsi="Calibri" w:cs="Arial"/>
          <w:color w:val="000000"/>
          <w:sz w:val="24"/>
          <w:szCs w:val="24"/>
        </w:rPr>
        <w:t xml:space="preserve">• </w:t>
      </w:r>
      <w:r w:rsidR="00C1554F">
        <w:rPr>
          <w:rFonts w:ascii="Calibri" w:hAnsi="Calibri" w:cs="Arial"/>
          <w:color w:val="000000"/>
          <w:sz w:val="24"/>
          <w:szCs w:val="24"/>
        </w:rPr>
        <w:t>Redovna d</w:t>
      </w:r>
      <w:r w:rsidRPr="00F47F33">
        <w:rPr>
          <w:rFonts w:ascii="Calibri" w:hAnsi="Calibri" w:cs="Arial"/>
          <w:color w:val="000000"/>
          <w:sz w:val="24"/>
          <w:szCs w:val="24"/>
        </w:rPr>
        <w:t xml:space="preserve">jelatnost </w:t>
      </w:r>
      <w:r w:rsidR="00F00B45">
        <w:rPr>
          <w:rFonts w:ascii="Calibri" w:hAnsi="Calibri" w:cs="Arial"/>
          <w:color w:val="000000"/>
          <w:sz w:val="24"/>
          <w:szCs w:val="24"/>
        </w:rPr>
        <w:t>J</w:t>
      </w:r>
      <w:r w:rsidRPr="00F47F33">
        <w:rPr>
          <w:rFonts w:ascii="Calibri" w:hAnsi="Calibri" w:cs="Arial"/>
          <w:color w:val="000000"/>
          <w:sz w:val="24"/>
          <w:szCs w:val="24"/>
        </w:rPr>
        <w:t xml:space="preserve">edinstvenog upravnog odjela </w:t>
      </w:r>
      <w:r w:rsidR="00C1554F">
        <w:rPr>
          <w:rFonts w:ascii="Calibri" w:hAnsi="Calibri" w:cs="Arial"/>
          <w:color w:val="000000"/>
          <w:sz w:val="24"/>
          <w:szCs w:val="24"/>
        </w:rPr>
        <w:t>1</w:t>
      </w:r>
      <w:r w:rsidR="00F44CE5">
        <w:rPr>
          <w:rFonts w:ascii="Calibri" w:hAnsi="Calibri" w:cs="Arial"/>
          <w:color w:val="000000"/>
          <w:sz w:val="24"/>
          <w:szCs w:val="24"/>
        </w:rPr>
        <w:t>54</w:t>
      </w:r>
      <w:r w:rsidR="00C1554F">
        <w:rPr>
          <w:rFonts w:ascii="Calibri" w:hAnsi="Calibri" w:cs="Arial"/>
          <w:color w:val="000000"/>
          <w:sz w:val="24"/>
          <w:szCs w:val="24"/>
        </w:rPr>
        <w:t>.</w:t>
      </w:r>
      <w:r w:rsidR="00F44CE5">
        <w:rPr>
          <w:rFonts w:ascii="Calibri" w:hAnsi="Calibri" w:cs="Arial"/>
          <w:color w:val="000000"/>
          <w:sz w:val="24"/>
          <w:szCs w:val="24"/>
        </w:rPr>
        <w:t>15</w:t>
      </w:r>
      <w:r w:rsidR="00C1554F">
        <w:rPr>
          <w:rFonts w:ascii="Calibri" w:hAnsi="Calibri" w:cs="Arial"/>
          <w:color w:val="000000"/>
          <w:sz w:val="24"/>
          <w:szCs w:val="24"/>
        </w:rPr>
        <w:t>0</w:t>
      </w:r>
      <w:r w:rsidRPr="00F47F33">
        <w:rPr>
          <w:rFonts w:ascii="Calibri" w:hAnsi="Calibri" w:cs="Arial"/>
          <w:color w:val="000000"/>
          <w:sz w:val="24"/>
          <w:szCs w:val="24"/>
        </w:rPr>
        <w:t>,00 EUR</w:t>
      </w:r>
    </w:p>
    <w:p w14:paraId="0E5CC902" w14:textId="370DCF29" w:rsidR="00270BF8" w:rsidRPr="00270BF8" w:rsidRDefault="00270BF8" w:rsidP="00270BF8">
      <w:pPr>
        <w:autoSpaceDE w:val="0"/>
        <w:autoSpaceDN w:val="0"/>
        <w:adjustRightInd w:val="0"/>
        <w:jc w:val="both"/>
        <w:rPr>
          <w:rFonts w:ascii="Calibri" w:hAnsi="Calibri" w:cs="Arial"/>
          <w:color w:val="000000"/>
        </w:rPr>
      </w:pPr>
      <w:r w:rsidRPr="00E96D40">
        <w:rPr>
          <w:rFonts w:ascii="Calibri" w:hAnsi="Calibri" w:cs="Arial"/>
          <w:color w:val="000000"/>
        </w:rPr>
        <w:t>Rashodi poslovanja djelatnosti izvršnog i predstavničkog tijela te rashodi za redovnu djelatnost Jedinstvenog upravnog odjela planirani su na teme</w:t>
      </w:r>
      <w:r>
        <w:rPr>
          <w:rFonts w:ascii="Calibri" w:hAnsi="Calibri" w:cs="Arial"/>
          <w:color w:val="000000"/>
        </w:rPr>
        <w:t>lju ocjenjenog izvršenja za 202</w:t>
      </w:r>
      <w:r w:rsidR="00F44CE5">
        <w:rPr>
          <w:rFonts w:ascii="Calibri" w:hAnsi="Calibri" w:cs="Arial"/>
          <w:color w:val="000000"/>
        </w:rPr>
        <w:t>4</w:t>
      </w:r>
      <w:r w:rsidRPr="00E96D40">
        <w:rPr>
          <w:rFonts w:ascii="Calibri" w:hAnsi="Calibri" w:cs="Arial"/>
          <w:color w:val="000000"/>
        </w:rPr>
        <w:t>. g</w:t>
      </w:r>
      <w:r>
        <w:rPr>
          <w:rFonts w:ascii="Calibri" w:hAnsi="Calibri" w:cs="Arial"/>
          <w:color w:val="000000"/>
        </w:rPr>
        <w:t>odinu, ocjenjenih potreba u 202</w:t>
      </w:r>
      <w:r w:rsidR="00F44CE5">
        <w:rPr>
          <w:rFonts w:ascii="Calibri" w:hAnsi="Calibri" w:cs="Arial"/>
          <w:color w:val="000000"/>
        </w:rPr>
        <w:t>5</w:t>
      </w:r>
      <w:r w:rsidRPr="00E96D40">
        <w:rPr>
          <w:rFonts w:ascii="Calibri" w:hAnsi="Calibri" w:cs="Arial"/>
          <w:color w:val="000000"/>
        </w:rPr>
        <w:t>. godini, uvažavajući uvjete i specifičnosti koje će biti prisu</w:t>
      </w:r>
      <w:r>
        <w:rPr>
          <w:rFonts w:ascii="Calibri" w:hAnsi="Calibri" w:cs="Arial"/>
          <w:color w:val="000000"/>
        </w:rPr>
        <w:t>tne kod određenih rashoda u 202</w:t>
      </w:r>
      <w:r w:rsidR="000C4747">
        <w:rPr>
          <w:rFonts w:ascii="Calibri" w:hAnsi="Calibri" w:cs="Arial"/>
          <w:color w:val="000000"/>
        </w:rPr>
        <w:t>5</w:t>
      </w:r>
      <w:r w:rsidRPr="00E96D40">
        <w:rPr>
          <w:rFonts w:ascii="Calibri" w:hAnsi="Calibri" w:cs="Arial"/>
          <w:color w:val="000000"/>
        </w:rPr>
        <w:t>. godini, a u skladu s planira</w:t>
      </w:r>
      <w:r>
        <w:rPr>
          <w:rFonts w:ascii="Calibri" w:hAnsi="Calibri" w:cs="Arial"/>
          <w:color w:val="000000"/>
        </w:rPr>
        <w:t>nim prihodima za 202</w:t>
      </w:r>
      <w:r w:rsidR="000C4747">
        <w:rPr>
          <w:rFonts w:ascii="Calibri" w:hAnsi="Calibri" w:cs="Arial"/>
          <w:color w:val="000000"/>
        </w:rPr>
        <w:t>5</w:t>
      </w:r>
      <w:r>
        <w:rPr>
          <w:rFonts w:ascii="Calibri" w:hAnsi="Calibri" w:cs="Arial"/>
          <w:color w:val="000000"/>
        </w:rPr>
        <w:t>. godinu i planiranim prenesenim viškom sredstava iz prethodnih godina.</w:t>
      </w:r>
    </w:p>
    <w:p w14:paraId="34FC208A" w14:textId="03B5C745" w:rsidR="00F47F33" w:rsidRDefault="00F47F33" w:rsidP="00F47F33">
      <w:pPr>
        <w:autoSpaceDE w:val="0"/>
        <w:autoSpaceDN w:val="0"/>
        <w:adjustRightInd w:val="0"/>
        <w:spacing w:after="0" w:line="360" w:lineRule="auto"/>
        <w:rPr>
          <w:rFonts w:ascii="Calibri" w:hAnsi="Calibri" w:cs="Arial"/>
          <w:color w:val="000000"/>
          <w:sz w:val="24"/>
          <w:szCs w:val="24"/>
        </w:rPr>
      </w:pPr>
      <w:r w:rsidRPr="00F47F33">
        <w:rPr>
          <w:rFonts w:ascii="Calibri" w:hAnsi="Calibri" w:cs="Arial"/>
          <w:color w:val="000000"/>
          <w:sz w:val="24"/>
          <w:szCs w:val="24"/>
        </w:rPr>
        <w:t xml:space="preserve">• Prostorno uređenje i unapređenja stanovanja </w:t>
      </w:r>
      <w:r w:rsidR="000C4747">
        <w:rPr>
          <w:rFonts w:ascii="Calibri" w:hAnsi="Calibri" w:cs="Arial"/>
          <w:color w:val="000000"/>
          <w:sz w:val="24"/>
          <w:szCs w:val="24"/>
        </w:rPr>
        <w:t>302.700</w:t>
      </w:r>
      <w:r w:rsidRPr="00F47F33">
        <w:rPr>
          <w:rFonts w:ascii="Calibri" w:hAnsi="Calibri" w:cs="Arial"/>
          <w:color w:val="000000"/>
          <w:sz w:val="24"/>
          <w:szCs w:val="24"/>
        </w:rPr>
        <w:t>,00 EUR</w:t>
      </w:r>
    </w:p>
    <w:p w14:paraId="7B89AE3B" w14:textId="1F1D8FA1" w:rsidR="00270BF8" w:rsidRPr="00163F46" w:rsidRDefault="00270BF8" w:rsidP="00163F46">
      <w:pPr>
        <w:autoSpaceDE w:val="0"/>
        <w:autoSpaceDN w:val="0"/>
        <w:adjustRightInd w:val="0"/>
        <w:jc w:val="both"/>
        <w:rPr>
          <w:rFonts w:ascii="Calibri" w:hAnsi="Calibri" w:cs="Arial"/>
          <w:color w:val="000000"/>
        </w:rPr>
      </w:pPr>
      <w:r w:rsidRPr="00E96D40">
        <w:rPr>
          <w:rFonts w:ascii="Calibri" w:hAnsi="Calibri" w:cs="Arial"/>
          <w:color w:val="000000"/>
        </w:rPr>
        <w:t xml:space="preserve">Rashodi programa, aktivnosti, tekućih i kapitalnih projekata gospodarstva (prostorno uređenje i unapređenje stanovanja) </w:t>
      </w:r>
      <w:r>
        <w:rPr>
          <w:rFonts w:ascii="Calibri" w:hAnsi="Calibri" w:cs="Arial"/>
          <w:color w:val="000000"/>
        </w:rPr>
        <w:t>odnose se na:</w:t>
      </w:r>
      <w:r w:rsidRPr="00E96D40">
        <w:rPr>
          <w:rFonts w:ascii="Calibri" w:hAnsi="Calibri" w:cs="Arial"/>
          <w:color w:val="000000"/>
        </w:rPr>
        <w:t xml:space="preserve"> općinsk</w:t>
      </w:r>
      <w:r>
        <w:rPr>
          <w:rFonts w:ascii="Calibri" w:hAnsi="Calibri" w:cs="Arial"/>
          <w:color w:val="000000"/>
        </w:rPr>
        <w:t>e</w:t>
      </w:r>
      <w:r w:rsidRPr="00E96D40">
        <w:rPr>
          <w:rFonts w:ascii="Calibri" w:hAnsi="Calibri" w:cs="Arial"/>
          <w:color w:val="000000"/>
        </w:rPr>
        <w:t xml:space="preserve"> zgrad</w:t>
      </w:r>
      <w:r>
        <w:rPr>
          <w:rFonts w:ascii="Calibri" w:hAnsi="Calibri" w:cs="Arial"/>
          <w:color w:val="000000"/>
        </w:rPr>
        <w:t xml:space="preserve">e, </w:t>
      </w:r>
      <w:r w:rsidRPr="00E96D40">
        <w:rPr>
          <w:rFonts w:ascii="Calibri" w:hAnsi="Calibri" w:cs="Arial"/>
          <w:color w:val="000000"/>
        </w:rPr>
        <w:t>zgrad</w:t>
      </w:r>
      <w:r>
        <w:rPr>
          <w:rFonts w:ascii="Calibri" w:hAnsi="Calibri" w:cs="Arial"/>
          <w:color w:val="000000"/>
        </w:rPr>
        <w:t>u</w:t>
      </w:r>
      <w:r w:rsidRPr="00E96D40">
        <w:rPr>
          <w:rFonts w:ascii="Calibri" w:hAnsi="Calibri" w:cs="Arial"/>
          <w:color w:val="000000"/>
        </w:rPr>
        <w:t xml:space="preserve"> za potrebe primarne zdravstvene zaštite</w:t>
      </w:r>
      <w:r>
        <w:rPr>
          <w:rFonts w:ascii="Calibri" w:hAnsi="Calibri" w:cs="Arial"/>
          <w:color w:val="000000"/>
        </w:rPr>
        <w:t xml:space="preserve">/TIC, geodetsko-katastarska izmjeru, </w:t>
      </w:r>
      <w:r w:rsidR="000C4747">
        <w:rPr>
          <w:rFonts w:ascii="Calibri" w:hAnsi="Calibri" w:cs="Arial"/>
          <w:color w:val="000000"/>
        </w:rPr>
        <w:t>gospodarenje otpadom i zaštitu okoliša</w:t>
      </w:r>
      <w:r>
        <w:rPr>
          <w:rFonts w:ascii="Calibri" w:hAnsi="Calibri" w:cs="Arial"/>
          <w:color w:val="000000"/>
        </w:rPr>
        <w:t>, društveni dom u Pofukima, projektiranje doma za stare i nemoćne</w:t>
      </w:r>
      <w:r w:rsidR="00D40148">
        <w:rPr>
          <w:rFonts w:ascii="Calibri" w:hAnsi="Calibri" w:cs="Arial"/>
          <w:color w:val="000000"/>
        </w:rPr>
        <w:t xml:space="preserve">, </w:t>
      </w:r>
      <w:r>
        <w:rPr>
          <w:rFonts w:ascii="Calibri" w:hAnsi="Calibri" w:cs="Arial"/>
          <w:color w:val="000000"/>
        </w:rPr>
        <w:t>sufinanciranje vodoopskrbe</w:t>
      </w:r>
      <w:r w:rsidR="00D40148">
        <w:rPr>
          <w:rFonts w:ascii="Calibri" w:hAnsi="Calibri" w:cs="Arial"/>
          <w:color w:val="000000"/>
        </w:rPr>
        <w:t>,</w:t>
      </w:r>
      <w:r>
        <w:rPr>
          <w:rFonts w:ascii="Calibri" w:hAnsi="Calibri" w:cs="Arial"/>
          <w:color w:val="000000"/>
        </w:rPr>
        <w:t xml:space="preserve"> </w:t>
      </w:r>
      <w:r w:rsidR="000C4747">
        <w:rPr>
          <w:rFonts w:ascii="Calibri" w:hAnsi="Calibri" w:cs="Arial"/>
          <w:color w:val="000000"/>
        </w:rPr>
        <w:t xml:space="preserve">sufinanciranje održavanja županijskih i lokalnih cesta, </w:t>
      </w:r>
      <w:r>
        <w:rPr>
          <w:rFonts w:ascii="Calibri" w:hAnsi="Calibri" w:cs="Arial"/>
          <w:color w:val="000000"/>
        </w:rPr>
        <w:t>izradu prostornog plana</w:t>
      </w:r>
      <w:r w:rsidR="00D40148">
        <w:rPr>
          <w:rFonts w:ascii="Calibri" w:hAnsi="Calibri" w:cs="Arial"/>
          <w:color w:val="000000"/>
        </w:rPr>
        <w:t>, izradu Programa prilagodbe klimatskim promjenama</w:t>
      </w:r>
      <w:r w:rsidR="00163F46">
        <w:rPr>
          <w:rFonts w:ascii="Calibri" w:hAnsi="Calibri" w:cs="Arial"/>
          <w:color w:val="000000"/>
        </w:rPr>
        <w:t>.</w:t>
      </w:r>
    </w:p>
    <w:p w14:paraId="0D92120C" w14:textId="177B6247" w:rsidR="00F47F33" w:rsidRDefault="00F47F33" w:rsidP="00F47F33">
      <w:pPr>
        <w:autoSpaceDE w:val="0"/>
        <w:autoSpaceDN w:val="0"/>
        <w:adjustRightInd w:val="0"/>
        <w:spacing w:after="0" w:line="360" w:lineRule="auto"/>
        <w:rPr>
          <w:rFonts w:ascii="Calibri" w:hAnsi="Calibri" w:cs="Arial"/>
          <w:color w:val="000000"/>
          <w:sz w:val="24"/>
          <w:szCs w:val="24"/>
        </w:rPr>
      </w:pPr>
      <w:r w:rsidRPr="00F47F33">
        <w:rPr>
          <w:rFonts w:ascii="Calibri" w:hAnsi="Calibri" w:cs="Arial"/>
          <w:color w:val="000000"/>
          <w:sz w:val="24"/>
          <w:szCs w:val="24"/>
        </w:rPr>
        <w:t xml:space="preserve">• Javne potrebe u predškolskom odgoju </w:t>
      </w:r>
      <w:r w:rsidR="000C4747">
        <w:rPr>
          <w:rFonts w:ascii="Calibri" w:hAnsi="Calibri" w:cs="Arial"/>
          <w:color w:val="000000"/>
          <w:sz w:val="24"/>
          <w:szCs w:val="24"/>
        </w:rPr>
        <w:t>452.500</w:t>
      </w:r>
      <w:r w:rsidRPr="00F47F33">
        <w:rPr>
          <w:rFonts w:ascii="Calibri" w:hAnsi="Calibri" w:cs="Arial"/>
          <w:color w:val="000000"/>
          <w:sz w:val="24"/>
          <w:szCs w:val="24"/>
        </w:rPr>
        <w:t>,00 EUR</w:t>
      </w:r>
    </w:p>
    <w:p w14:paraId="737603C6" w14:textId="6FD2C531" w:rsidR="000C4747" w:rsidRDefault="000C4747" w:rsidP="00AE03C9">
      <w:pPr>
        <w:autoSpaceDE w:val="0"/>
        <w:autoSpaceDN w:val="0"/>
        <w:adjustRightInd w:val="0"/>
        <w:spacing w:after="0" w:line="240" w:lineRule="auto"/>
        <w:jc w:val="both"/>
        <w:rPr>
          <w:rFonts w:ascii="Calibri" w:hAnsi="Calibri" w:cs="Arial"/>
          <w:color w:val="000000"/>
        </w:rPr>
      </w:pPr>
      <w:r w:rsidRPr="000C4747">
        <w:rPr>
          <w:rFonts w:ascii="Calibri" w:hAnsi="Calibri" w:cs="Arial"/>
          <w:color w:val="000000"/>
        </w:rPr>
        <w:t xml:space="preserve">Rashodi programa odnose se na </w:t>
      </w:r>
      <w:r>
        <w:rPr>
          <w:rFonts w:ascii="Calibri" w:hAnsi="Calibri" w:cs="Arial"/>
          <w:color w:val="000000"/>
        </w:rPr>
        <w:t xml:space="preserve">završetak dogradnje dječjeg vrtića i nabavu opreme, sufinanciranje smještaja u vrtiće te redovni rad Dječjeg vrtića Mali medo. </w:t>
      </w:r>
    </w:p>
    <w:p w14:paraId="03E3DF91" w14:textId="77777777" w:rsidR="00AE03C9" w:rsidRPr="00AE03C9" w:rsidRDefault="00AE03C9" w:rsidP="000C4747">
      <w:pPr>
        <w:autoSpaceDE w:val="0"/>
        <w:autoSpaceDN w:val="0"/>
        <w:adjustRightInd w:val="0"/>
        <w:spacing w:after="0" w:line="360" w:lineRule="auto"/>
        <w:jc w:val="both"/>
        <w:rPr>
          <w:rFonts w:ascii="Calibri" w:hAnsi="Calibri" w:cs="Arial"/>
          <w:color w:val="000000"/>
          <w:sz w:val="10"/>
          <w:szCs w:val="10"/>
        </w:rPr>
      </w:pPr>
    </w:p>
    <w:p w14:paraId="37CB0C89" w14:textId="481A48DD" w:rsidR="00F47F33" w:rsidRDefault="00F47F33" w:rsidP="00F47F33">
      <w:pPr>
        <w:autoSpaceDE w:val="0"/>
        <w:autoSpaceDN w:val="0"/>
        <w:adjustRightInd w:val="0"/>
        <w:spacing w:after="0" w:line="360" w:lineRule="auto"/>
        <w:rPr>
          <w:rFonts w:ascii="Calibri" w:hAnsi="Calibri" w:cs="Arial"/>
          <w:color w:val="000000"/>
          <w:sz w:val="24"/>
          <w:szCs w:val="24"/>
        </w:rPr>
      </w:pPr>
      <w:r w:rsidRPr="00F47F33">
        <w:rPr>
          <w:rFonts w:ascii="Calibri" w:hAnsi="Calibri" w:cs="Arial"/>
          <w:color w:val="000000"/>
          <w:sz w:val="24"/>
          <w:szCs w:val="24"/>
        </w:rPr>
        <w:t xml:space="preserve">• Javne potrebe u osnovnom školstvu </w:t>
      </w:r>
      <w:r w:rsidR="00AE03C9">
        <w:rPr>
          <w:rFonts w:ascii="Calibri" w:hAnsi="Calibri" w:cs="Arial"/>
          <w:color w:val="000000"/>
          <w:sz w:val="24"/>
          <w:szCs w:val="24"/>
        </w:rPr>
        <w:t>5.1</w:t>
      </w:r>
      <w:r w:rsidRPr="00F47F33">
        <w:rPr>
          <w:rFonts w:ascii="Calibri" w:hAnsi="Calibri" w:cs="Arial"/>
          <w:color w:val="000000"/>
          <w:sz w:val="24"/>
          <w:szCs w:val="24"/>
        </w:rPr>
        <w:t>00,00 EUR</w:t>
      </w:r>
    </w:p>
    <w:p w14:paraId="3538C22F" w14:textId="20E2B4F1" w:rsidR="00163F46" w:rsidRPr="00E96D40" w:rsidRDefault="00163F46" w:rsidP="00163F46">
      <w:pPr>
        <w:autoSpaceDE w:val="0"/>
        <w:autoSpaceDN w:val="0"/>
        <w:adjustRightInd w:val="0"/>
        <w:jc w:val="both"/>
        <w:rPr>
          <w:rFonts w:ascii="Calibri" w:hAnsi="Calibri" w:cs="Arial"/>
          <w:color w:val="000000"/>
        </w:rPr>
      </w:pPr>
      <w:r w:rsidRPr="00E96D40">
        <w:rPr>
          <w:rFonts w:ascii="Calibri" w:hAnsi="Calibri" w:cs="Arial"/>
          <w:color w:val="000000"/>
        </w:rPr>
        <w:lastRenderedPageBreak/>
        <w:t xml:space="preserve">Rashodi za aktivnosti u osnovnom školstvu </w:t>
      </w:r>
      <w:r>
        <w:rPr>
          <w:rFonts w:ascii="Calibri" w:hAnsi="Calibri" w:cs="Arial"/>
          <w:color w:val="000000"/>
        </w:rPr>
        <w:t>odnose se na školske programe i aktivnosti, darove povodom sv. Nikol</w:t>
      </w:r>
      <w:r w:rsidR="00AE03C9">
        <w:rPr>
          <w:rFonts w:ascii="Calibri" w:hAnsi="Calibri" w:cs="Arial"/>
          <w:color w:val="000000"/>
        </w:rPr>
        <w:t>e te</w:t>
      </w:r>
      <w:r>
        <w:rPr>
          <w:rFonts w:ascii="Calibri" w:hAnsi="Calibri" w:cs="Arial"/>
          <w:color w:val="000000"/>
        </w:rPr>
        <w:t xml:space="preserve"> nagrade učenicima i mentorima za postignute rezultate.</w:t>
      </w:r>
    </w:p>
    <w:p w14:paraId="557667C5" w14:textId="50019759" w:rsidR="00747955" w:rsidRDefault="00747955" w:rsidP="00F47F33">
      <w:pPr>
        <w:autoSpaceDE w:val="0"/>
        <w:autoSpaceDN w:val="0"/>
        <w:adjustRightInd w:val="0"/>
        <w:spacing w:after="0" w:line="360" w:lineRule="auto"/>
        <w:rPr>
          <w:rFonts w:ascii="Calibri" w:hAnsi="Calibri" w:cs="Arial"/>
          <w:color w:val="000000"/>
          <w:sz w:val="24"/>
          <w:szCs w:val="24"/>
        </w:rPr>
      </w:pPr>
      <w:r w:rsidRPr="00747955">
        <w:rPr>
          <w:rFonts w:ascii="Calibri" w:hAnsi="Calibri" w:cs="Arial"/>
          <w:color w:val="000000"/>
          <w:sz w:val="24"/>
          <w:szCs w:val="24"/>
        </w:rPr>
        <w:t xml:space="preserve">• Javne potrebe u kulturi i razvoju organizacija civilnog društva </w:t>
      </w:r>
      <w:r>
        <w:rPr>
          <w:rFonts w:ascii="Calibri" w:hAnsi="Calibri" w:cs="Arial"/>
          <w:color w:val="000000"/>
          <w:sz w:val="24"/>
          <w:szCs w:val="24"/>
        </w:rPr>
        <w:t>3</w:t>
      </w:r>
      <w:r w:rsidR="0060619C">
        <w:rPr>
          <w:rFonts w:ascii="Calibri" w:hAnsi="Calibri" w:cs="Arial"/>
          <w:color w:val="000000"/>
          <w:sz w:val="24"/>
          <w:szCs w:val="24"/>
        </w:rPr>
        <w:t>5</w:t>
      </w:r>
      <w:r>
        <w:rPr>
          <w:rFonts w:ascii="Calibri" w:hAnsi="Calibri" w:cs="Arial"/>
          <w:color w:val="000000"/>
          <w:sz w:val="24"/>
          <w:szCs w:val="24"/>
        </w:rPr>
        <w:t>.</w:t>
      </w:r>
      <w:r w:rsidR="0060619C">
        <w:rPr>
          <w:rFonts w:ascii="Calibri" w:hAnsi="Calibri" w:cs="Arial"/>
          <w:color w:val="000000"/>
          <w:sz w:val="24"/>
          <w:szCs w:val="24"/>
        </w:rPr>
        <w:t>8</w:t>
      </w:r>
      <w:r>
        <w:rPr>
          <w:rFonts w:ascii="Calibri" w:hAnsi="Calibri" w:cs="Arial"/>
          <w:color w:val="000000"/>
          <w:sz w:val="24"/>
          <w:szCs w:val="24"/>
        </w:rPr>
        <w:t>00,00</w:t>
      </w:r>
      <w:r w:rsidRPr="00747955">
        <w:rPr>
          <w:rFonts w:ascii="Calibri" w:hAnsi="Calibri" w:cs="Arial"/>
          <w:color w:val="000000"/>
          <w:sz w:val="24"/>
          <w:szCs w:val="24"/>
        </w:rPr>
        <w:t xml:space="preserve"> EUR</w:t>
      </w:r>
    </w:p>
    <w:p w14:paraId="4C45D2E4" w14:textId="4D2F3B33" w:rsidR="00163F46" w:rsidRPr="00707835" w:rsidRDefault="00163F46" w:rsidP="00707835">
      <w:pPr>
        <w:autoSpaceDE w:val="0"/>
        <w:autoSpaceDN w:val="0"/>
        <w:adjustRightInd w:val="0"/>
        <w:jc w:val="both"/>
        <w:rPr>
          <w:rFonts w:ascii="Calibri" w:hAnsi="Calibri" w:cs="Arial"/>
          <w:color w:val="000000"/>
        </w:rPr>
      </w:pPr>
      <w:r w:rsidRPr="00E96D40">
        <w:rPr>
          <w:rFonts w:ascii="Calibri" w:hAnsi="Calibri" w:cs="Arial"/>
          <w:color w:val="000000"/>
        </w:rPr>
        <w:t>Planirana su sredstva za financiranje programa, aktivnosti, tekućih i kapitalnih proj</w:t>
      </w:r>
      <w:r>
        <w:rPr>
          <w:rFonts w:ascii="Calibri" w:hAnsi="Calibri" w:cs="Arial"/>
          <w:color w:val="000000"/>
        </w:rPr>
        <w:t xml:space="preserve">ekata u području kulture: </w:t>
      </w:r>
      <w:r w:rsidR="00B92F5D">
        <w:rPr>
          <w:rFonts w:ascii="Calibri" w:hAnsi="Calibri" w:cs="Arial"/>
          <w:color w:val="000000"/>
        </w:rPr>
        <w:t xml:space="preserve"> sufinanciranje Bibliobusa, </w:t>
      </w:r>
      <w:r>
        <w:rPr>
          <w:rFonts w:ascii="Calibri" w:hAnsi="Calibri" w:cs="Arial"/>
          <w:color w:val="000000"/>
        </w:rPr>
        <w:t>poticanje kulturno umjetničkog amaterizma, vlastelinski grad Mali Kalnik, etno park u Kostanjevcu Riječkom</w:t>
      </w:r>
      <w:r w:rsidR="0060619C">
        <w:rPr>
          <w:rFonts w:ascii="Calibri" w:hAnsi="Calibri" w:cs="Arial"/>
          <w:color w:val="000000"/>
        </w:rPr>
        <w:t>.</w:t>
      </w:r>
    </w:p>
    <w:p w14:paraId="111327F7" w14:textId="47417E3A" w:rsidR="00F47F33" w:rsidRDefault="00F47F33" w:rsidP="00F47F33">
      <w:pPr>
        <w:autoSpaceDE w:val="0"/>
        <w:autoSpaceDN w:val="0"/>
        <w:adjustRightInd w:val="0"/>
        <w:spacing w:after="0" w:line="360" w:lineRule="auto"/>
        <w:rPr>
          <w:rFonts w:ascii="Calibri" w:hAnsi="Calibri" w:cs="Arial"/>
          <w:color w:val="000000"/>
          <w:sz w:val="24"/>
          <w:szCs w:val="24"/>
        </w:rPr>
      </w:pPr>
      <w:r w:rsidRPr="00F47F33">
        <w:rPr>
          <w:rFonts w:ascii="Calibri" w:hAnsi="Calibri" w:cs="Arial"/>
          <w:color w:val="000000"/>
          <w:sz w:val="24"/>
          <w:szCs w:val="24"/>
        </w:rPr>
        <w:t xml:space="preserve">• Javne potrebe u sportu </w:t>
      </w:r>
      <w:r w:rsidR="00707835">
        <w:rPr>
          <w:rFonts w:ascii="Calibri" w:hAnsi="Calibri" w:cs="Arial"/>
          <w:color w:val="000000"/>
          <w:sz w:val="24"/>
          <w:szCs w:val="24"/>
        </w:rPr>
        <w:t>142</w:t>
      </w:r>
      <w:r w:rsidR="00747955">
        <w:rPr>
          <w:rFonts w:ascii="Calibri" w:hAnsi="Calibri" w:cs="Arial"/>
          <w:color w:val="000000"/>
          <w:sz w:val="24"/>
          <w:szCs w:val="24"/>
        </w:rPr>
        <w:t>.000,00</w:t>
      </w:r>
      <w:r w:rsidRPr="00F47F33">
        <w:rPr>
          <w:rFonts w:ascii="Calibri" w:hAnsi="Calibri" w:cs="Arial"/>
          <w:color w:val="000000"/>
          <w:sz w:val="24"/>
          <w:szCs w:val="24"/>
        </w:rPr>
        <w:t xml:space="preserve"> EUR</w:t>
      </w:r>
    </w:p>
    <w:p w14:paraId="557E84D4" w14:textId="2F1C7D98" w:rsidR="00B92F5D" w:rsidRPr="00366EA6" w:rsidRDefault="00B92F5D" w:rsidP="00B92F5D">
      <w:pPr>
        <w:autoSpaceDE w:val="0"/>
        <w:autoSpaceDN w:val="0"/>
        <w:adjustRightInd w:val="0"/>
        <w:jc w:val="both"/>
        <w:rPr>
          <w:rFonts w:ascii="Calibri" w:hAnsi="Calibri" w:cs="Arial"/>
          <w:b/>
          <w:u w:val="single"/>
        </w:rPr>
      </w:pPr>
      <w:r w:rsidRPr="00E96D40">
        <w:rPr>
          <w:rFonts w:ascii="Calibri" w:hAnsi="Calibri" w:cs="Arial"/>
          <w:color w:val="000000"/>
        </w:rPr>
        <w:t xml:space="preserve">U okviru programa Sporta planirana su sredstva za djelatnost lovačkih </w:t>
      </w:r>
      <w:r>
        <w:rPr>
          <w:rFonts w:ascii="Calibri" w:hAnsi="Calibri" w:cs="Arial"/>
          <w:color w:val="000000"/>
        </w:rPr>
        <w:t xml:space="preserve">i sportskih udruga </w:t>
      </w:r>
      <w:r w:rsidRPr="00366EA6">
        <w:rPr>
          <w:rFonts w:ascii="Calibri" w:hAnsi="Calibri" w:cs="Arial"/>
        </w:rPr>
        <w:t>te</w:t>
      </w:r>
      <w:r>
        <w:rPr>
          <w:rFonts w:ascii="Calibri" w:hAnsi="Calibri" w:cs="Arial"/>
        </w:rPr>
        <w:t xml:space="preserve"> za </w:t>
      </w:r>
      <w:r w:rsidRPr="00366EA6">
        <w:rPr>
          <w:rFonts w:ascii="Calibri" w:hAnsi="Calibri" w:cs="Arial"/>
        </w:rPr>
        <w:t>izgradnj</w:t>
      </w:r>
      <w:r>
        <w:rPr>
          <w:rFonts w:ascii="Calibri" w:hAnsi="Calibri" w:cs="Arial"/>
        </w:rPr>
        <w:t>u</w:t>
      </w:r>
      <w:r w:rsidRPr="00366EA6">
        <w:rPr>
          <w:rFonts w:ascii="Calibri" w:hAnsi="Calibri" w:cs="Arial"/>
        </w:rPr>
        <w:t xml:space="preserve"> </w:t>
      </w:r>
      <w:r w:rsidR="00707835">
        <w:rPr>
          <w:rFonts w:ascii="Calibri" w:hAnsi="Calibri" w:cs="Arial"/>
        </w:rPr>
        <w:t xml:space="preserve">III faze </w:t>
      </w:r>
      <w:r w:rsidRPr="00366EA6">
        <w:rPr>
          <w:rFonts w:ascii="Calibri" w:hAnsi="Calibri" w:cs="Arial"/>
        </w:rPr>
        <w:t>sportsk</w:t>
      </w:r>
      <w:r w:rsidR="00707835">
        <w:rPr>
          <w:rFonts w:ascii="Calibri" w:hAnsi="Calibri" w:cs="Arial"/>
        </w:rPr>
        <w:t>o</w:t>
      </w:r>
      <w:r w:rsidRPr="00366EA6">
        <w:rPr>
          <w:rFonts w:ascii="Calibri" w:hAnsi="Calibri" w:cs="Arial"/>
        </w:rPr>
        <w:t xml:space="preserve"> rekreacijske građevine u</w:t>
      </w:r>
      <w:r>
        <w:rPr>
          <w:rFonts w:ascii="Calibri" w:hAnsi="Calibri" w:cs="Arial"/>
        </w:rPr>
        <w:t xml:space="preserve"> naselju Gornja Rijeka. </w:t>
      </w:r>
    </w:p>
    <w:p w14:paraId="003218C5" w14:textId="49B1D149" w:rsidR="00747955" w:rsidRDefault="00747955" w:rsidP="00F47F33">
      <w:pPr>
        <w:autoSpaceDE w:val="0"/>
        <w:autoSpaceDN w:val="0"/>
        <w:adjustRightInd w:val="0"/>
        <w:spacing w:after="0" w:line="360" w:lineRule="auto"/>
        <w:rPr>
          <w:rFonts w:ascii="Calibri" w:hAnsi="Calibri" w:cs="Arial"/>
          <w:color w:val="000000"/>
          <w:sz w:val="24"/>
          <w:szCs w:val="24"/>
        </w:rPr>
      </w:pPr>
      <w:r w:rsidRPr="00747955">
        <w:rPr>
          <w:rFonts w:ascii="Calibri" w:hAnsi="Calibri" w:cs="Arial"/>
          <w:color w:val="000000"/>
          <w:sz w:val="24"/>
          <w:szCs w:val="24"/>
        </w:rPr>
        <w:t>•</w:t>
      </w:r>
      <w:r>
        <w:rPr>
          <w:rFonts w:ascii="Calibri" w:hAnsi="Calibri" w:cs="Arial"/>
          <w:color w:val="000000"/>
          <w:sz w:val="24"/>
          <w:szCs w:val="24"/>
        </w:rPr>
        <w:t xml:space="preserve"> Zdravstvo i</w:t>
      </w:r>
      <w:r w:rsidRPr="00747955">
        <w:rPr>
          <w:rFonts w:ascii="Calibri" w:hAnsi="Calibri" w:cs="Arial"/>
          <w:color w:val="000000"/>
          <w:sz w:val="24"/>
          <w:szCs w:val="24"/>
        </w:rPr>
        <w:t xml:space="preserve"> socijaln</w:t>
      </w:r>
      <w:r w:rsidR="008348C1">
        <w:rPr>
          <w:rFonts w:ascii="Calibri" w:hAnsi="Calibri" w:cs="Arial"/>
          <w:color w:val="000000"/>
          <w:sz w:val="24"/>
          <w:szCs w:val="24"/>
        </w:rPr>
        <w:t>a</w:t>
      </w:r>
      <w:r w:rsidRPr="00747955">
        <w:rPr>
          <w:rFonts w:ascii="Calibri" w:hAnsi="Calibri" w:cs="Arial"/>
          <w:color w:val="000000"/>
          <w:sz w:val="24"/>
          <w:szCs w:val="24"/>
        </w:rPr>
        <w:t xml:space="preserve"> skrb </w:t>
      </w:r>
      <w:r w:rsidR="00553433">
        <w:rPr>
          <w:rFonts w:ascii="Calibri" w:hAnsi="Calibri" w:cs="Arial"/>
          <w:color w:val="000000"/>
          <w:sz w:val="24"/>
          <w:szCs w:val="24"/>
        </w:rPr>
        <w:t>18.120</w:t>
      </w:r>
      <w:r w:rsidRPr="00747955">
        <w:rPr>
          <w:rFonts w:ascii="Calibri" w:hAnsi="Calibri" w:cs="Arial"/>
          <w:color w:val="000000"/>
          <w:sz w:val="24"/>
          <w:szCs w:val="24"/>
        </w:rPr>
        <w:t>,00 EUR</w:t>
      </w:r>
    </w:p>
    <w:p w14:paraId="678FE084" w14:textId="5404E8A6" w:rsidR="00B92F5D" w:rsidRPr="00F47F33" w:rsidRDefault="00B92F5D" w:rsidP="00B92F5D">
      <w:pPr>
        <w:autoSpaceDE w:val="0"/>
        <w:autoSpaceDN w:val="0"/>
        <w:adjustRightInd w:val="0"/>
        <w:jc w:val="both"/>
        <w:rPr>
          <w:rFonts w:ascii="Calibri" w:hAnsi="Calibri" w:cs="Arial"/>
          <w:color w:val="000000"/>
          <w:sz w:val="24"/>
          <w:szCs w:val="24"/>
        </w:rPr>
      </w:pPr>
      <w:r w:rsidRPr="00E96D40">
        <w:rPr>
          <w:rFonts w:ascii="Calibri" w:hAnsi="Calibri" w:cs="Arial"/>
          <w:color w:val="000000"/>
        </w:rPr>
        <w:t xml:space="preserve">U okviru programa zdravstveno-socijalne djelatnosti planirani su rashodi </w:t>
      </w:r>
      <w:r>
        <w:rPr>
          <w:rFonts w:ascii="Calibri" w:hAnsi="Calibri" w:cs="Arial"/>
          <w:color w:val="000000"/>
        </w:rPr>
        <w:t xml:space="preserve">za: </w:t>
      </w:r>
      <w:r w:rsidRPr="00E96D40">
        <w:rPr>
          <w:rFonts w:ascii="Calibri" w:hAnsi="Calibri" w:cs="Arial"/>
          <w:color w:val="000000"/>
        </w:rPr>
        <w:t>gerontodomaćic</w:t>
      </w:r>
      <w:r>
        <w:rPr>
          <w:rFonts w:ascii="Calibri" w:hAnsi="Calibri" w:cs="Arial"/>
          <w:color w:val="000000"/>
        </w:rPr>
        <w:t>u</w:t>
      </w:r>
      <w:r w:rsidRPr="00E96D40">
        <w:rPr>
          <w:rFonts w:ascii="Calibri" w:hAnsi="Calibri" w:cs="Arial"/>
          <w:color w:val="000000"/>
        </w:rPr>
        <w:t xml:space="preserve">, pomoć za </w:t>
      </w:r>
      <w:r>
        <w:rPr>
          <w:rFonts w:ascii="Calibri" w:hAnsi="Calibri" w:cs="Arial"/>
          <w:color w:val="000000"/>
        </w:rPr>
        <w:t>socijalno ugrožena kućanstva</w:t>
      </w:r>
      <w:r w:rsidRPr="00E96D40">
        <w:rPr>
          <w:rFonts w:ascii="Calibri" w:hAnsi="Calibri" w:cs="Arial"/>
          <w:color w:val="000000"/>
        </w:rPr>
        <w:t>, pomoć za novorođeno dijete, crveni križ</w:t>
      </w:r>
      <w:r>
        <w:rPr>
          <w:rFonts w:ascii="Calibri" w:hAnsi="Calibri" w:cs="Arial"/>
          <w:color w:val="000000"/>
        </w:rPr>
        <w:t>, sufinanciranje Ljekarne Križevci, socijalne udruge.</w:t>
      </w:r>
    </w:p>
    <w:p w14:paraId="26F0E415" w14:textId="2B21EFD1" w:rsidR="00F47F33" w:rsidRDefault="00F47F33" w:rsidP="00F47F33">
      <w:pPr>
        <w:autoSpaceDE w:val="0"/>
        <w:autoSpaceDN w:val="0"/>
        <w:adjustRightInd w:val="0"/>
        <w:spacing w:after="0" w:line="360" w:lineRule="auto"/>
        <w:rPr>
          <w:rFonts w:ascii="Calibri" w:hAnsi="Calibri" w:cs="Arial"/>
          <w:color w:val="000000"/>
          <w:sz w:val="24"/>
          <w:szCs w:val="24"/>
        </w:rPr>
      </w:pPr>
      <w:r w:rsidRPr="00F47F33">
        <w:rPr>
          <w:rFonts w:ascii="Calibri" w:hAnsi="Calibri" w:cs="Arial"/>
          <w:color w:val="000000"/>
          <w:sz w:val="24"/>
          <w:szCs w:val="24"/>
        </w:rPr>
        <w:t xml:space="preserve">• Javne potrebe u protupožarnoj i civilnoj zaštiti </w:t>
      </w:r>
      <w:r w:rsidR="00553433">
        <w:rPr>
          <w:rFonts w:ascii="Calibri" w:hAnsi="Calibri" w:cs="Arial"/>
          <w:color w:val="000000"/>
          <w:sz w:val="24"/>
          <w:szCs w:val="24"/>
        </w:rPr>
        <w:t>35.23</w:t>
      </w:r>
      <w:r w:rsidR="008348C1">
        <w:rPr>
          <w:rFonts w:ascii="Calibri" w:hAnsi="Calibri" w:cs="Arial"/>
          <w:color w:val="000000"/>
          <w:sz w:val="24"/>
          <w:szCs w:val="24"/>
        </w:rPr>
        <w:t>0,00</w:t>
      </w:r>
      <w:r w:rsidRPr="00F47F33">
        <w:rPr>
          <w:rFonts w:ascii="Calibri" w:hAnsi="Calibri" w:cs="Arial"/>
          <w:color w:val="000000"/>
          <w:sz w:val="24"/>
          <w:szCs w:val="24"/>
        </w:rPr>
        <w:t xml:space="preserve"> EUR</w:t>
      </w:r>
    </w:p>
    <w:p w14:paraId="0510D5D3" w14:textId="6C2CCC12" w:rsidR="002C7727" w:rsidRPr="00F47F33" w:rsidRDefault="002C7727" w:rsidP="002C7727">
      <w:pPr>
        <w:autoSpaceDE w:val="0"/>
        <w:autoSpaceDN w:val="0"/>
        <w:adjustRightInd w:val="0"/>
        <w:spacing w:after="0" w:line="360" w:lineRule="auto"/>
        <w:rPr>
          <w:rFonts w:ascii="Calibri" w:hAnsi="Calibri" w:cs="Arial"/>
          <w:color w:val="000000"/>
          <w:sz w:val="24"/>
          <w:szCs w:val="24"/>
        </w:rPr>
      </w:pPr>
      <w:r w:rsidRPr="00F47F33">
        <w:rPr>
          <w:rFonts w:ascii="Calibri" w:hAnsi="Calibri" w:cs="Arial"/>
          <w:color w:val="000000"/>
          <w:sz w:val="24"/>
          <w:szCs w:val="24"/>
        </w:rPr>
        <w:t>• Javne potrebe za obavljanje djelatnosti HGSS 2.000,00 EUR</w:t>
      </w:r>
      <w:r w:rsidRPr="00F47F33">
        <w:rPr>
          <w:rFonts w:ascii="Calibri" w:hAnsi="Calibri" w:cs="Arial"/>
          <w:color w:val="000000"/>
          <w:sz w:val="24"/>
          <w:szCs w:val="24"/>
        </w:rPr>
        <w:tab/>
      </w:r>
    </w:p>
    <w:p w14:paraId="5F6F0742" w14:textId="5ADE2E53" w:rsidR="002C7727" w:rsidRPr="00E96D40" w:rsidRDefault="002C7727" w:rsidP="002C7727">
      <w:pPr>
        <w:autoSpaceDE w:val="0"/>
        <w:autoSpaceDN w:val="0"/>
        <w:adjustRightInd w:val="0"/>
        <w:jc w:val="both"/>
        <w:rPr>
          <w:rFonts w:ascii="Calibri" w:hAnsi="Calibri" w:cs="Arial"/>
          <w:color w:val="000000"/>
        </w:rPr>
      </w:pPr>
      <w:r w:rsidRPr="00E96D40">
        <w:rPr>
          <w:rFonts w:ascii="Calibri" w:hAnsi="Calibri" w:cs="Arial"/>
          <w:color w:val="000000"/>
        </w:rPr>
        <w:t xml:space="preserve"> Za potrebe Vatrogasne zajednice Općine Gornja Rijeka, civilne zaštite i Hrvatske gorske službe spašavanja  planirana su sredst</w:t>
      </w:r>
      <w:r>
        <w:rPr>
          <w:rFonts w:ascii="Calibri" w:hAnsi="Calibri" w:cs="Arial"/>
          <w:color w:val="000000"/>
        </w:rPr>
        <w:t>va temeljem zakonskih smjernica</w:t>
      </w:r>
      <w:r w:rsidR="00B33E12">
        <w:rPr>
          <w:rFonts w:ascii="Calibri" w:hAnsi="Calibri" w:cs="Arial"/>
          <w:color w:val="000000"/>
        </w:rPr>
        <w:t>.</w:t>
      </w:r>
    </w:p>
    <w:p w14:paraId="4D13B844" w14:textId="11B19BE1" w:rsidR="00C1554F" w:rsidRDefault="00C1554F" w:rsidP="00C1554F">
      <w:pPr>
        <w:autoSpaceDE w:val="0"/>
        <w:autoSpaceDN w:val="0"/>
        <w:adjustRightInd w:val="0"/>
        <w:spacing w:after="0" w:line="360" w:lineRule="auto"/>
        <w:rPr>
          <w:rFonts w:ascii="Calibri" w:hAnsi="Calibri" w:cs="Arial"/>
          <w:color w:val="000000"/>
          <w:sz w:val="24"/>
          <w:szCs w:val="24"/>
        </w:rPr>
      </w:pPr>
      <w:r w:rsidRPr="00C1554F">
        <w:rPr>
          <w:rFonts w:ascii="Calibri" w:hAnsi="Calibri" w:cs="Arial"/>
          <w:color w:val="000000"/>
          <w:sz w:val="24"/>
          <w:szCs w:val="24"/>
        </w:rPr>
        <w:t xml:space="preserve">• Održavanja komunalne infrastrukture </w:t>
      </w:r>
      <w:r w:rsidR="00964A31">
        <w:rPr>
          <w:rFonts w:ascii="Calibri" w:hAnsi="Calibri" w:cs="Arial"/>
          <w:color w:val="000000"/>
          <w:sz w:val="24"/>
          <w:szCs w:val="24"/>
        </w:rPr>
        <w:t>169.500,00</w:t>
      </w:r>
      <w:r w:rsidRPr="00C1554F">
        <w:rPr>
          <w:rFonts w:ascii="Calibri" w:hAnsi="Calibri" w:cs="Arial"/>
          <w:color w:val="000000"/>
          <w:sz w:val="24"/>
          <w:szCs w:val="24"/>
        </w:rPr>
        <w:t xml:space="preserve"> EUR</w:t>
      </w:r>
    </w:p>
    <w:p w14:paraId="4A803F29" w14:textId="69E044E2" w:rsidR="00B33E12" w:rsidRPr="00E96D40" w:rsidRDefault="00B33E12" w:rsidP="00B33E12">
      <w:pPr>
        <w:autoSpaceDE w:val="0"/>
        <w:autoSpaceDN w:val="0"/>
        <w:adjustRightInd w:val="0"/>
        <w:jc w:val="both"/>
        <w:rPr>
          <w:rFonts w:ascii="Calibri" w:hAnsi="Calibri" w:cs="Arial"/>
          <w:color w:val="000000"/>
        </w:rPr>
      </w:pPr>
      <w:r w:rsidRPr="00E96D40">
        <w:rPr>
          <w:rFonts w:ascii="Calibri" w:hAnsi="Calibri" w:cs="Arial"/>
          <w:color w:val="000000"/>
        </w:rPr>
        <w:t xml:space="preserve">U okviru programa održavanja komunalne infrastrukture planirana su </w:t>
      </w:r>
      <w:r>
        <w:rPr>
          <w:rFonts w:ascii="Calibri" w:hAnsi="Calibri" w:cs="Arial"/>
          <w:color w:val="000000"/>
        </w:rPr>
        <w:t>održavanja: nerazvrstanih</w:t>
      </w:r>
      <w:r w:rsidRPr="00E96D40">
        <w:rPr>
          <w:rFonts w:ascii="Calibri" w:hAnsi="Calibri" w:cs="Arial"/>
          <w:color w:val="000000"/>
        </w:rPr>
        <w:t xml:space="preserve"> cesta</w:t>
      </w:r>
      <w:r>
        <w:rPr>
          <w:rFonts w:ascii="Calibri" w:hAnsi="Calibri" w:cs="Arial"/>
          <w:color w:val="000000"/>
        </w:rPr>
        <w:t>,</w:t>
      </w:r>
      <w:r w:rsidRPr="00E96D40">
        <w:rPr>
          <w:rFonts w:ascii="Calibri" w:hAnsi="Calibri" w:cs="Arial"/>
          <w:color w:val="000000"/>
        </w:rPr>
        <w:t xml:space="preserve"> javnih </w:t>
      </w:r>
      <w:r>
        <w:rPr>
          <w:rFonts w:ascii="Calibri" w:hAnsi="Calibri" w:cs="Arial"/>
          <w:color w:val="000000"/>
        </w:rPr>
        <w:t xml:space="preserve">zelenih </w:t>
      </w:r>
      <w:r w:rsidRPr="00E96D40">
        <w:rPr>
          <w:rFonts w:ascii="Calibri" w:hAnsi="Calibri" w:cs="Arial"/>
          <w:color w:val="000000"/>
        </w:rPr>
        <w:t>površina</w:t>
      </w:r>
      <w:r>
        <w:rPr>
          <w:rFonts w:ascii="Calibri" w:hAnsi="Calibri" w:cs="Arial"/>
          <w:color w:val="000000"/>
        </w:rPr>
        <w:t>,</w:t>
      </w:r>
      <w:r w:rsidRPr="00E96D40">
        <w:rPr>
          <w:rFonts w:ascii="Calibri" w:hAnsi="Calibri" w:cs="Arial"/>
          <w:color w:val="000000"/>
        </w:rPr>
        <w:t xml:space="preserve"> javne rasvjete</w:t>
      </w:r>
      <w:r>
        <w:rPr>
          <w:rFonts w:ascii="Calibri" w:hAnsi="Calibri" w:cs="Arial"/>
          <w:color w:val="000000"/>
        </w:rPr>
        <w:t>,</w:t>
      </w:r>
      <w:r w:rsidRPr="00E96D40">
        <w:rPr>
          <w:rFonts w:ascii="Calibri" w:hAnsi="Calibri" w:cs="Arial"/>
          <w:color w:val="000000"/>
        </w:rPr>
        <w:t xml:space="preserve"> groblja</w:t>
      </w:r>
      <w:r>
        <w:rPr>
          <w:rFonts w:ascii="Calibri" w:hAnsi="Calibri" w:cs="Arial"/>
          <w:color w:val="000000"/>
        </w:rPr>
        <w:t>, čistoće javnih površina, građevina i uređaja javne namjene te deratizacija i veterinarske usluge.</w:t>
      </w:r>
    </w:p>
    <w:p w14:paraId="56DED52D" w14:textId="6BEF1E05" w:rsidR="00C1554F" w:rsidRPr="00F47F33" w:rsidRDefault="00C1554F" w:rsidP="00C1554F">
      <w:pPr>
        <w:autoSpaceDE w:val="0"/>
        <w:autoSpaceDN w:val="0"/>
        <w:adjustRightInd w:val="0"/>
        <w:spacing w:after="0" w:line="360" w:lineRule="auto"/>
        <w:rPr>
          <w:rFonts w:ascii="Calibri" w:hAnsi="Calibri" w:cs="Arial"/>
          <w:color w:val="000000"/>
          <w:sz w:val="24"/>
          <w:szCs w:val="24"/>
        </w:rPr>
      </w:pPr>
      <w:r w:rsidRPr="00C1554F">
        <w:rPr>
          <w:rFonts w:ascii="Calibri" w:hAnsi="Calibri" w:cs="Arial"/>
          <w:color w:val="000000"/>
          <w:sz w:val="24"/>
          <w:szCs w:val="24"/>
        </w:rPr>
        <w:t xml:space="preserve">• Gradnja objekata i uređaja javne namjene </w:t>
      </w:r>
      <w:r w:rsidR="00771E33">
        <w:rPr>
          <w:rFonts w:ascii="Calibri" w:hAnsi="Calibri" w:cs="Arial"/>
          <w:color w:val="000000"/>
          <w:sz w:val="24"/>
          <w:szCs w:val="24"/>
        </w:rPr>
        <w:t>653.900,00</w:t>
      </w:r>
      <w:r w:rsidRPr="00C1554F">
        <w:rPr>
          <w:rFonts w:ascii="Calibri" w:hAnsi="Calibri" w:cs="Arial"/>
          <w:color w:val="000000"/>
          <w:sz w:val="24"/>
          <w:szCs w:val="24"/>
        </w:rPr>
        <w:t xml:space="preserve"> EUR</w:t>
      </w:r>
    </w:p>
    <w:p w14:paraId="5B15FDB4" w14:textId="7896E307" w:rsidR="00B324C2" w:rsidRPr="00986503" w:rsidRDefault="00B324C2" w:rsidP="00B324C2">
      <w:pPr>
        <w:autoSpaceDE w:val="0"/>
        <w:autoSpaceDN w:val="0"/>
        <w:adjustRightInd w:val="0"/>
        <w:jc w:val="both"/>
        <w:rPr>
          <w:rFonts w:ascii="Calibri" w:hAnsi="Calibri" w:cs="Arial"/>
          <w:color w:val="000000"/>
        </w:rPr>
      </w:pPr>
      <w:r w:rsidRPr="00E96D40">
        <w:rPr>
          <w:rFonts w:ascii="Calibri" w:hAnsi="Calibri" w:cs="Arial"/>
          <w:color w:val="000000"/>
        </w:rPr>
        <w:t>Za provedbu programa gradnje objekata i uređaja komunalne infrastrukture planirana su</w:t>
      </w:r>
      <w:r>
        <w:rPr>
          <w:rFonts w:ascii="Calibri" w:hAnsi="Calibri" w:cs="Arial"/>
          <w:color w:val="000000"/>
        </w:rPr>
        <w:t xml:space="preserve"> sredstva </w:t>
      </w:r>
      <w:r w:rsidR="00ED7399">
        <w:rPr>
          <w:rFonts w:ascii="Calibri" w:hAnsi="Calibri" w:cs="Arial"/>
          <w:color w:val="000000"/>
        </w:rPr>
        <w:t xml:space="preserve">za: modernizaciju nerazvrstanih cesta, </w:t>
      </w:r>
      <w:r>
        <w:rPr>
          <w:rFonts w:ascii="Calibri" w:hAnsi="Calibri" w:cs="Arial"/>
          <w:color w:val="000000"/>
        </w:rPr>
        <w:t>evidentiranje komunalne infrastrukture</w:t>
      </w:r>
      <w:r w:rsidR="00ED7399">
        <w:rPr>
          <w:rFonts w:ascii="Calibri" w:hAnsi="Calibri" w:cs="Arial"/>
          <w:color w:val="000000"/>
        </w:rPr>
        <w:t xml:space="preserve">, </w:t>
      </w:r>
      <w:r>
        <w:rPr>
          <w:rFonts w:ascii="Calibri" w:hAnsi="Calibri" w:cs="Arial"/>
          <w:color w:val="000000"/>
        </w:rPr>
        <w:t>uređenje javnih zelenih površina</w:t>
      </w:r>
      <w:r w:rsidR="00ED7399">
        <w:rPr>
          <w:rFonts w:ascii="Calibri" w:hAnsi="Calibri" w:cs="Arial"/>
          <w:color w:val="000000"/>
        </w:rPr>
        <w:t xml:space="preserve"> i </w:t>
      </w:r>
      <w:r w:rsidR="00771E33">
        <w:rPr>
          <w:rFonts w:ascii="Calibri" w:hAnsi="Calibri" w:cs="Arial"/>
          <w:color w:val="000000"/>
        </w:rPr>
        <w:t>uređenje građevina javne namjene</w:t>
      </w:r>
      <w:r w:rsidR="00ED7399">
        <w:rPr>
          <w:rFonts w:ascii="Calibri" w:hAnsi="Calibri" w:cs="Arial"/>
          <w:color w:val="000000"/>
        </w:rPr>
        <w:t>.</w:t>
      </w:r>
    </w:p>
    <w:p w14:paraId="75B2D9F9" w14:textId="77777777" w:rsidR="00B324C2" w:rsidRPr="00E96D40" w:rsidRDefault="00B324C2" w:rsidP="00B324C2">
      <w:pPr>
        <w:ind w:left="708"/>
        <w:jc w:val="both"/>
        <w:rPr>
          <w:rFonts w:ascii="Calibri" w:hAnsi="Calibri"/>
        </w:rPr>
      </w:pPr>
    </w:p>
    <w:p w14:paraId="696121C3" w14:textId="77777777" w:rsidR="00B324C2" w:rsidRPr="00E96D40" w:rsidRDefault="00B324C2" w:rsidP="00607540">
      <w:pPr>
        <w:spacing w:after="0" w:line="240" w:lineRule="auto"/>
        <w:jc w:val="both"/>
        <w:rPr>
          <w:rFonts w:ascii="Calibri" w:hAnsi="Calibri"/>
          <w:b/>
        </w:rPr>
      </w:pPr>
      <w:r w:rsidRPr="00E96D40">
        <w:rPr>
          <w:rFonts w:ascii="Calibri" w:hAnsi="Calibri"/>
          <w:b/>
        </w:rPr>
        <w:t>VAŽNI KONTAKTI I KORISNE INFORMACIJE</w:t>
      </w:r>
    </w:p>
    <w:p w14:paraId="21F8572E" w14:textId="77777777" w:rsidR="0079588A" w:rsidRPr="0079588A" w:rsidRDefault="0079588A" w:rsidP="00B324C2">
      <w:pPr>
        <w:jc w:val="both"/>
        <w:rPr>
          <w:rFonts w:ascii="Calibri" w:hAnsi="Calibri"/>
          <w:sz w:val="10"/>
          <w:szCs w:val="10"/>
        </w:rPr>
      </w:pPr>
    </w:p>
    <w:p w14:paraId="4BB5411F" w14:textId="12715C8D" w:rsidR="00B324C2" w:rsidRPr="00E96D40" w:rsidRDefault="00B324C2" w:rsidP="00B324C2">
      <w:pPr>
        <w:jc w:val="both"/>
        <w:rPr>
          <w:rFonts w:ascii="Calibri" w:hAnsi="Calibri"/>
        </w:rPr>
      </w:pPr>
      <w:r w:rsidRPr="00E96D40">
        <w:rPr>
          <w:rFonts w:ascii="Calibri" w:hAnsi="Calibri"/>
        </w:rPr>
        <w:t>Općinski načelnik: Darko Fištrović</w:t>
      </w:r>
    </w:p>
    <w:p w14:paraId="03901F40" w14:textId="77777777" w:rsidR="00B324C2" w:rsidRDefault="00B324C2" w:rsidP="00B324C2">
      <w:pPr>
        <w:jc w:val="both"/>
        <w:rPr>
          <w:rFonts w:ascii="Calibri" w:hAnsi="Calibri" w:cs="Arial"/>
          <w:i/>
        </w:rPr>
      </w:pPr>
      <w:r w:rsidRPr="00E979DA">
        <w:rPr>
          <w:rFonts w:ascii="Calibri" w:hAnsi="Calibri" w:cs="Arial"/>
          <w:i/>
        </w:rPr>
        <w:t>Telefon: 048/ 855-021</w:t>
      </w:r>
    </w:p>
    <w:p w14:paraId="4B0B9DAF" w14:textId="4CAD27BF" w:rsidR="00B324C2" w:rsidRDefault="00B324C2" w:rsidP="00B324C2">
      <w:pPr>
        <w:jc w:val="both"/>
        <w:rPr>
          <w:rFonts w:ascii="Calibri" w:hAnsi="Calibri" w:cs="Arial"/>
          <w:i/>
        </w:rPr>
      </w:pPr>
      <w:r>
        <w:rPr>
          <w:rFonts w:ascii="Calibri" w:hAnsi="Calibri" w:cs="Arial"/>
          <w:i/>
        </w:rPr>
        <w:t>e-mail:</w:t>
      </w:r>
      <w:r w:rsidR="00771E33">
        <w:rPr>
          <w:rFonts w:ascii="Calibri" w:hAnsi="Calibri" w:cs="Arial"/>
          <w:i/>
        </w:rPr>
        <w:t xml:space="preserve"> opcina@gornja-rijeka.hr</w:t>
      </w:r>
    </w:p>
    <w:p w14:paraId="17AD2EB3" w14:textId="77777777" w:rsidR="00B324C2" w:rsidRPr="00E979DA" w:rsidRDefault="00B324C2" w:rsidP="00B324C2">
      <w:pPr>
        <w:jc w:val="both"/>
        <w:rPr>
          <w:rFonts w:ascii="Calibri" w:hAnsi="Calibri" w:cs="Arial"/>
          <w:i/>
        </w:rPr>
      </w:pPr>
      <w:r>
        <w:rPr>
          <w:rFonts w:ascii="Calibri" w:hAnsi="Calibri" w:cs="Arial"/>
          <w:i/>
        </w:rPr>
        <w:t>www.gornja-rijeka.hr</w:t>
      </w:r>
    </w:p>
    <w:p w14:paraId="1AED0B6D" w14:textId="72BAED54" w:rsidR="00B324C2" w:rsidRDefault="00B324C2" w:rsidP="00B324C2">
      <w:pPr>
        <w:jc w:val="both"/>
        <w:rPr>
          <w:rFonts w:ascii="Calibri" w:hAnsi="Calibri" w:cs="Arial"/>
          <w:i/>
        </w:rPr>
      </w:pPr>
      <w:r w:rsidRPr="00E96D40">
        <w:rPr>
          <w:rFonts w:ascii="Calibri" w:hAnsi="Calibri" w:cs="Arial"/>
          <w:i/>
        </w:rPr>
        <w:t xml:space="preserve">Radno vrijeme: </w:t>
      </w:r>
      <w:bookmarkStart w:id="8" w:name="_Hlk184371792"/>
      <w:r w:rsidRPr="00E96D40">
        <w:rPr>
          <w:rFonts w:ascii="Calibri" w:hAnsi="Calibri" w:cs="Arial"/>
          <w:i/>
        </w:rPr>
        <w:t>od ponedjeljka do petka od 07:00 do 15:00</w:t>
      </w:r>
    </w:p>
    <w:bookmarkEnd w:id="8"/>
    <w:p w14:paraId="1B0B4467" w14:textId="4894979E" w:rsidR="007B042F" w:rsidRDefault="00314875" w:rsidP="0079588A">
      <w:pPr>
        <w:jc w:val="both"/>
        <w:rPr>
          <w:rFonts w:cstheme="minorHAnsi"/>
          <w:b/>
          <w:bCs/>
          <w:i/>
          <w:color w:val="8496B0" w:themeColor="text2" w:themeTint="99"/>
          <w:sz w:val="24"/>
          <w:szCs w:val="24"/>
        </w:rPr>
      </w:pPr>
      <w:r>
        <w:rPr>
          <w:rFonts w:ascii="Calibri" w:hAnsi="Calibri" w:cs="Arial"/>
          <w:i/>
        </w:rPr>
        <w:t xml:space="preserve">Rad sa strankama: </w:t>
      </w:r>
      <w:r w:rsidRPr="00E96D40">
        <w:rPr>
          <w:rFonts w:ascii="Calibri" w:hAnsi="Calibri" w:cs="Arial"/>
          <w:i/>
        </w:rPr>
        <w:t>od ponedjeljka do petka od 0</w:t>
      </w:r>
      <w:r>
        <w:rPr>
          <w:rFonts w:ascii="Calibri" w:hAnsi="Calibri" w:cs="Arial"/>
          <w:i/>
        </w:rPr>
        <w:t>8</w:t>
      </w:r>
      <w:r w:rsidRPr="00E96D40">
        <w:rPr>
          <w:rFonts w:ascii="Calibri" w:hAnsi="Calibri" w:cs="Arial"/>
          <w:i/>
        </w:rPr>
        <w:t>:00 do 1</w:t>
      </w:r>
      <w:r>
        <w:rPr>
          <w:rFonts w:ascii="Calibri" w:hAnsi="Calibri" w:cs="Arial"/>
          <w:i/>
        </w:rPr>
        <w:t>3</w:t>
      </w:r>
      <w:r w:rsidRPr="00E96D40">
        <w:rPr>
          <w:rFonts w:ascii="Calibri" w:hAnsi="Calibri" w:cs="Arial"/>
          <w:i/>
        </w:rPr>
        <w:t>:00</w:t>
      </w:r>
    </w:p>
    <w:sectPr w:rsidR="007B042F" w:rsidSect="00A818AC">
      <w:pgSz w:w="11906" w:h="16838"/>
      <w:pgMar w:top="1417" w:right="1417" w:bottom="1417" w:left="993" w:header="708" w:footer="708"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C631A" w14:textId="77777777" w:rsidR="007E7CC0" w:rsidRDefault="007E7CC0" w:rsidP="009E4BEF">
      <w:pPr>
        <w:spacing w:after="0" w:line="240" w:lineRule="auto"/>
      </w:pPr>
      <w:r>
        <w:separator/>
      </w:r>
    </w:p>
  </w:endnote>
  <w:endnote w:type="continuationSeparator" w:id="0">
    <w:p w14:paraId="16C4BE42" w14:textId="77777777" w:rsidR="007E7CC0" w:rsidRDefault="007E7CC0" w:rsidP="009E4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0C547" w14:textId="77777777" w:rsidR="007E7CC0" w:rsidRDefault="007E7CC0" w:rsidP="009E4BEF">
      <w:pPr>
        <w:spacing w:after="0" w:line="240" w:lineRule="auto"/>
      </w:pPr>
      <w:r>
        <w:separator/>
      </w:r>
    </w:p>
  </w:footnote>
  <w:footnote w:type="continuationSeparator" w:id="0">
    <w:p w14:paraId="7F49CE13" w14:textId="77777777" w:rsidR="007E7CC0" w:rsidRDefault="007E7CC0" w:rsidP="009E4B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3AE5"/>
    <w:multiLevelType w:val="hybridMultilevel"/>
    <w:tmpl w:val="D430D670"/>
    <w:lvl w:ilvl="0" w:tplc="8A988CD8">
      <w:start w:val="23"/>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407FF9"/>
    <w:multiLevelType w:val="hybridMultilevel"/>
    <w:tmpl w:val="4934CD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0155FE"/>
    <w:multiLevelType w:val="hybridMultilevel"/>
    <w:tmpl w:val="6F569E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2D511B"/>
    <w:multiLevelType w:val="hybridMultilevel"/>
    <w:tmpl w:val="BD504A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B5C77F9"/>
    <w:multiLevelType w:val="hybridMultilevel"/>
    <w:tmpl w:val="9BE657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C9201CB"/>
    <w:multiLevelType w:val="hybridMultilevel"/>
    <w:tmpl w:val="2048ADB6"/>
    <w:lvl w:ilvl="0" w:tplc="041A000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D7F6D3F"/>
    <w:multiLevelType w:val="hybridMultilevel"/>
    <w:tmpl w:val="0BDE97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0792951"/>
    <w:multiLevelType w:val="hybridMultilevel"/>
    <w:tmpl w:val="458EAD0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3F1288F"/>
    <w:multiLevelType w:val="hybridMultilevel"/>
    <w:tmpl w:val="576644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7E26CFC"/>
    <w:multiLevelType w:val="hybridMultilevel"/>
    <w:tmpl w:val="AE5800C4"/>
    <w:lvl w:ilvl="0" w:tplc="AD3ED79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14D3661"/>
    <w:multiLevelType w:val="hybridMultilevel"/>
    <w:tmpl w:val="D50E0910"/>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1637CC6"/>
    <w:multiLevelType w:val="hybridMultilevel"/>
    <w:tmpl w:val="0CA2F30C"/>
    <w:lvl w:ilvl="0" w:tplc="041A000F">
      <w:start w:val="1"/>
      <w:numFmt w:val="decimal"/>
      <w:lvlText w:val="%1."/>
      <w:lvlJc w:val="left"/>
      <w:pPr>
        <w:ind w:left="720" w:hanging="360"/>
      </w:pPr>
      <w:rPr>
        <w:rFonts w:hint="default"/>
      </w:rPr>
    </w:lvl>
    <w:lvl w:ilvl="1" w:tplc="C63C7A3C">
      <w:start w:val="1"/>
      <w:numFmt w:val="decimal"/>
      <w:lvlText w:val="(%2)"/>
      <w:lvlJc w:val="left"/>
      <w:pPr>
        <w:ind w:left="1470" w:hanging="39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48653B5"/>
    <w:multiLevelType w:val="hybridMultilevel"/>
    <w:tmpl w:val="D3A27A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4BA3BCD"/>
    <w:multiLevelType w:val="hybridMultilevel"/>
    <w:tmpl w:val="08AACE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7E64AD2"/>
    <w:multiLevelType w:val="hybridMultilevel"/>
    <w:tmpl w:val="747071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8D36B54"/>
    <w:multiLevelType w:val="hybridMultilevel"/>
    <w:tmpl w:val="E3D88CA2"/>
    <w:lvl w:ilvl="0" w:tplc="A41680E8">
      <w:start w:val="1"/>
      <w:numFmt w:val="decimal"/>
      <w:lvlText w:val="%1."/>
      <w:lvlJc w:val="left"/>
      <w:pPr>
        <w:ind w:left="76" w:hanging="360"/>
      </w:pPr>
      <w:rPr>
        <w:rFonts w:hint="default"/>
        <w:b w:val="0"/>
      </w:rPr>
    </w:lvl>
    <w:lvl w:ilvl="1" w:tplc="041A0019" w:tentative="1">
      <w:start w:val="1"/>
      <w:numFmt w:val="lowerLetter"/>
      <w:lvlText w:val="%2."/>
      <w:lvlJc w:val="left"/>
      <w:pPr>
        <w:ind w:left="796" w:hanging="360"/>
      </w:pPr>
    </w:lvl>
    <w:lvl w:ilvl="2" w:tplc="041A001B" w:tentative="1">
      <w:start w:val="1"/>
      <w:numFmt w:val="lowerRoman"/>
      <w:lvlText w:val="%3."/>
      <w:lvlJc w:val="right"/>
      <w:pPr>
        <w:ind w:left="1516" w:hanging="180"/>
      </w:pPr>
    </w:lvl>
    <w:lvl w:ilvl="3" w:tplc="041A000F" w:tentative="1">
      <w:start w:val="1"/>
      <w:numFmt w:val="decimal"/>
      <w:lvlText w:val="%4."/>
      <w:lvlJc w:val="left"/>
      <w:pPr>
        <w:ind w:left="2236" w:hanging="360"/>
      </w:pPr>
    </w:lvl>
    <w:lvl w:ilvl="4" w:tplc="041A0019" w:tentative="1">
      <w:start w:val="1"/>
      <w:numFmt w:val="lowerLetter"/>
      <w:lvlText w:val="%5."/>
      <w:lvlJc w:val="left"/>
      <w:pPr>
        <w:ind w:left="2956" w:hanging="360"/>
      </w:pPr>
    </w:lvl>
    <w:lvl w:ilvl="5" w:tplc="041A001B" w:tentative="1">
      <w:start w:val="1"/>
      <w:numFmt w:val="lowerRoman"/>
      <w:lvlText w:val="%6."/>
      <w:lvlJc w:val="right"/>
      <w:pPr>
        <w:ind w:left="3676" w:hanging="180"/>
      </w:pPr>
    </w:lvl>
    <w:lvl w:ilvl="6" w:tplc="041A000F" w:tentative="1">
      <w:start w:val="1"/>
      <w:numFmt w:val="decimal"/>
      <w:lvlText w:val="%7."/>
      <w:lvlJc w:val="left"/>
      <w:pPr>
        <w:ind w:left="4396" w:hanging="360"/>
      </w:pPr>
    </w:lvl>
    <w:lvl w:ilvl="7" w:tplc="041A0019" w:tentative="1">
      <w:start w:val="1"/>
      <w:numFmt w:val="lowerLetter"/>
      <w:lvlText w:val="%8."/>
      <w:lvlJc w:val="left"/>
      <w:pPr>
        <w:ind w:left="5116" w:hanging="360"/>
      </w:pPr>
    </w:lvl>
    <w:lvl w:ilvl="8" w:tplc="041A001B" w:tentative="1">
      <w:start w:val="1"/>
      <w:numFmt w:val="lowerRoman"/>
      <w:lvlText w:val="%9."/>
      <w:lvlJc w:val="right"/>
      <w:pPr>
        <w:ind w:left="5836" w:hanging="180"/>
      </w:pPr>
    </w:lvl>
  </w:abstractNum>
  <w:abstractNum w:abstractNumId="16" w15:restartNumberingAfterBreak="0">
    <w:nsid w:val="2E995A8F"/>
    <w:multiLevelType w:val="hybridMultilevel"/>
    <w:tmpl w:val="89BA06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F1B6B52"/>
    <w:multiLevelType w:val="hybridMultilevel"/>
    <w:tmpl w:val="12B037A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4BA0A48"/>
    <w:multiLevelType w:val="hybridMultilevel"/>
    <w:tmpl w:val="5AC0F9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77C5F6C"/>
    <w:multiLevelType w:val="hybridMultilevel"/>
    <w:tmpl w:val="3668B9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EDB0F4A"/>
    <w:multiLevelType w:val="hybridMultilevel"/>
    <w:tmpl w:val="A6FA54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2CF4DDE"/>
    <w:multiLevelType w:val="hybridMultilevel"/>
    <w:tmpl w:val="AB542268"/>
    <w:lvl w:ilvl="0" w:tplc="BB9CD96C">
      <w:start w:val="1"/>
      <w:numFmt w:val="bullet"/>
      <w:lvlText w:val=""/>
      <w:lvlJc w:val="left"/>
      <w:pPr>
        <w:ind w:left="1080" w:hanging="360"/>
      </w:pPr>
      <w:rPr>
        <w:rFonts w:ascii="Symbol" w:eastAsiaTheme="minorHAnsi" w:hAnsi="Symbol"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15:restartNumberingAfterBreak="0">
    <w:nsid w:val="469D305A"/>
    <w:multiLevelType w:val="hybridMultilevel"/>
    <w:tmpl w:val="CB88A2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7B24782"/>
    <w:multiLevelType w:val="hybridMultilevel"/>
    <w:tmpl w:val="3224DA5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DCD6480"/>
    <w:multiLevelType w:val="hybridMultilevel"/>
    <w:tmpl w:val="502AC322"/>
    <w:lvl w:ilvl="0" w:tplc="0EC869EE">
      <w:start w:val="3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E9327F4"/>
    <w:multiLevelType w:val="hybridMultilevel"/>
    <w:tmpl w:val="1D0499C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FC02EAC"/>
    <w:multiLevelType w:val="hybridMultilevel"/>
    <w:tmpl w:val="293C3430"/>
    <w:lvl w:ilvl="0" w:tplc="8B327F18">
      <w:numFmt w:val="bullet"/>
      <w:lvlText w:val="-"/>
      <w:lvlJc w:val="left"/>
      <w:pPr>
        <w:ind w:left="644" w:hanging="360"/>
      </w:pPr>
      <w:rPr>
        <w:rFonts w:ascii="Cambria" w:eastAsia="Times New Roman" w:hAnsi="Cambria" w:cs="Times New Roman"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7" w15:restartNumberingAfterBreak="0">
    <w:nsid w:val="56216DF6"/>
    <w:multiLevelType w:val="hybridMultilevel"/>
    <w:tmpl w:val="9A6C9E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65B20CD"/>
    <w:multiLevelType w:val="hybridMultilevel"/>
    <w:tmpl w:val="460498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86141AD"/>
    <w:multiLevelType w:val="hybridMultilevel"/>
    <w:tmpl w:val="75B636AA"/>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1001560"/>
    <w:multiLevelType w:val="hybridMultilevel"/>
    <w:tmpl w:val="5D46CC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132142D"/>
    <w:multiLevelType w:val="hybridMultilevel"/>
    <w:tmpl w:val="F9C243F0"/>
    <w:lvl w:ilvl="0" w:tplc="B6BC01B4">
      <w:start w:val="1"/>
      <w:numFmt w:val="decimal"/>
      <w:lvlText w:val="%1."/>
      <w:lvlJc w:val="left"/>
      <w:pPr>
        <w:ind w:left="720" w:hanging="360"/>
      </w:pPr>
      <w:rPr>
        <w:rFonts w:hint="default"/>
        <w:color w:val="4472C4" w:themeColor="accen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15B3725"/>
    <w:multiLevelType w:val="hybridMultilevel"/>
    <w:tmpl w:val="9D680F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46D795D"/>
    <w:multiLevelType w:val="hybridMultilevel"/>
    <w:tmpl w:val="D612EE4C"/>
    <w:lvl w:ilvl="0" w:tplc="FF96C75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6593ECD"/>
    <w:multiLevelType w:val="hybridMultilevel"/>
    <w:tmpl w:val="1772EF08"/>
    <w:lvl w:ilvl="0" w:tplc="8A988CD8">
      <w:start w:val="23"/>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70D193F"/>
    <w:multiLevelType w:val="hybridMultilevel"/>
    <w:tmpl w:val="ECBEBB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F51549B"/>
    <w:multiLevelType w:val="hybridMultilevel"/>
    <w:tmpl w:val="0E3A29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FE322C8"/>
    <w:multiLevelType w:val="hybridMultilevel"/>
    <w:tmpl w:val="759432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18B202A"/>
    <w:multiLevelType w:val="hybridMultilevel"/>
    <w:tmpl w:val="60C6F942"/>
    <w:lvl w:ilvl="0" w:tplc="041A0001">
      <w:start w:val="1"/>
      <w:numFmt w:val="bullet"/>
      <w:lvlText w:val=""/>
      <w:lvlJc w:val="left"/>
      <w:pPr>
        <w:ind w:left="682" w:hanging="360"/>
      </w:pPr>
      <w:rPr>
        <w:rFonts w:ascii="Symbol" w:hAnsi="Symbol" w:hint="default"/>
      </w:rPr>
    </w:lvl>
    <w:lvl w:ilvl="1" w:tplc="041A0003" w:tentative="1">
      <w:start w:val="1"/>
      <w:numFmt w:val="bullet"/>
      <w:lvlText w:val="o"/>
      <w:lvlJc w:val="left"/>
      <w:pPr>
        <w:ind w:left="1402" w:hanging="360"/>
      </w:pPr>
      <w:rPr>
        <w:rFonts w:ascii="Courier New" w:hAnsi="Courier New" w:cs="Courier New" w:hint="default"/>
      </w:rPr>
    </w:lvl>
    <w:lvl w:ilvl="2" w:tplc="041A0005" w:tentative="1">
      <w:start w:val="1"/>
      <w:numFmt w:val="bullet"/>
      <w:lvlText w:val=""/>
      <w:lvlJc w:val="left"/>
      <w:pPr>
        <w:ind w:left="2122" w:hanging="360"/>
      </w:pPr>
      <w:rPr>
        <w:rFonts w:ascii="Wingdings" w:hAnsi="Wingdings" w:hint="default"/>
      </w:rPr>
    </w:lvl>
    <w:lvl w:ilvl="3" w:tplc="041A0001" w:tentative="1">
      <w:start w:val="1"/>
      <w:numFmt w:val="bullet"/>
      <w:lvlText w:val=""/>
      <w:lvlJc w:val="left"/>
      <w:pPr>
        <w:ind w:left="2842" w:hanging="360"/>
      </w:pPr>
      <w:rPr>
        <w:rFonts w:ascii="Symbol" w:hAnsi="Symbol" w:hint="default"/>
      </w:rPr>
    </w:lvl>
    <w:lvl w:ilvl="4" w:tplc="041A0003" w:tentative="1">
      <w:start w:val="1"/>
      <w:numFmt w:val="bullet"/>
      <w:lvlText w:val="o"/>
      <w:lvlJc w:val="left"/>
      <w:pPr>
        <w:ind w:left="3562" w:hanging="360"/>
      </w:pPr>
      <w:rPr>
        <w:rFonts w:ascii="Courier New" w:hAnsi="Courier New" w:cs="Courier New" w:hint="default"/>
      </w:rPr>
    </w:lvl>
    <w:lvl w:ilvl="5" w:tplc="041A0005" w:tentative="1">
      <w:start w:val="1"/>
      <w:numFmt w:val="bullet"/>
      <w:lvlText w:val=""/>
      <w:lvlJc w:val="left"/>
      <w:pPr>
        <w:ind w:left="4282" w:hanging="360"/>
      </w:pPr>
      <w:rPr>
        <w:rFonts w:ascii="Wingdings" w:hAnsi="Wingdings" w:hint="default"/>
      </w:rPr>
    </w:lvl>
    <w:lvl w:ilvl="6" w:tplc="041A0001" w:tentative="1">
      <w:start w:val="1"/>
      <w:numFmt w:val="bullet"/>
      <w:lvlText w:val=""/>
      <w:lvlJc w:val="left"/>
      <w:pPr>
        <w:ind w:left="5002" w:hanging="360"/>
      </w:pPr>
      <w:rPr>
        <w:rFonts w:ascii="Symbol" w:hAnsi="Symbol" w:hint="default"/>
      </w:rPr>
    </w:lvl>
    <w:lvl w:ilvl="7" w:tplc="041A0003" w:tentative="1">
      <w:start w:val="1"/>
      <w:numFmt w:val="bullet"/>
      <w:lvlText w:val="o"/>
      <w:lvlJc w:val="left"/>
      <w:pPr>
        <w:ind w:left="5722" w:hanging="360"/>
      </w:pPr>
      <w:rPr>
        <w:rFonts w:ascii="Courier New" w:hAnsi="Courier New" w:cs="Courier New" w:hint="default"/>
      </w:rPr>
    </w:lvl>
    <w:lvl w:ilvl="8" w:tplc="041A0005" w:tentative="1">
      <w:start w:val="1"/>
      <w:numFmt w:val="bullet"/>
      <w:lvlText w:val=""/>
      <w:lvlJc w:val="left"/>
      <w:pPr>
        <w:ind w:left="6442" w:hanging="360"/>
      </w:pPr>
      <w:rPr>
        <w:rFonts w:ascii="Wingdings" w:hAnsi="Wingdings" w:hint="default"/>
      </w:rPr>
    </w:lvl>
  </w:abstractNum>
  <w:abstractNum w:abstractNumId="39" w15:restartNumberingAfterBreak="0">
    <w:nsid w:val="724C233B"/>
    <w:multiLevelType w:val="hybridMultilevel"/>
    <w:tmpl w:val="FAA893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B5A796E"/>
    <w:multiLevelType w:val="hybridMultilevel"/>
    <w:tmpl w:val="25BE5D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E392DE4"/>
    <w:multiLevelType w:val="hybridMultilevel"/>
    <w:tmpl w:val="565EDF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FB33801"/>
    <w:multiLevelType w:val="hybridMultilevel"/>
    <w:tmpl w:val="AB042A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6"/>
  </w:num>
  <w:num w:numId="3">
    <w:abstractNumId w:val="10"/>
  </w:num>
  <w:num w:numId="4">
    <w:abstractNumId w:val="12"/>
  </w:num>
  <w:num w:numId="5">
    <w:abstractNumId w:val="27"/>
  </w:num>
  <w:num w:numId="6">
    <w:abstractNumId w:val="14"/>
  </w:num>
  <w:num w:numId="7">
    <w:abstractNumId w:val="20"/>
  </w:num>
  <w:num w:numId="8">
    <w:abstractNumId w:val="8"/>
  </w:num>
  <w:num w:numId="9">
    <w:abstractNumId w:val="39"/>
  </w:num>
  <w:num w:numId="10">
    <w:abstractNumId w:val="3"/>
  </w:num>
  <w:num w:numId="11">
    <w:abstractNumId w:val="21"/>
  </w:num>
  <w:num w:numId="12">
    <w:abstractNumId w:val="19"/>
  </w:num>
  <w:num w:numId="13">
    <w:abstractNumId w:val="36"/>
  </w:num>
  <w:num w:numId="14">
    <w:abstractNumId w:val="41"/>
  </w:num>
  <w:num w:numId="15">
    <w:abstractNumId w:val="37"/>
  </w:num>
  <w:num w:numId="16">
    <w:abstractNumId w:val="2"/>
  </w:num>
  <w:num w:numId="17">
    <w:abstractNumId w:val="13"/>
  </w:num>
  <w:num w:numId="18">
    <w:abstractNumId w:val="42"/>
  </w:num>
  <w:num w:numId="19">
    <w:abstractNumId w:val="35"/>
  </w:num>
  <w:num w:numId="20">
    <w:abstractNumId w:val="28"/>
  </w:num>
  <w:num w:numId="21">
    <w:abstractNumId w:val="40"/>
  </w:num>
  <w:num w:numId="22">
    <w:abstractNumId w:val="1"/>
  </w:num>
  <w:num w:numId="23">
    <w:abstractNumId w:val="32"/>
  </w:num>
  <w:num w:numId="24">
    <w:abstractNumId w:val="6"/>
  </w:num>
  <w:num w:numId="25">
    <w:abstractNumId w:val="26"/>
  </w:num>
  <w:num w:numId="26">
    <w:abstractNumId w:val="5"/>
  </w:num>
  <w:num w:numId="27">
    <w:abstractNumId w:val="33"/>
  </w:num>
  <w:num w:numId="28">
    <w:abstractNumId w:val="31"/>
  </w:num>
  <w:num w:numId="29">
    <w:abstractNumId w:val="7"/>
  </w:num>
  <w:num w:numId="30">
    <w:abstractNumId w:val="25"/>
  </w:num>
  <w:num w:numId="31">
    <w:abstractNumId w:val="18"/>
  </w:num>
  <w:num w:numId="32">
    <w:abstractNumId w:val="17"/>
  </w:num>
  <w:num w:numId="33">
    <w:abstractNumId w:val="22"/>
  </w:num>
  <w:num w:numId="34">
    <w:abstractNumId w:val="30"/>
  </w:num>
  <w:num w:numId="35">
    <w:abstractNumId w:val="11"/>
  </w:num>
  <w:num w:numId="36">
    <w:abstractNumId w:val="23"/>
  </w:num>
  <w:num w:numId="37">
    <w:abstractNumId w:val="29"/>
  </w:num>
  <w:num w:numId="38">
    <w:abstractNumId w:val="15"/>
  </w:num>
  <w:num w:numId="39">
    <w:abstractNumId w:val="38"/>
  </w:num>
  <w:num w:numId="40">
    <w:abstractNumId w:val="9"/>
  </w:num>
  <w:num w:numId="41">
    <w:abstractNumId w:val="4"/>
  </w:num>
  <w:num w:numId="42">
    <w:abstractNumId w:val="34"/>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BF3"/>
    <w:rsid w:val="00002A59"/>
    <w:rsid w:val="00005D71"/>
    <w:rsid w:val="00007115"/>
    <w:rsid w:val="000074F2"/>
    <w:rsid w:val="00007C44"/>
    <w:rsid w:val="000117C4"/>
    <w:rsid w:val="00011998"/>
    <w:rsid w:val="00011CDE"/>
    <w:rsid w:val="0001616D"/>
    <w:rsid w:val="00016225"/>
    <w:rsid w:val="00016871"/>
    <w:rsid w:val="00017044"/>
    <w:rsid w:val="0001799C"/>
    <w:rsid w:val="00017F88"/>
    <w:rsid w:val="00020197"/>
    <w:rsid w:val="00022890"/>
    <w:rsid w:val="00024235"/>
    <w:rsid w:val="00024C6C"/>
    <w:rsid w:val="00027E43"/>
    <w:rsid w:val="0003088A"/>
    <w:rsid w:val="000322F4"/>
    <w:rsid w:val="00032A01"/>
    <w:rsid w:val="00033160"/>
    <w:rsid w:val="00033668"/>
    <w:rsid w:val="0003441F"/>
    <w:rsid w:val="00034955"/>
    <w:rsid w:val="0003555B"/>
    <w:rsid w:val="00036B21"/>
    <w:rsid w:val="00036F51"/>
    <w:rsid w:val="00037570"/>
    <w:rsid w:val="00037C2F"/>
    <w:rsid w:val="000400E2"/>
    <w:rsid w:val="00041510"/>
    <w:rsid w:val="00043BA8"/>
    <w:rsid w:val="00043F78"/>
    <w:rsid w:val="00044F9A"/>
    <w:rsid w:val="0004500D"/>
    <w:rsid w:val="0004578A"/>
    <w:rsid w:val="00047C91"/>
    <w:rsid w:val="00051584"/>
    <w:rsid w:val="00052FF8"/>
    <w:rsid w:val="00053924"/>
    <w:rsid w:val="00053ABC"/>
    <w:rsid w:val="000565B4"/>
    <w:rsid w:val="00057F12"/>
    <w:rsid w:val="00060AE6"/>
    <w:rsid w:val="00063F8E"/>
    <w:rsid w:val="000665A1"/>
    <w:rsid w:val="0006696E"/>
    <w:rsid w:val="000669B6"/>
    <w:rsid w:val="00067B78"/>
    <w:rsid w:val="00072171"/>
    <w:rsid w:val="000721B5"/>
    <w:rsid w:val="0007498F"/>
    <w:rsid w:val="00080C78"/>
    <w:rsid w:val="000824EE"/>
    <w:rsid w:val="000845B3"/>
    <w:rsid w:val="00085D4F"/>
    <w:rsid w:val="00086585"/>
    <w:rsid w:val="00090E7A"/>
    <w:rsid w:val="00092013"/>
    <w:rsid w:val="00092B3B"/>
    <w:rsid w:val="00094E34"/>
    <w:rsid w:val="00095B6E"/>
    <w:rsid w:val="00096050"/>
    <w:rsid w:val="00096879"/>
    <w:rsid w:val="000969AE"/>
    <w:rsid w:val="00097E88"/>
    <w:rsid w:val="000A0D69"/>
    <w:rsid w:val="000A1B70"/>
    <w:rsid w:val="000A1E99"/>
    <w:rsid w:val="000A3C71"/>
    <w:rsid w:val="000A5D70"/>
    <w:rsid w:val="000B1691"/>
    <w:rsid w:val="000B18B9"/>
    <w:rsid w:val="000B1A09"/>
    <w:rsid w:val="000B1B10"/>
    <w:rsid w:val="000B23DE"/>
    <w:rsid w:val="000B5DA8"/>
    <w:rsid w:val="000B6FBB"/>
    <w:rsid w:val="000B70B4"/>
    <w:rsid w:val="000C000E"/>
    <w:rsid w:val="000C05DD"/>
    <w:rsid w:val="000C300C"/>
    <w:rsid w:val="000C4747"/>
    <w:rsid w:val="000C48DD"/>
    <w:rsid w:val="000C5093"/>
    <w:rsid w:val="000D1C33"/>
    <w:rsid w:val="000D3392"/>
    <w:rsid w:val="000D3456"/>
    <w:rsid w:val="000D4780"/>
    <w:rsid w:val="000D4B8A"/>
    <w:rsid w:val="000D4EC5"/>
    <w:rsid w:val="000D5031"/>
    <w:rsid w:val="000D7FDE"/>
    <w:rsid w:val="000E022A"/>
    <w:rsid w:val="000E1D6C"/>
    <w:rsid w:val="000E2D43"/>
    <w:rsid w:val="000E43C1"/>
    <w:rsid w:val="000E51AE"/>
    <w:rsid w:val="000E5DFE"/>
    <w:rsid w:val="000E7A82"/>
    <w:rsid w:val="000F07EC"/>
    <w:rsid w:val="000F2567"/>
    <w:rsid w:val="000F2B0F"/>
    <w:rsid w:val="0010055A"/>
    <w:rsid w:val="0010182C"/>
    <w:rsid w:val="00101895"/>
    <w:rsid w:val="001018E8"/>
    <w:rsid w:val="00102C76"/>
    <w:rsid w:val="00103E75"/>
    <w:rsid w:val="00105CD5"/>
    <w:rsid w:val="00105EEB"/>
    <w:rsid w:val="00112E24"/>
    <w:rsid w:val="0011362C"/>
    <w:rsid w:val="00120FDB"/>
    <w:rsid w:val="001211A0"/>
    <w:rsid w:val="00122425"/>
    <w:rsid w:val="001227DE"/>
    <w:rsid w:val="00124BFE"/>
    <w:rsid w:val="0012573A"/>
    <w:rsid w:val="00126131"/>
    <w:rsid w:val="001278C6"/>
    <w:rsid w:val="00133526"/>
    <w:rsid w:val="00135800"/>
    <w:rsid w:val="001359B3"/>
    <w:rsid w:val="00136BD0"/>
    <w:rsid w:val="00136F9B"/>
    <w:rsid w:val="00137F8F"/>
    <w:rsid w:val="00140B9F"/>
    <w:rsid w:val="0014109D"/>
    <w:rsid w:val="00142106"/>
    <w:rsid w:val="00143C37"/>
    <w:rsid w:val="0014546B"/>
    <w:rsid w:val="00147A25"/>
    <w:rsid w:val="00147A9C"/>
    <w:rsid w:val="00150BBE"/>
    <w:rsid w:val="00152430"/>
    <w:rsid w:val="00153857"/>
    <w:rsid w:val="00153987"/>
    <w:rsid w:val="001542B5"/>
    <w:rsid w:val="00154D0E"/>
    <w:rsid w:val="00155361"/>
    <w:rsid w:val="00156818"/>
    <w:rsid w:val="00163F46"/>
    <w:rsid w:val="0016412A"/>
    <w:rsid w:val="00164AAF"/>
    <w:rsid w:val="001654C2"/>
    <w:rsid w:val="00167B71"/>
    <w:rsid w:val="00172577"/>
    <w:rsid w:val="0017401E"/>
    <w:rsid w:val="00175CE8"/>
    <w:rsid w:val="00181D6D"/>
    <w:rsid w:val="00182356"/>
    <w:rsid w:val="00183AF1"/>
    <w:rsid w:val="00184AF7"/>
    <w:rsid w:val="0018531B"/>
    <w:rsid w:val="00185FE5"/>
    <w:rsid w:val="00190903"/>
    <w:rsid w:val="00190F5C"/>
    <w:rsid w:val="00192ECC"/>
    <w:rsid w:val="00193506"/>
    <w:rsid w:val="00194483"/>
    <w:rsid w:val="00194C60"/>
    <w:rsid w:val="00195A1D"/>
    <w:rsid w:val="00197471"/>
    <w:rsid w:val="001A028A"/>
    <w:rsid w:val="001A0479"/>
    <w:rsid w:val="001A3B1B"/>
    <w:rsid w:val="001A5D0B"/>
    <w:rsid w:val="001A683E"/>
    <w:rsid w:val="001B199F"/>
    <w:rsid w:val="001B2563"/>
    <w:rsid w:val="001B336E"/>
    <w:rsid w:val="001B4AB0"/>
    <w:rsid w:val="001B6C8D"/>
    <w:rsid w:val="001B6CB0"/>
    <w:rsid w:val="001C159D"/>
    <w:rsid w:val="001C201C"/>
    <w:rsid w:val="001C36C8"/>
    <w:rsid w:val="001C48D5"/>
    <w:rsid w:val="001C569D"/>
    <w:rsid w:val="001C58B9"/>
    <w:rsid w:val="001C6B88"/>
    <w:rsid w:val="001D39B6"/>
    <w:rsid w:val="001D3C69"/>
    <w:rsid w:val="001D3EBA"/>
    <w:rsid w:val="001D4755"/>
    <w:rsid w:val="001D4E11"/>
    <w:rsid w:val="001D6486"/>
    <w:rsid w:val="001D71A8"/>
    <w:rsid w:val="001E2744"/>
    <w:rsid w:val="001E2E70"/>
    <w:rsid w:val="001E548B"/>
    <w:rsid w:val="001E577E"/>
    <w:rsid w:val="001E6645"/>
    <w:rsid w:val="001E6CF1"/>
    <w:rsid w:val="001E7C7A"/>
    <w:rsid w:val="001F10D6"/>
    <w:rsid w:val="001F1F69"/>
    <w:rsid w:val="001F1F95"/>
    <w:rsid w:val="00200DF4"/>
    <w:rsid w:val="00201B72"/>
    <w:rsid w:val="00203304"/>
    <w:rsid w:val="00203983"/>
    <w:rsid w:val="002041C4"/>
    <w:rsid w:val="00205392"/>
    <w:rsid w:val="00206279"/>
    <w:rsid w:val="0020632B"/>
    <w:rsid w:val="00211981"/>
    <w:rsid w:val="00211BCA"/>
    <w:rsid w:val="00212D98"/>
    <w:rsid w:val="00215262"/>
    <w:rsid w:val="00215464"/>
    <w:rsid w:val="00217C0E"/>
    <w:rsid w:val="00220C0F"/>
    <w:rsid w:val="002216D5"/>
    <w:rsid w:val="002216F4"/>
    <w:rsid w:val="00221C7D"/>
    <w:rsid w:val="0022353A"/>
    <w:rsid w:val="00224B45"/>
    <w:rsid w:val="00226EB0"/>
    <w:rsid w:val="00230D86"/>
    <w:rsid w:val="0023129A"/>
    <w:rsid w:val="002339D2"/>
    <w:rsid w:val="00233FC8"/>
    <w:rsid w:val="002342EB"/>
    <w:rsid w:val="00234329"/>
    <w:rsid w:val="00240690"/>
    <w:rsid w:val="0024325D"/>
    <w:rsid w:val="002452B1"/>
    <w:rsid w:val="00245618"/>
    <w:rsid w:val="00246FC4"/>
    <w:rsid w:val="002473DE"/>
    <w:rsid w:val="00256AB2"/>
    <w:rsid w:val="00260030"/>
    <w:rsid w:val="0026031C"/>
    <w:rsid w:val="00261AE4"/>
    <w:rsid w:val="00262340"/>
    <w:rsid w:val="0026235B"/>
    <w:rsid w:val="00262E39"/>
    <w:rsid w:val="00265992"/>
    <w:rsid w:val="0026729E"/>
    <w:rsid w:val="00267C9F"/>
    <w:rsid w:val="00270BF8"/>
    <w:rsid w:val="00272B81"/>
    <w:rsid w:val="00273C05"/>
    <w:rsid w:val="00273E9F"/>
    <w:rsid w:val="002755B5"/>
    <w:rsid w:val="002777EE"/>
    <w:rsid w:val="002821A5"/>
    <w:rsid w:val="002828DA"/>
    <w:rsid w:val="00284C7D"/>
    <w:rsid w:val="00285069"/>
    <w:rsid w:val="00286A12"/>
    <w:rsid w:val="00286B4E"/>
    <w:rsid w:val="0029278C"/>
    <w:rsid w:val="00296542"/>
    <w:rsid w:val="002A3139"/>
    <w:rsid w:val="002A31FD"/>
    <w:rsid w:val="002A4645"/>
    <w:rsid w:val="002A6899"/>
    <w:rsid w:val="002B257C"/>
    <w:rsid w:val="002B2A04"/>
    <w:rsid w:val="002B39DA"/>
    <w:rsid w:val="002B4E3E"/>
    <w:rsid w:val="002B510F"/>
    <w:rsid w:val="002C07E8"/>
    <w:rsid w:val="002C2D2D"/>
    <w:rsid w:val="002C3239"/>
    <w:rsid w:val="002C4D40"/>
    <w:rsid w:val="002C570A"/>
    <w:rsid w:val="002C63F9"/>
    <w:rsid w:val="002C6655"/>
    <w:rsid w:val="002C66BF"/>
    <w:rsid w:val="002C7258"/>
    <w:rsid w:val="002C7727"/>
    <w:rsid w:val="002D01D6"/>
    <w:rsid w:val="002D118A"/>
    <w:rsid w:val="002D1844"/>
    <w:rsid w:val="002D4C29"/>
    <w:rsid w:val="002D6CA3"/>
    <w:rsid w:val="002D74E4"/>
    <w:rsid w:val="002D7C07"/>
    <w:rsid w:val="002E0293"/>
    <w:rsid w:val="002E087A"/>
    <w:rsid w:val="002E12E0"/>
    <w:rsid w:val="002E1FF3"/>
    <w:rsid w:val="002E7054"/>
    <w:rsid w:val="002F01E6"/>
    <w:rsid w:val="002F212C"/>
    <w:rsid w:val="002F23D3"/>
    <w:rsid w:val="002F27B8"/>
    <w:rsid w:val="002F2BB2"/>
    <w:rsid w:val="002F38AE"/>
    <w:rsid w:val="002F57CC"/>
    <w:rsid w:val="00300100"/>
    <w:rsid w:val="0030159B"/>
    <w:rsid w:val="00301A6E"/>
    <w:rsid w:val="003028E0"/>
    <w:rsid w:val="00303B5F"/>
    <w:rsid w:val="00304E34"/>
    <w:rsid w:val="00305156"/>
    <w:rsid w:val="00305FF5"/>
    <w:rsid w:val="00311924"/>
    <w:rsid w:val="00311946"/>
    <w:rsid w:val="00311A8B"/>
    <w:rsid w:val="00311E5F"/>
    <w:rsid w:val="00312606"/>
    <w:rsid w:val="00314875"/>
    <w:rsid w:val="00315324"/>
    <w:rsid w:val="00320FDE"/>
    <w:rsid w:val="0032343A"/>
    <w:rsid w:val="003248FE"/>
    <w:rsid w:val="00326477"/>
    <w:rsid w:val="00326A9F"/>
    <w:rsid w:val="003274B7"/>
    <w:rsid w:val="00327D38"/>
    <w:rsid w:val="0033095A"/>
    <w:rsid w:val="00330E91"/>
    <w:rsid w:val="00331490"/>
    <w:rsid w:val="00333B66"/>
    <w:rsid w:val="003356F7"/>
    <w:rsid w:val="003357F0"/>
    <w:rsid w:val="00344A0B"/>
    <w:rsid w:val="00345821"/>
    <w:rsid w:val="0034625D"/>
    <w:rsid w:val="0034731C"/>
    <w:rsid w:val="003502C5"/>
    <w:rsid w:val="00350570"/>
    <w:rsid w:val="00350781"/>
    <w:rsid w:val="003520D0"/>
    <w:rsid w:val="0035393D"/>
    <w:rsid w:val="00354E66"/>
    <w:rsid w:val="00354F24"/>
    <w:rsid w:val="00356D23"/>
    <w:rsid w:val="00357022"/>
    <w:rsid w:val="00357ED1"/>
    <w:rsid w:val="0036010E"/>
    <w:rsid w:val="003631EA"/>
    <w:rsid w:val="00363E84"/>
    <w:rsid w:val="003765AB"/>
    <w:rsid w:val="00376965"/>
    <w:rsid w:val="003807EA"/>
    <w:rsid w:val="00381E69"/>
    <w:rsid w:val="0038384E"/>
    <w:rsid w:val="00384B03"/>
    <w:rsid w:val="00384DEE"/>
    <w:rsid w:val="00387FB7"/>
    <w:rsid w:val="00390AB4"/>
    <w:rsid w:val="00391658"/>
    <w:rsid w:val="0039189A"/>
    <w:rsid w:val="003918AC"/>
    <w:rsid w:val="00392C42"/>
    <w:rsid w:val="00393D62"/>
    <w:rsid w:val="00393D6F"/>
    <w:rsid w:val="00395040"/>
    <w:rsid w:val="003954B1"/>
    <w:rsid w:val="00396072"/>
    <w:rsid w:val="003A080F"/>
    <w:rsid w:val="003A0829"/>
    <w:rsid w:val="003A115C"/>
    <w:rsid w:val="003A17BA"/>
    <w:rsid w:val="003A1E09"/>
    <w:rsid w:val="003A3139"/>
    <w:rsid w:val="003A73DA"/>
    <w:rsid w:val="003B024B"/>
    <w:rsid w:val="003B0C19"/>
    <w:rsid w:val="003B1C99"/>
    <w:rsid w:val="003B395D"/>
    <w:rsid w:val="003B4055"/>
    <w:rsid w:val="003B4BCD"/>
    <w:rsid w:val="003B5A92"/>
    <w:rsid w:val="003B5EBB"/>
    <w:rsid w:val="003B686E"/>
    <w:rsid w:val="003C042D"/>
    <w:rsid w:val="003C0456"/>
    <w:rsid w:val="003C168D"/>
    <w:rsid w:val="003C243B"/>
    <w:rsid w:val="003C422D"/>
    <w:rsid w:val="003C424B"/>
    <w:rsid w:val="003C4A61"/>
    <w:rsid w:val="003C4D7B"/>
    <w:rsid w:val="003C5421"/>
    <w:rsid w:val="003C5D82"/>
    <w:rsid w:val="003D03A0"/>
    <w:rsid w:val="003D14CE"/>
    <w:rsid w:val="003D1C6C"/>
    <w:rsid w:val="003D1D5C"/>
    <w:rsid w:val="003D606B"/>
    <w:rsid w:val="003D7DC6"/>
    <w:rsid w:val="003E12A2"/>
    <w:rsid w:val="003E46CA"/>
    <w:rsid w:val="003F142B"/>
    <w:rsid w:val="003F1E75"/>
    <w:rsid w:val="003F214C"/>
    <w:rsid w:val="003F24E9"/>
    <w:rsid w:val="003F27BB"/>
    <w:rsid w:val="003F371A"/>
    <w:rsid w:val="003F373A"/>
    <w:rsid w:val="003F75A8"/>
    <w:rsid w:val="004003E7"/>
    <w:rsid w:val="00401E0A"/>
    <w:rsid w:val="004035BD"/>
    <w:rsid w:val="00404C60"/>
    <w:rsid w:val="0040500A"/>
    <w:rsid w:val="0040675B"/>
    <w:rsid w:val="00407DE1"/>
    <w:rsid w:val="00412CC1"/>
    <w:rsid w:val="00415A24"/>
    <w:rsid w:val="00415E3B"/>
    <w:rsid w:val="0041644E"/>
    <w:rsid w:val="00417458"/>
    <w:rsid w:val="004175D2"/>
    <w:rsid w:val="00417F0E"/>
    <w:rsid w:val="0042130F"/>
    <w:rsid w:val="00422D8A"/>
    <w:rsid w:val="0042377D"/>
    <w:rsid w:val="00427F4B"/>
    <w:rsid w:val="00431E1A"/>
    <w:rsid w:val="004329DF"/>
    <w:rsid w:val="00432D74"/>
    <w:rsid w:val="004335EF"/>
    <w:rsid w:val="00433838"/>
    <w:rsid w:val="00433CD4"/>
    <w:rsid w:val="00434C1C"/>
    <w:rsid w:val="00435105"/>
    <w:rsid w:val="0043588F"/>
    <w:rsid w:val="00440161"/>
    <w:rsid w:val="004422AA"/>
    <w:rsid w:val="00443047"/>
    <w:rsid w:val="004435B2"/>
    <w:rsid w:val="00443E06"/>
    <w:rsid w:val="00444A74"/>
    <w:rsid w:val="004478FD"/>
    <w:rsid w:val="00455C5B"/>
    <w:rsid w:val="00457CE3"/>
    <w:rsid w:val="00460DDC"/>
    <w:rsid w:val="00461FDA"/>
    <w:rsid w:val="00464E98"/>
    <w:rsid w:val="004660F0"/>
    <w:rsid w:val="0046652E"/>
    <w:rsid w:val="00466F6A"/>
    <w:rsid w:val="004701CC"/>
    <w:rsid w:val="00471625"/>
    <w:rsid w:val="00475BD3"/>
    <w:rsid w:val="00475D58"/>
    <w:rsid w:val="004800C3"/>
    <w:rsid w:val="004827E5"/>
    <w:rsid w:val="0048591A"/>
    <w:rsid w:val="00485D5B"/>
    <w:rsid w:val="00490A9D"/>
    <w:rsid w:val="00490C95"/>
    <w:rsid w:val="00493CBB"/>
    <w:rsid w:val="004946BD"/>
    <w:rsid w:val="00494E97"/>
    <w:rsid w:val="004963C1"/>
    <w:rsid w:val="00496993"/>
    <w:rsid w:val="004A0D4F"/>
    <w:rsid w:val="004A1F2A"/>
    <w:rsid w:val="004A2E1E"/>
    <w:rsid w:val="004A5F88"/>
    <w:rsid w:val="004B0182"/>
    <w:rsid w:val="004B0A96"/>
    <w:rsid w:val="004B283B"/>
    <w:rsid w:val="004B376F"/>
    <w:rsid w:val="004B57FA"/>
    <w:rsid w:val="004B5DD5"/>
    <w:rsid w:val="004B6458"/>
    <w:rsid w:val="004B6459"/>
    <w:rsid w:val="004B6842"/>
    <w:rsid w:val="004B6F86"/>
    <w:rsid w:val="004B73C6"/>
    <w:rsid w:val="004B7460"/>
    <w:rsid w:val="004C1221"/>
    <w:rsid w:val="004C15E3"/>
    <w:rsid w:val="004C4829"/>
    <w:rsid w:val="004C5029"/>
    <w:rsid w:val="004C61CF"/>
    <w:rsid w:val="004C6355"/>
    <w:rsid w:val="004C6A67"/>
    <w:rsid w:val="004D2578"/>
    <w:rsid w:val="004D3A3B"/>
    <w:rsid w:val="004D4E57"/>
    <w:rsid w:val="004D693F"/>
    <w:rsid w:val="004D7080"/>
    <w:rsid w:val="004E0136"/>
    <w:rsid w:val="004E11A4"/>
    <w:rsid w:val="004E1DAC"/>
    <w:rsid w:val="004E22BA"/>
    <w:rsid w:val="004E3754"/>
    <w:rsid w:val="004E3ECD"/>
    <w:rsid w:val="004E6383"/>
    <w:rsid w:val="004F13BD"/>
    <w:rsid w:val="004F204D"/>
    <w:rsid w:val="004F278C"/>
    <w:rsid w:val="004F2C0C"/>
    <w:rsid w:val="004F3378"/>
    <w:rsid w:val="004F384C"/>
    <w:rsid w:val="004F52B0"/>
    <w:rsid w:val="004F5A94"/>
    <w:rsid w:val="004F744D"/>
    <w:rsid w:val="00501486"/>
    <w:rsid w:val="005027D3"/>
    <w:rsid w:val="00504004"/>
    <w:rsid w:val="00505843"/>
    <w:rsid w:val="00506026"/>
    <w:rsid w:val="00510288"/>
    <w:rsid w:val="005107A8"/>
    <w:rsid w:val="0051161C"/>
    <w:rsid w:val="0051166C"/>
    <w:rsid w:val="00513CCE"/>
    <w:rsid w:val="00513E5D"/>
    <w:rsid w:val="00517537"/>
    <w:rsid w:val="0052193B"/>
    <w:rsid w:val="005223E1"/>
    <w:rsid w:val="00523147"/>
    <w:rsid w:val="0052331E"/>
    <w:rsid w:val="00523F9E"/>
    <w:rsid w:val="00525BCD"/>
    <w:rsid w:val="00526498"/>
    <w:rsid w:val="005276FB"/>
    <w:rsid w:val="0053095E"/>
    <w:rsid w:val="0054000E"/>
    <w:rsid w:val="00541566"/>
    <w:rsid w:val="00541668"/>
    <w:rsid w:val="00544131"/>
    <w:rsid w:val="00544A5D"/>
    <w:rsid w:val="00544F52"/>
    <w:rsid w:val="00546028"/>
    <w:rsid w:val="0054792A"/>
    <w:rsid w:val="00551EA4"/>
    <w:rsid w:val="00552373"/>
    <w:rsid w:val="00553433"/>
    <w:rsid w:val="005547AE"/>
    <w:rsid w:val="00554960"/>
    <w:rsid w:val="00556BA2"/>
    <w:rsid w:val="005606BA"/>
    <w:rsid w:val="00560B89"/>
    <w:rsid w:val="00564361"/>
    <w:rsid w:val="005645AE"/>
    <w:rsid w:val="00565BC3"/>
    <w:rsid w:val="00571589"/>
    <w:rsid w:val="005716E0"/>
    <w:rsid w:val="00572279"/>
    <w:rsid w:val="005747CE"/>
    <w:rsid w:val="0057493D"/>
    <w:rsid w:val="00574C4F"/>
    <w:rsid w:val="005767DE"/>
    <w:rsid w:val="00576F75"/>
    <w:rsid w:val="00577906"/>
    <w:rsid w:val="00582D89"/>
    <w:rsid w:val="00594D85"/>
    <w:rsid w:val="0059568C"/>
    <w:rsid w:val="00595CC1"/>
    <w:rsid w:val="005A08D9"/>
    <w:rsid w:val="005A113F"/>
    <w:rsid w:val="005A26FA"/>
    <w:rsid w:val="005A2B0A"/>
    <w:rsid w:val="005A2EC9"/>
    <w:rsid w:val="005B05AF"/>
    <w:rsid w:val="005B23AC"/>
    <w:rsid w:val="005B2F70"/>
    <w:rsid w:val="005B3736"/>
    <w:rsid w:val="005B756A"/>
    <w:rsid w:val="005C0343"/>
    <w:rsid w:val="005C47C9"/>
    <w:rsid w:val="005D3737"/>
    <w:rsid w:val="005D66F8"/>
    <w:rsid w:val="005E2202"/>
    <w:rsid w:val="005E388D"/>
    <w:rsid w:val="005E55FF"/>
    <w:rsid w:val="005F17B9"/>
    <w:rsid w:val="005F37ED"/>
    <w:rsid w:val="005F39A4"/>
    <w:rsid w:val="005F6B3C"/>
    <w:rsid w:val="005F711A"/>
    <w:rsid w:val="00600C6D"/>
    <w:rsid w:val="00602440"/>
    <w:rsid w:val="00602A9F"/>
    <w:rsid w:val="00603398"/>
    <w:rsid w:val="00603784"/>
    <w:rsid w:val="0060619C"/>
    <w:rsid w:val="0060654F"/>
    <w:rsid w:val="00606978"/>
    <w:rsid w:val="00606E29"/>
    <w:rsid w:val="00607540"/>
    <w:rsid w:val="00607B0D"/>
    <w:rsid w:val="00607C98"/>
    <w:rsid w:val="0061387E"/>
    <w:rsid w:val="0061398C"/>
    <w:rsid w:val="00614B8F"/>
    <w:rsid w:val="0061680D"/>
    <w:rsid w:val="00617E04"/>
    <w:rsid w:val="00621E4C"/>
    <w:rsid w:val="006240C6"/>
    <w:rsid w:val="00624400"/>
    <w:rsid w:val="00624BFA"/>
    <w:rsid w:val="00627161"/>
    <w:rsid w:val="00630356"/>
    <w:rsid w:val="00633E14"/>
    <w:rsid w:val="00636904"/>
    <w:rsid w:val="00642E74"/>
    <w:rsid w:val="00643D02"/>
    <w:rsid w:val="006440F8"/>
    <w:rsid w:val="00645A40"/>
    <w:rsid w:val="00646461"/>
    <w:rsid w:val="00647198"/>
    <w:rsid w:val="00647D5D"/>
    <w:rsid w:val="006505E7"/>
    <w:rsid w:val="006517AC"/>
    <w:rsid w:val="00653E3B"/>
    <w:rsid w:val="006542C3"/>
    <w:rsid w:val="0065443D"/>
    <w:rsid w:val="00661788"/>
    <w:rsid w:val="006634FF"/>
    <w:rsid w:val="00663D39"/>
    <w:rsid w:val="006642CC"/>
    <w:rsid w:val="00665810"/>
    <w:rsid w:val="006659EA"/>
    <w:rsid w:val="00666362"/>
    <w:rsid w:val="00666985"/>
    <w:rsid w:val="00672940"/>
    <w:rsid w:val="00672D92"/>
    <w:rsid w:val="00673003"/>
    <w:rsid w:val="006735DB"/>
    <w:rsid w:val="00673B13"/>
    <w:rsid w:val="00674307"/>
    <w:rsid w:val="006745D5"/>
    <w:rsid w:val="00681B11"/>
    <w:rsid w:val="006826DE"/>
    <w:rsid w:val="006826E1"/>
    <w:rsid w:val="00683EA4"/>
    <w:rsid w:val="006902EA"/>
    <w:rsid w:val="00690631"/>
    <w:rsid w:val="00690C0A"/>
    <w:rsid w:val="00693C54"/>
    <w:rsid w:val="00694178"/>
    <w:rsid w:val="00695064"/>
    <w:rsid w:val="006969D0"/>
    <w:rsid w:val="00696F1F"/>
    <w:rsid w:val="00697927"/>
    <w:rsid w:val="00697FEC"/>
    <w:rsid w:val="006A05EA"/>
    <w:rsid w:val="006A0AB4"/>
    <w:rsid w:val="006A1E1D"/>
    <w:rsid w:val="006A1E25"/>
    <w:rsid w:val="006A271D"/>
    <w:rsid w:val="006A369D"/>
    <w:rsid w:val="006A5626"/>
    <w:rsid w:val="006A5AEA"/>
    <w:rsid w:val="006A5E82"/>
    <w:rsid w:val="006A7D3C"/>
    <w:rsid w:val="006A7F3D"/>
    <w:rsid w:val="006B01ED"/>
    <w:rsid w:val="006B0D3A"/>
    <w:rsid w:val="006B1251"/>
    <w:rsid w:val="006B1B5E"/>
    <w:rsid w:val="006B1ED5"/>
    <w:rsid w:val="006B46A5"/>
    <w:rsid w:val="006B7128"/>
    <w:rsid w:val="006B755E"/>
    <w:rsid w:val="006B7D2E"/>
    <w:rsid w:val="006C01E9"/>
    <w:rsid w:val="006C2383"/>
    <w:rsid w:val="006C4BA4"/>
    <w:rsid w:val="006C4CF7"/>
    <w:rsid w:val="006C77FF"/>
    <w:rsid w:val="006C7AAF"/>
    <w:rsid w:val="006D0813"/>
    <w:rsid w:val="006D22E6"/>
    <w:rsid w:val="006D333B"/>
    <w:rsid w:val="006D3C71"/>
    <w:rsid w:val="006D42C9"/>
    <w:rsid w:val="006D5841"/>
    <w:rsid w:val="006D7954"/>
    <w:rsid w:val="006E046C"/>
    <w:rsid w:val="006E1321"/>
    <w:rsid w:val="006E38E4"/>
    <w:rsid w:val="006E6CFD"/>
    <w:rsid w:val="006F09AE"/>
    <w:rsid w:val="006F65F2"/>
    <w:rsid w:val="007009C1"/>
    <w:rsid w:val="00705410"/>
    <w:rsid w:val="00706012"/>
    <w:rsid w:val="0070633B"/>
    <w:rsid w:val="00707835"/>
    <w:rsid w:val="0070784D"/>
    <w:rsid w:val="00707EA6"/>
    <w:rsid w:val="00710FED"/>
    <w:rsid w:val="00711374"/>
    <w:rsid w:val="00711929"/>
    <w:rsid w:val="00712713"/>
    <w:rsid w:val="00715AF0"/>
    <w:rsid w:val="007163CA"/>
    <w:rsid w:val="00720F0A"/>
    <w:rsid w:val="007210AD"/>
    <w:rsid w:val="007214EC"/>
    <w:rsid w:val="00722845"/>
    <w:rsid w:val="00723CC8"/>
    <w:rsid w:val="00723D69"/>
    <w:rsid w:val="00724EB0"/>
    <w:rsid w:val="00725F9F"/>
    <w:rsid w:val="007270B8"/>
    <w:rsid w:val="00727421"/>
    <w:rsid w:val="007304DA"/>
    <w:rsid w:val="00730FCA"/>
    <w:rsid w:val="00731307"/>
    <w:rsid w:val="0073391B"/>
    <w:rsid w:val="00734A79"/>
    <w:rsid w:val="00734E42"/>
    <w:rsid w:val="0073540E"/>
    <w:rsid w:val="0073729F"/>
    <w:rsid w:val="00737351"/>
    <w:rsid w:val="0074406D"/>
    <w:rsid w:val="00745A7D"/>
    <w:rsid w:val="00747955"/>
    <w:rsid w:val="00751759"/>
    <w:rsid w:val="00752A15"/>
    <w:rsid w:val="00753B4F"/>
    <w:rsid w:val="00754F0C"/>
    <w:rsid w:val="00754F57"/>
    <w:rsid w:val="00756FFE"/>
    <w:rsid w:val="00760284"/>
    <w:rsid w:val="007602C9"/>
    <w:rsid w:val="00762461"/>
    <w:rsid w:val="00762F28"/>
    <w:rsid w:val="00763F52"/>
    <w:rsid w:val="007668B1"/>
    <w:rsid w:val="00770585"/>
    <w:rsid w:val="007714B6"/>
    <w:rsid w:val="00771DA0"/>
    <w:rsid w:val="00771E33"/>
    <w:rsid w:val="007720E3"/>
    <w:rsid w:val="00772437"/>
    <w:rsid w:val="00775D66"/>
    <w:rsid w:val="007766D7"/>
    <w:rsid w:val="00777C5F"/>
    <w:rsid w:val="00780991"/>
    <w:rsid w:val="00785D5F"/>
    <w:rsid w:val="00786ABD"/>
    <w:rsid w:val="00791720"/>
    <w:rsid w:val="00792548"/>
    <w:rsid w:val="0079343D"/>
    <w:rsid w:val="00794FBF"/>
    <w:rsid w:val="0079588A"/>
    <w:rsid w:val="00796BC7"/>
    <w:rsid w:val="00796DEF"/>
    <w:rsid w:val="00796F78"/>
    <w:rsid w:val="00797DBB"/>
    <w:rsid w:val="007A0744"/>
    <w:rsid w:val="007A3326"/>
    <w:rsid w:val="007A481D"/>
    <w:rsid w:val="007A64D8"/>
    <w:rsid w:val="007A754C"/>
    <w:rsid w:val="007B042F"/>
    <w:rsid w:val="007B1779"/>
    <w:rsid w:val="007B5149"/>
    <w:rsid w:val="007C017C"/>
    <w:rsid w:val="007C2896"/>
    <w:rsid w:val="007C3FCA"/>
    <w:rsid w:val="007C5248"/>
    <w:rsid w:val="007C5E43"/>
    <w:rsid w:val="007C6239"/>
    <w:rsid w:val="007C6369"/>
    <w:rsid w:val="007C71FE"/>
    <w:rsid w:val="007D134D"/>
    <w:rsid w:val="007D2869"/>
    <w:rsid w:val="007D2F2A"/>
    <w:rsid w:val="007D4341"/>
    <w:rsid w:val="007D5FF4"/>
    <w:rsid w:val="007D6D55"/>
    <w:rsid w:val="007D6DCA"/>
    <w:rsid w:val="007D74F0"/>
    <w:rsid w:val="007E0B75"/>
    <w:rsid w:val="007E229F"/>
    <w:rsid w:val="007E71C4"/>
    <w:rsid w:val="007E775A"/>
    <w:rsid w:val="007E7CC0"/>
    <w:rsid w:val="007F02D3"/>
    <w:rsid w:val="007F04B5"/>
    <w:rsid w:val="007F082C"/>
    <w:rsid w:val="007F0875"/>
    <w:rsid w:val="007F2FC7"/>
    <w:rsid w:val="007F371C"/>
    <w:rsid w:val="007F4A60"/>
    <w:rsid w:val="007F56F0"/>
    <w:rsid w:val="007F5B2C"/>
    <w:rsid w:val="007F5BA3"/>
    <w:rsid w:val="00800902"/>
    <w:rsid w:val="00804208"/>
    <w:rsid w:val="008051D7"/>
    <w:rsid w:val="00806373"/>
    <w:rsid w:val="00810C21"/>
    <w:rsid w:val="00810EAC"/>
    <w:rsid w:val="0081199C"/>
    <w:rsid w:val="0081354D"/>
    <w:rsid w:val="00813ADE"/>
    <w:rsid w:val="00814E08"/>
    <w:rsid w:val="0081657C"/>
    <w:rsid w:val="008173A5"/>
    <w:rsid w:val="00817A7A"/>
    <w:rsid w:val="00821D1F"/>
    <w:rsid w:val="00826F12"/>
    <w:rsid w:val="008306AD"/>
    <w:rsid w:val="00833E11"/>
    <w:rsid w:val="00833EC0"/>
    <w:rsid w:val="00833EF3"/>
    <w:rsid w:val="008348C1"/>
    <w:rsid w:val="008362B0"/>
    <w:rsid w:val="00840528"/>
    <w:rsid w:val="008415B7"/>
    <w:rsid w:val="00843381"/>
    <w:rsid w:val="00843ED8"/>
    <w:rsid w:val="00844183"/>
    <w:rsid w:val="008462A6"/>
    <w:rsid w:val="00846565"/>
    <w:rsid w:val="00846701"/>
    <w:rsid w:val="0084694E"/>
    <w:rsid w:val="008470AF"/>
    <w:rsid w:val="00850217"/>
    <w:rsid w:val="008518D6"/>
    <w:rsid w:val="00851B6D"/>
    <w:rsid w:val="00855873"/>
    <w:rsid w:val="00856188"/>
    <w:rsid w:val="00856477"/>
    <w:rsid w:val="00861BAE"/>
    <w:rsid w:val="00861CC6"/>
    <w:rsid w:val="00863AC0"/>
    <w:rsid w:val="008665C0"/>
    <w:rsid w:val="00867B14"/>
    <w:rsid w:val="00873BB2"/>
    <w:rsid w:val="00874EAE"/>
    <w:rsid w:val="00875174"/>
    <w:rsid w:val="0088005A"/>
    <w:rsid w:val="00880A38"/>
    <w:rsid w:val="00881875"/>
    <w:rsid w:val="008823DD"/>
    <w:rsid w:val="00883E2A"/>
    <w:rsid w:val="0088458B"/>
    <w:rsid w:val="008846EF"/>
    <w:rsid w:val="00885167"/>
    <w:rsid w:val="008863AC"/>
    <w:rsid w:val="00887E45"/>
    <w:rsid w:val="00890A1F"/>
    <w:rsid w:val="00891161"/>
    <w:rsid w:val="008920E7"/>
    <w:rsid w:val="00894763"/>
    <w:rsid w:val="00894E21"/>
    <w:rsid w:val="00894EF6"/>
    <w:rsid w:val="00896373"/>
    <w:rsid w:val="008964DF"/>
    <w:rsid w:val="008A04E5"/>
    <w:rsid w:val="008A189E"/>
    <w:rsid w:val="008A20D8"/>
    <w:rsid w:val="008A2602"/>
    <w:rsid w:val="008A4656"/>
    <w:rsid w:val="008A46CA"/>
    <w:rsid w:val="008A588E"/>
    <w:rsid w:val="008A63E1"/>
    <w:rsid w:val="008A79BB"/>
    <w:rsid w:val="008A7F4F"/>
    <w:rsid w:val="008B165A"/>
    <w:rsid w:val="008B2825"/>
    <w:rsid w:val="008B5D4A"/>
    <w:rsid w:val="008B65F9"/>
    <w:rsid w:val="008B6C3E"/>
    <w:rsid w:val="008C0204"/>
    <w:rsid w:val="008C5251"/>
    <w:rsid w:val="008C73CD"/>
    <w:rsid w:val="008C7BFB"/>
    <w:rsid w:val="008D1E64"/>
    <w:rsid w:val="008D23F4"/>
    <w:rsid w:val="008D53F4"/>
    <w:rsid w:val="008D5A15"/>
    <w:rsid w:val="008E062C"/>
    <w:rsid w:val="008E0A18"/>
    <w:rsid w:val="008E2D76"/>
    <w:rsid w:val="008E3BB1"/>
    <w:rsid w:val="008E3DA4"/>
    <w:rsid w:val="008E4F72"/>
    <w:rsid w:val="008E6D32"/>
    <w:rsid w:val="008E7D0F"/>
    <w:rsid w:val="008F16E2"/>
    <w:rsid w:val="008F19BF"/>
    <w:rsid w:val="008F2626"/>
    <w:rsid w:val="008F36B8"/>
    <w:rsid w:val="008F4ECC"/>
    <w:rsid w:val="008F5171"/>
    <w:rsid w:val="008F5450"/>
    <w:rsid w:val="008F612B"/>
    <w:rsid w:val="008F62F3"/>
    <w:rsid w:val="008F7C65"/>
    <w:rsid w:val="008F7D50"/>
    <w:rsid w:val="00902610"/>
    <w:rsid w:val="00903DD3"/>
    <w:rsid w:val="009046C1"/>
    <w:rsid w:val="00907689"/>
    <w:rsid w:val="00913DBA"/>
    <w:rsid w:val="009157BF"/>
    <w:rsid w:val="0091699D"/>
    <w:rsid w:val="00916DCD"/>
    <w:rsid w:val="00916FBE"/>
    <w:rsid w:val="009170C1"/>
    <w:rsid w:val="00917F5E"/>
    <w:rsid w:val="00920EDE"/>
    <w:rsid w:val="00923DF6"/>
    <w:rsid w:val="00926C1A"/>
    <w:rsid w:val="00927936"/>
    <w:rsid w:val="00930A45"/>
    <w:rsid w:val="009313CD"/>
    <w:rsid w:val="00934A73"/>
    <w:rsid w:val="0093529F"/>
    <w:rsid w:val="00935E5E"/>
    <w:rsid w:val="0093677B"/>
    <w:rsid w:val="00937E8F"/>
    <w:rsid w:val="00941177"/>
    <w:rsid w:val="00942C3C"/>
    <w:rsid w:val="0094371F"/>
    <w:rsid w:val="0094376A"/>
    <w:rsid w:val="009443B3"/>
    <w:rsid w:val="00945588"/>
    <w:rsid w:val="00945F83"/>
    <w:rsid w:val="00947402"/>
    <w:rsid w:val="00947DB1"/>
    <w:rsid w:val="00947E15"/>
    <w:rsid w:val="0095266F"/>
    <w:rsid w:val="00952A8D"/>
    <w:rsid w:val="00953068"/>
    <w:rsid w:val="009550D3"/>
    <w:rsid w:val="009569B1"/>
    <w:rsid w:val="0096462B"/>
    <w:rsid w:val="00964A31"/>
    <w:rsid w:val="00964CF5"/>
    <w:rsid w:val="009654B7"/>
    <w:rsid w:val="00970A04"/>
    <w:rsid w:val="009715A0"/>
    <w:rsid w:val="0097246C"/>
    <w:rsid w:val="0097246F"/>
    <w:rsid w:val="009752EA"/>
    <w:rsid w:val="00975F47"/>
    <w:rsid w:val="00976641"/>
    <w:rsid w:val="0098028D"/>
    <w:rsid w:val="00980A84"/>
    <w:rsid w:val="00981361"/>
    <w:rsid w:val="00983B17"/>
    <w:rsid w:val="009851C6"/>
    <w:rsid w:val="00987971"/>
    <w:rsid w:val="009910EA"/>
    <w:rsid w:val="009A2E26"/>
    <w:rsid w:val="009A3E21"/>
    <w:rsid w:val="009A6DBD"/>
    <w:rsid w:val="009A6F32"/>
    <w:rsid w:val="009A7638"/>
    <w:rsid w:val="009B0FA1"/>
    <w:rsid w:val="009B1F84"/>
    <w:rsid w:val="009B3324"/>
    <w:rsid w:val="009B385B"/>
    <w:rsid w:val="009B586A"/>
    <w:rsid w:val="009B5CC2"/>
    <w:rsid w:val="009B6A08"/>
    <w:rsid w:val="009C19D7"/>
    <w:rsid w:val="009C1C61"/>
    <w:rsid w:val="009C344C"/>
    <w:rsid w:val="009C5DB3"/>
    <w:rsid w:val="009C7BF0"/>
    <w:rsid w:val="009D27D5"/>
    <w:rsid w:val="009D3BCF"/>
    <w:rsid w:val="009D792A"/>
    <w:rsid w:val="009D7F16"/>
    <w:rsid w:val="009E083B"/>
    <w:rsid w:val="009E2152"/>
    <w:rsid w:val="009E2249"/>
    <w:rsid w:val="009E445C"/>
    <w:rsid w:val="009E4667"/>
    <w:rsid w:val="009E4BEF"/>
    <w:rsid w:val="009E69E8"/>
    <w:rsid w:val="009E6D17"/>
    <w:rsid w:val="009E6D80"/>
    <w:rsid w:val="009E77CA"/>
    <w:rsid w:val="009F0C01"/>
    <w:rsid w:val="009F0E49"/>
    <w:rsid w:val="009F320C"/>
    <w:rsid w:val="009F3982"/>
    <w:rsid w:val="009F4689"/>
    <w:rsid w:val="009F4757"/>
    <w:rsid w:val="009F497B"/>
    <w:rsid w:val="009F4B07"/>
    <w:rsid w:val="009F5BCD"/>
    <w:rsid w:val="009F6F1B"/>
    <w:rsid w:val="00A0133D"/>
    <w:rsid w:val="00A02BA8"/>
    <w:rsid w:val="00A0357B"/>
    <w:rsid w:val="00A057D2"/>
    <w:rsid w:val="00A06CBB"/>
    <w:rsid w:val="00A11803"/>
    <w:rsid w:val="00A11AFC"/>
    <w:rsid w:val="00A13A57"/>
    <w:rsid w:val="00A14CEB"/>
    <w:rsid w:val="00A14D02"/>
    <w:rsid w:val="00A1634E"/>
    <w:rsid w:val="00A16D36"/>
    <w:rsid w:val="00A221DD"/>
    <w:rsid w:val="00A223A8"/>
    <w:rsid w:val="00A3412F"/>
    <w:rsid w:val="00A34B14"/>
    <w:rsid w:val="00A34FFF"/>
    <w:rsid w:val="00A41C1C"/>
    <w:rsid w:val="00A43931"/>
    <w:rsid w:val="00A43F74"/>
    <w:rsid w:val="00A44A72"/>
    <w:rsid w:val="00A45D59"/>
    <w:rsid w:val="00A47C44"/>
    <w:rsid w:val="00A50919"/>
    <w:rsid w:val="00A50967"/>
    <w:rsid w:val="00A50ED6"/>
    <w:rsid w:val="00A51263"/>
    <w:rsid w:val="00A51E81"/>
    <w:rsid w:val="00A53452"/>
    <w:rsid w:val="00A54D79"/>
    <w:rsid w:val="00A57A49"/>
    <w:rsid w:val="00A57A5F"/>
    <w:rsid w:val="00A60490"/>
    <w:rsid w:val="00A61884"/>
    <w:rsid w:val="00A61F92"/>
    <w:rsid w:val="00A677EE"/>
    <w:rsid w:val="00A700A8"/>
    <w:rsid w:val="00A74849"/>
    <w:rsid w:val="00A75E0F"/>
    <w:rsid w:val="00A7753B"/>
    <w:rsid w:val="00A814A1"/>
    <w:rsid w:val="00A818AC"/>
    <w:rsid w:val="00A83DB2"/>
    <w:rsid w:val="00A83F13"/>
    <w:rsid w:val="00A84B8C"/>
    <w:rsid w:val="00A84DEA"/>
    <w:rsid w:val="00A852EA"/>
    <w:rsid w:val="00A86592"/>
    <w:rsid w:val="00A868B5"/>
    <w:rsid w:val="00A9418E"/>
    <w:rsid w:val="00A943BF"/>
    <w:rsid w:val="00A944CE"/>
    <w:rsid w:val="00A94C8B"/>
    <w:rsid w:val="00A950DA"/>
    <w:rsid w:val="00A96CCF"/>
    <w:rsid w:val="00AA0E4F"/>
    <w:rsid w:val="00AA123D"/>
    <w:rsid w:val="00AA1EEC"/>
    <w:rsid w:val="00AA24EF"/>
    <w:rsid w:val="00AA46B4"/>
    <w:rsid w:val="00AA4DC5"/>
    <w:rsid w:val="00AA5033"/>
    <w:rsid w:val="00AB2219"/>
    <w:rsid w:val="00AB2304"/>
    <w:rsid w:val="00AB23B5"/>
    <w:rsid w:val="00AB35D6"/>
    <w:rsid w:val="00AB3677"/>
    <w:rsid w:val="00AB5347"/>
    <w:rsid w:val="00AC0678"/>
    <w:rsid w:val="00AC087B"/>
    <w:rsid w:val="00AC19D6"/>
    <w:rsid w:val="00AC2C30"/>
    <w:rsid w:val="00AC2C90"/>
    <w:rsid w:val="00AC5EDF"/>
    <w:rsid w:val="00AC62B0"/>
    <w:rsid w:val="00AD0569"/>
    <w:rsid w:val="00AD4A6B"/>
    <w:rsid w:val="00AD5370"/>
    <w:rsid w:val="00AD5A2E"/>
    <w:rsid w:val="00AD7F68"/>
    <w:rsid w:val="00AE00A8"/>
    <w:rsid w:val="00AE03C9"/>
    <w:rsid w:val="00AE200C"/>
    <w:rsid w:val="00AE274C"/>
    <w:rsid w:val="00AE2B4C"/>
    <w:rsid w:val="00AE4B9D"/>
    <w:rsid w:val="00AE67DE"/>
    <w:rsid w:val="00AE697E"/>
    <w:rsid w:val="00AE6DB1"/>
    <w:rsid w:val="00AE70A3"/>
    <w:rsid w:val="00AE75C2"/>
    <w:rsid w:val="00AE7DCA"/>
    <w:rsid w:val="00AF3F4B"/>
    <w:rsid w:val="00AF4331"/>
    <w:rsid w:val="00B00B63"/>
    <w:rsid w:val="00B04E62"/>
    <w:rsid w:val="00B05FDA"/>
    <w:rsid w:val="00B11287"/>
    <w:rsid w:val="00B13E14"/>
    <w:rsid w:val="00B150FB"/>
    <w:rsid w:val="00B1644E"/>
    <w:rsid w:val="00B172D9"/>
    <w:rsid w:val="00B21369"/>
    <w:rsid w:val="00B23859"/>
    <w:rsid w:val="00B26651"/>
    <w:rsid w:val="00B26903"/>
    <w:rsid w:val="00B26EA9"/>
    <w:rsid w:val="00B32072"/>
    <w:rsid w:val="00B324C2"/>
    <w:rsid w:val="00B32714"/>
    <w:rsid w:val="00B32FBF"/>
    <w:rsid w:val="00B331B9"/>
    <w:rsid w:val="00B33E12"/>
    <w:rsid w:val="00B34D38"/>
    <w:rsid w:val="00B40B52"/>
    <w:rsid w:val="00B41A8D"/>
    <w:rsid w:val="00B42387"/>
    <w:rsid w:val="00B43831"/>
    <w:rsid w:val="00B43CEC"/>
    <w:rsid w:val="00B4428A"/>
    <w:rsid w:val="00B44949"/>
    <w:rsid w:val="00B46C34"/>
    <w:rsid w:val="00B47106"/>
    <w:rsid w:val="00B5042C"/>
    <w:rsid w:val="00B52317"/>
    <w:rsid w:val="00B5300E"/>
    <w:rsid w:val="00B53634"/>
    <w:rsid w:val="00B55A82"/>
    <w:rsid w:val="00B6007A"/>
    <w:rsid w:val="00B600B5"/>
    <w:rsid w:val="00B60BB0"/>
    <w:rsid w:val="00B61200"/>
    <w:rsid w:val="00B61854"/>
    <w:rsid w:val="00B631E0"/>
    <w:rsid w:val="00B6400C"/>
    <w:rsid w:val="00B6494E"/>
    <w:rsid w:val="00B65519"/>
    <w:rsid w:val="00B672B8"/>
    <w:rsid w:val="00B6749A"/>
    <w:rsid w:val="00B70046"/>
    <w:rsid w:val="00B720CC"/>
    <w:rsid w:val="00B72DAF"/>
    <w:rsid w:val="00B73D68"/>
    <w:rsid w:val="00B807C1"/>
    <w:rsid w:val="00B80907"/>
    <w:rsid w:val="00B81DDD"/>
    <w:rsid w:val="00B82B63"/>
    <w:rsid w:val="00B82E67"/>
    <w:rsid w:val="00B83D68"/>
    <w:rsid w:val="00B86804"/>
    <w:rsid w:val="00B90245"/>
    <w:rsid w:val="00B92E4C"/>
    <w:rsid w:val="00B92F5D"/>
    <w:rsid w:val="00B935B0"/>
    <w:rsid w:val="00B950DF"/>
    <w:rsid w:val="00B97DB9"/>
    <w:rsid w:val="00BA1FE9"/>
    <w:rsid w:val="00BA478E"/>
    <w:rsid w:val="00BA5B74"/>
    <w:rsid w:val="00BA6E43"/>
    <w:rsid w:val="00BA706E"/>
    <w:rsid w:val="00BA7524"/>
    <w:rsid w:val="00BA7DD1"/>
    <w:rsid w:val="00BB479B"/>
    <w:rsid w:val="00BB619E"/>
    <w:rsid w:val="00BB79D2"/>
    <w:rsid w:val="00BC1C23"/>
    <w:rsid w:val="00BC1D61"/>
    <w:rsid w:val="00BC2078"/>
    <w:rsid w:val="00BC3BCA"/>
    <w:rsid w:val="00BC58E2"/>
    <w:rsid w:val="00BC67C3"/>
    <w:rsid w:val="00BC7066"/>
    <w:rsid w:val="00BD05DB"/>
    <w:rsid w:val="00BD3B25"/>
    <w:rsid w:val="00BD5EB3"/>
    <w:rsid w:val="00BE0F00"/>
    <w:rsid w:val="00BE2014"/>
    <w:rsid w:val="00BE3007"/>
    <w:rsid w:val="00BE3935"/>
    <w:rsid w:val="00BE553A"/>
    <w:rsid w:val="00BE57BC"/>
    <w:rsid w:val="00BE5E2D"/>
    <w:rsid w:val="00BF015E"/>
    <w:rsid w:val="00BF3316"/>
    <w:rsid w:val="00BF6738"/>
    <w:rsid w:val="00BF6A4C"/>
    <w:rsid w:val="00BF6FDF"/>
    <w:rsid w:val="00C00A1F"/>
    <w:rsid w:val="00C01DB8"/>
    <w:rsid w:val="00C02635"/>
    <w:rsid w:val="00C05715"/>
    <w:rsid w:val="00C05752"/>
    <w:rsid w:val="00C05DD9"/>
    <w:rsid w:val="00C060A2"/>
    <w:rsid w:val="00C0636C"/>
    <w:rsid w:val="00C111B8"/>
    <w:rsid w:val="00C12B58"/>
    <w:rsid w:val="00C13A68"/>
    <w:rsid w:val="00C14792"/>
    <w:rsid w:val="00C1554F"/>
    <w:rsid w:val="00C15A6E"/>
    <w:rsid w:val="00C166A6"/>
    <w:rsid w:val="00C209D2"/>
    <w:rsid w:val="00C2192A"/>
    <w:rsid w:val="00C21D76"/>
    <w:rsid w:val="00C22BE1"/>
    <w:rsid w:val="00C23017"/>
    <w:rsid w:val="00C245F8"/>
    <w:rsid w:val="00C266BA"/>
    <w:rsid w:val="00C26AB2"/>
    <w:rsid w:val="00C3185B"/>
    <w:rsid w:val="00C3587A"/>
    <w:rsid w:val="00C3657D"/>
    <w:rsid w:val="00C36BC1"/>
    <w:rsid w:val="00C373DC"/>
    <w:rsid w:val="00C4034B"/>
    <w:rsid w:val="00C4088A"/>
    <w:rsid w:val="00C411DA"/>
    <w:rsid w:val="00C41A07"/>
    <w:rsid w:val="00C4671E"/>
    <w:rsid w:val="00C46F9E"/>
    <w:rsid w:val="00C50A9B"/>
    <w:rsid w:val="00C526CB"/>
    <w:rsid w:val="00C53EFD"/>
    <w:rsid w:val="00C57E07"/>
    <w:rsid w:val="00C603C4"/>
    <w:rsid w:val="00C632C8"/>
    <w:rsid w:val="00C65908"/>
    <w:rsid w:val="00C67018"/>
    <w:rsid w:val="00C67118"/>
    <w:rsid w:val="00C70560"/>
    <w:rsid w:val="00C70DB7"/>
    <w:rsid w:val="00C72B62"/>
    <w:rsid w:val="00C734D6"/>
    <w:rsid w:val="00C74A41"/>
    <w:rsid w:val="00C74FA2"/>
    <w:rsid w:val="00C8056E"/>
    <w:rsid w:val="00C8124F"/>
    <w:rsid w:val="00C835DA"/>
    <w:rsid w:val="00C904CD"/>
    <w:rsid w:val="00C91944"/>
    <w:rsid w:val="00C93E3A"/>
    <w:rsid w:val="00C965C4"/>
    <w:rsid w:val="00CA298E"/>
    <w:rsid w:val="00CA59FF"/>
    <w:rsid w:val="00CA6180"/>
    <w:rsid w:val="00CA6190"/>
    <w:rsid w:val="00CB2A27"/>
    <w:rsid w:val="00CB2B41"/>
    <w:rsid w:val="00CB3AB0"/>
    <w:rsid w:val="00CB3BDC"/>
    <w:rsid w:val="00CB7728"/>
    <w:rsid w:val="00CC0E92"/>
    <w:rsid w:val="00CC4793"/>
    <w:rsid w:val="00CC5097"/>
    <w:rsid w:val="00CC6924"/>
    <w:rsid w:val="00CC7816"/>
    <w:rsid w:val="00CD2EBE"/>
    <w:rsid w:val="00CD5BFB"/>
    <w:rsid w:val="00CE036A"/>
    <w:rsid w:val="00CE36C1"/>
    <w:rsid w:val="00CE4CB6"/>
    <w:rsid w:val="00CE5E55"/>
    <w:rsid w:val="00CE7D1C"/>
    <w:rsid w:val="00CF1CCC"/>
    <w:rsid w:val="00CF2D6D"/>
    <w:rsid w:val="00CF5165"/>
    <w:rsid w:val="00CF6F7C"/>
    <w:rsid w:val="00CF7A7D"/>
    <w:rsid w:val="00D028B6"/>
    <w:rsid w:val="00D03D89"/>
    <w:rsid w:val="00D045B4"/>
    <w:rsid w:val="00D05642"/>
    <w:rsid w:val="00D06339"/>
    <w:rsid w:val="00D106E4"/>
    <w:rsid w:val="00D113AA"/>
    <w:rsid w:val="00D1184B"/>
    <w:rsid w:val="00D167AF"/>
    <w:rsid w:val="00D16D9A"/>
    <w:rsid w:val="00D16FEB"/>
    <w:rsid w:val="00D17544"/>
    <w:rsid w:val="00D176CE"/>
    <w:rsid w:val="00D20755"/>
    <w:rsid w:val="00D22D44"/>
    <w:rsid w:val="00D24836"/>
    <w:rsid w:val="00D24D0B"/>
    <w:rsid w:val="00D2643D"/>
    <w:rsid w:val="00D26EF9"/>
    <w:rsid w:val="00D2745A"/>
    <w:rsid w:val="00D30120"/>
    <w:rsid w:val="00D306F2"/>
    <w:rsid w:val="00D3424C"/>
    <w:rsid w:val="00D347DE"/>
    <w:rsid w:val="00D34818"/>
    <w:rsid w:val="00D3517C"/>
    <w:rsid w:val="00D35F70"/>
    <w:rsid w:val="00D36E93"/>
    <w:rsid w:val="00D370C0"/>
    <w:rsid w:val="00D37448"/>
    <w:rsid w:val="00D37CB3"/>
    <w:rsid w:val="00D40148"/>
    <w:rsid w:val="00D4031F"/>
    <w:rsid w:val="00D413D3"/>
    <w:rsid w:val="00D4158B"/>
    <w:rsid w:val="00D421D7"/>
    <w:rsid w:val="00D432A2"/>
    <w:rsid w:val="00D4355F"/>
    <w:rsid w:val="00D43752"/>
    <w:rsid w:val="00D440D5"/>
    <w:rsid w:val="00D45446"/>
    <w:rsid w:val="00D4544B"/>
    <w:rsid w:val="00D45DE8"/>
    <w:rsid w:val="00D47220"/>
    <w:rsid w:val="00D47AC9"/>
    <w:rsid w:val="00D50295"/>
    <w:rsid w:val="00D5035E"/>
    <w:rsid w:val="00D525C3"/>
    <w:rsid w:val="00D53ED5"/>
    <w:rsid w:val="00D54CAF"/>
    <w:rsid w:val="00D609E4"/>
    <w:rsid w:val="00D60A9E"/>
    <w:rsid w:val="00D72CC1"/>
    <w:rsid w:val="00D74998"/>
    <w:rsid w:val="00D75E3F"/>
    <w:rsid w:val="00D75F98"/>
    <w:rsid w:val="00D75FD9"/>
    <w:rsid w:val="00D76ED2"/>
    <w:rsid w:val="00D77B90"/>
    <w:rsid w:val="00D77CB3"/>
    <w:rsid w:val="00D81063"/>
    <w:rsid w:val="00D81A8B"/>
    <w:rsid w:val="00D834E4"/>
    <w:rsid w:val="00D855C6"/>
    <w:rsid w:val="00D859CD"/>
    <w:rsid w:val="00D877F7"/>
    <w:rsid w:val="00D90B88"/>
    <w:rsid w:val="00D92209"/>
    <w:rsid w:val="00D92516"/>
    <w:rsid w:val="00D947C3"/>
    <w:rsid w:val="00D95184"/>
    <w:rsid w:val="00D97A4D"/>
    <w:rsid w:val="00DA32FB"/>
    <w:rsid w:val="00DA3BED"/>
    <w:rsid w:val="00DA3C4A"/>
    <w:rsid w:val="00DA3FC8"/>
    <w:rsid w:val="00DA4515"/>
    <w:rsid w:val="00DA6E4E"/>
    <w:rsid w:val="00DB0BF9"/>
    <w:rsid w:val="00DB1B80"/>
    <w:rsid w:val="00DB7594"/>
    <w:rsid w:val="00DC17E8"/>
    <w:rsid w:val="00DC181E"/>
    <w:rsid w:val="00DC2100"/>
    <w:rsid w:val="00DC4D05"/>
    <w:rsid w:val="00DC4FEE"/>
    <w:rsid w:val="00DC7D4F"/>
    <w:rsid w:val="00DD2184"/>
    <w:rsid w:val="00DD4A6D"/>
    <w:rsid w:val="00DD5324"/>
    <w:rsid w:val="00DD7FB9"/>
    <w:rsid w:val="00DE06F7"/>
    <w:rsid w:val="00DE13ED"/>
    <w:rsid w:val="00DE2285"/>
    <w:rsid w:val="00DE3EE4"/>
    <w:rsid w:val="00DE40B6"/>
    <w:rsid w:val="00DE5530"/>
    <w:rsid w:val="00DE6AEF"/>
    <w:rsid w:val="00DF2316"/>
    <w:rsid w:val="00DF3233"/>
    <w:rsid w:val="00DF469D"/>
    <w:rsid w:val="00DF4B19"/>
    <w:rsid w:val="00DF4F96"/>
    <w:rsid w:val="00DF532C"/>
    <w:rsid w:val="00DF6397"/>
    <w:rsid w:val="00E00932"/>
    <w:rsid w:val="00E05B4A"/>
    <w:rsid w:val="00E06DA4"/>
    <w:rsid w:val="00E07FD4"/>
    <w:rsid w:val="00E103A7"/>
    <w:rsid w:val="00E107B5"/>
    <w:rsid w:val="00E169A0"/>
    <w:rsid w:val="00E2033D"/>
    <w:rsid w:val="00E21952"/>
    <w:rsid w:val="00E25BFF"/>
    <w:rsid w:val="00E26B43"/>
    <w:rsid w:val="00E307A3"/>
    <w:rsid w:val="00E307AB"/>
    <w:rsid w:val="00E30C1B"/>
    <w:rsid w:val="00E31C92"/>
    <w:rsid w:val="00E33483"/>
    <w:rsid w:val="00E334C5"/>
    <w:rsid w:val="00E34E77"/>
    <w:rsid w:val="00E36D56"/>
    <w:rsid w:val="00E378BA"/>
    <w:rsid w:val="00E40128"/>
    <w:rsid w:val="00E40758"/>
    <w:rsid w:val="00E412ED"/>
    <w:rsid w:val="00E42848"/>
    <w:rsid w:val="00E43191"/>
    <w:rsid w:val="00E43910"/>
    <w:rsid w:val="00E4435C"/>
    <w:rsid w:val="00E4668E"/>
    <w:rsid w:val="00E47CA9"/>
    <w:rsid w:val="00E50D81"/>
    <w:rsid w:val="00E54D3F"/>
    <w:rsid w:val="00E55DCE"/>
    <w:rsid w:val="00E61B82"/>
    <w:rsid w:val="00E6239A"/>
    <w:rsid w:val="00E6366E"/>
    <w:rsid w:val="00E6780A"/>
    <w:rsid w:val="00E71477"/>
    <w:rsid w:val="00E721DA"/>
    <w:rsid w:val="00E7222B"/>
    <w:rsid w:val="00E72346"/>
    <w:rsid w:val="00E73BBB"/>
    <w:rsid w:val="00E76A35"/>
    <w:rsid w:val="00E77D34"/>
    <w:rsid w:val="00E81AF7"/>
    <w:rsid w:val="00E85C71"/>
    <w:rsid w:val="00E86E56"/>
    <w:rsid w:val="00E873D1"/>
    <w:rsid w:val="00E8751B"/>
    <w:rsid w:val="00E92B0A"/>
    <w:rsid w:val="00E9495A"/>
    <w:rsid w:val="00E94DA3"/>
    <w:rsid w:val="00EA1340"/>
    <w:rsid w:val="00EA1C43"/>
    <w:rsid w:val="00EA255B"/>
    <w:rsid w:val="00EA397D"/>
    <w:rsid w:val="00EA3CE3"/>
    <w:rsid w:val="00EA5028"/>
    <w:rsid w:val="00EA532B"/>
    <w:rsid w:val="00EA6601"/>
    <w:rsid w:val="00EA7E2E"/>
    <w:rsid w:val="00EA7E7E"/>
    <w:rsid w:val="00EB053A"/>
    <w:rsid w:val="00EB36EC"/>
    <w:rsid w:val="00EB41BD"/>
    <w:rsid w:val="00EB4214"/>
    <w:rsid w:val="00EB442D"/>
    <w:rsid w:val="00EB461D"/>
    <w:rsid w:val="00EB651F"/>
    <w:rsid w:val="00EB660B"/>
    <w:rsid w:val="00EB6EBE"/>
    <w:rsid w:val="00EC01E4"/>
    <w:rsid w:val="00EC0B09"/>
    <w:rsid w:val="00EC164E"/>
    <w:rsid w:val="00EC1754"/>
    <w:rsid w:val="00EC3139"/>
    <w:rsid w:val="00EC46A3"/>
    <w:rsid w:val="00EC5278"/>
    <w:rsid w:val="00EC653F"/>
    <w:rsid w:val="00EC71C0"/>
    <w:rsid w:val="00EC72DE"/>
    <w:rsid w:val="00ED04B6"/>
    <w:rsid w:val="00ED4A3D"/>
    <w:rsid w:val="00ED4B4D"/>
    <w:rsid w:val="00ED59CF"/>
    <w:rsid w:val="00ED6841"/>
    <w:rsid w:val="00ED7399"/>
    <w:rsid w:val="00EE05B5"/>
    <w:rsid w:val="00EE0FB0"/>
    <w:rsid w:val="00EF01A2"/>
    <w:rsid w:val="00EF0BA2"/>
    <w:rsid w:val="00EF0CBB"/>
    <w:rsid w:val="00EF17CD"/>
    <w:rsid w:val="00EF1958"/>
    <w:rsid w:val="00EF2630"/>
    <w:rsid w:val="00EF44DC"/>
    <w:rsid w:val="00EF5EB8"/>
    <w:rsid w:val="00F00B45"/>
    <w:rsid w:val="00F01907"/>
    <w:rsid w:val="00F03C8F"/>
    <w:rsid w:val="00F044CC"/>
    <w:rsid w:val="00F045E2"/>
    <w:rsid w:val="00F04E77"/>
    <w:rsid w:val="00F05EF1"/>
    <w:rsid w:val="00F07127"/>
    <w:rsid w:val="00F10E54"/>
    <w:rsid w:val="00F11C3E"/>
    <w:rsid w:val="00F16F93"/>
    <w:rsid w:val="00F22B9E"/>
    <w:rsid w:val="00F22E6B"/>
    <w:rsid w:val="00F25022"/>
    <w:rsid w:val="00F2590A"/>
    <w:rsid w:val="00F30EEF"/>
    <w:rsid w:val="00F312C8"/>
    <w:rsid w:val="00F31D05"/>
    <w:rsid w:val="00F32F3A"/>
    <w:rsid w:val="00F33AF8"/>
    <w:rsid w:val="00F33F7B"/>
    <w:rsid w:val="00F3516F"/>
    <w:rsid w:val="00F35A75"/>
    <w:rsid w:val="00F36315"/>
    <w:rsid w:val="00F370E1"/>
    <w:rsid w:val="00F37D58"/>
    <w:rsid w:val="00F37D62"/>
    <w:rsid w:val="00F41E66"/>
    <w:rsid w:val="00F42815"/>
    <w:rsid w:val="00F44418"/>
    <w:rsid w:val="00F44802"/>
    <w:rsid w:val="00F44CE5"/>
    <w:rsid w:val="00F450D4"/>
    <w:rsid w:val="00F47F33"/>
    <w:rsid w:val="00F51BA8"/>
    <w:rsid w:val="00F53BF3"/>
    <w:rsid w:val="00F53E11"/>
    <w:rsid w:val="00F55FF8"/>
    <w:rsid w:val="00F56452"/>
    <w:rsid w:val="00F56C5D"/>
    <w:rsid w:val="00F575D7"/>
    <w:rsid w:val="00F60ECC"/>
    <w:rsid w:val="00F62B7F"/>
    <w:rsid w:val="00F63D0F"/>
    <w:rsid w:val="00F7093A"/>
    <w:rsid w:val="00F70E25"/>
    <w:rsid w:val="00F718A0"/>
    <w:rsid w:val="00F72A30"/>
    <w:rsid w:val="00F74956"/>
    <w:rsid w:val="00F7507F"/>
    <w:rsid w:val="00F75239"/>
    <w:rsid w:val="00F775D3"/>
    <w:rsid w:val="00F8007C"/>
    <w:rsid w:val="00F80B9B"/>
    <w:rsid w:val="00F80EF6"/>
    <w:rsid w:val="00F813D9"/>
    <w:rsid w:val="00F82719"/>
    <w:rsid w:val="00F8339D"/>
    <w:rsid w:val="00F833E0"/>
    <w:rsid w:val="00F8358A"/>
    <w:rsid w:val="00F8498E"/>
    <w:rsid w:val="00F86F1D"/>
    <w:rsid w:val="00F87C81"/>
    <w:rsid w:val="00F90D03"/>
    <w:rsid w:val="00F918F8"/>
    <w:rsid w:val="00F9246B"/>
    <w:rsid w:val="00F92CFA"/>
    <w:rsid w:val="00F95909"/>
    <w:rsid w:val="00FA0825"/>
    <w:rsid w:val="00FA2969"/>
    <w:rsid w:val="00FA3753"/>
    <w:rsid w:val="00FA533B"/>
    <w:rsid w:val="00FA6B87"/>
    <w:rsid w:val="00FB064D"/>
    <w:rsid w:val="00FB0D7C"/>
    <w:rsid w:val="00FB0E35"/>
    <w:rsid w:val="00FB1C54"/>
    <w:rsid w:val="00FB77CD"/>
    <w:rsid w:val="00FC2BF3"/>
    <w:rsid w:val="00FC48AB"/>
    <w:rsid w:val="00FC680B"/>
    <w:rsid w:val="00FC6F08"/>
    <w:rsid w:val="00FC789B"/>
    <w:rsid w:val="00FD0265"/>
    <w:rsid w:val="00FD1023"/>
    <w:rsid w:val="00FD2A54"/>
    <w:rsid w:val="00FD3294"/>
    <w:rsid w:val="00FD3E8B"/>
    <w:rsid w:val="00FE06CA"/>
    <w:rsid w:val="00FE402B"/>
    <w:rsid w:val="00FE41EE"/>
    <w:rsid w:val="00FE421A"/>
    <w:rsid w:val="00FE486B"/>
    <w:rsid w:val="00FE4FF5"/>
    <w:rsid w:val="00FE5063"/>
    <w:rsid w:val="00FE61B5"/>
    <w:rsid w:val="00FE68F9"/>
    <w:rsid w:val="00FE7B78"/>
    <w:rsid w:val="00FE7E08"/>
    <w:rsid w:val="00FF010A"/>
    <w:rsid w:val="00FF019C"/>
    <w:rsid w:val="00FF1140"/>
    <w:rsid w:val="00FF2B6C"/>
    <w:rsid w:val="00FF2DD3"/>
    <w:rsid w:val="00FF30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f1ee"/>
    </o:shapedefaults>
    <o:shapelayout v:ext="edit">
      <o:idmap v:ext="edit" data="1"/>
    </o:shapelayout>
  </w:shapeDefaults>
  <w:decimalSymbol w:val=","/>
  <w:listSeparator w:val=";"/>
  <w14:docId w14:val="6513FB6F"/>
  <w15:docId w15:val="{81F8C7E1-2A94-4AEB-8E5A-85EDD432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F4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20632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0632B"/>
    <w:rPr>
      <w:rFonts w:ascii="Tahoma" w:hAnsi="Tahoma" w:cs="Tahoma"/>
      <w:sz w:val="16"/>
      <w:szCs w:val="16"/>
    </w:rPr>
  </w:style>
  <w:style w:type="paragraph" w:styleId="Odlomakpopisa">
    <w:name w:val="List Paragraph"/>
    <w:basedOn w:val="Normal"/>
    <w:uiPriority w:val="34"/>
    <w:qFormat/>
    <w:rsid w:val="009E2152"/>
    <w:pPr>
      <w:ind w:left="720"/>
      <w:contextualSpacing/>
    </w:pPr>
  </w:style>
  <w:style w:type="character" w:styleId="Hiperveza">
    <w:name w:val="Hyperlink"/>
    <w:basedOn w:val="Zadanifontodlomka"/>
    <w:uiPriority w:val="99"/>
    <w:unhideWhenUsed/>
    <w:rsid w:val="003D606B"/>
    <w:rPr>
      <w:color w:val="0563C1" w:themeColor="hyperlink"/>
      <w:u w:val="single"/>
    </w:rPr>
  </w:style>
  <w:style w:type="character" w:styleId="SlijeenaHiperveza">
    <w:name w:val="FollowedHyperlink"/>
    <w:basedOn w:val="Zadanifontodlomka"/>
    <w:uiPriority w:val="99"/>
    <w:semiHidden/>
    <w:unhideWhenUsed/>
    <w:rsid w:val="00AB2304"/>
    <w:rPr>
      <w:color w:val="954F72" w:themeColor="followedHyperlink"/>
      <w:u w:val="single"/>
    </w:rPr>
  </w:style>
  <w:style w:type="character" w:customStyle="1" w:styleId="Nerijeenospominjanje1">
    <w:name w:val="Neriješeno spominjanje1"/>
    <w:basedOn w:val="Zadanifontodlomka"/>
    <w:uiPriority w:val="99"/>
    <w:semiHidden/>
    <w:unhideWhenUsed/>
    <w:rsid w:val="00B1644E"/>
    <w:rPr>
      <w:color w:val="605E5C"/>
      <w:shd w:val="clear" w:color="auto" w:fill="E1DFDD"/>
    </w:rPr>
  </w:style>
  <w:style w:type="table" w:styleId="Reetkatablice">
    <w:name w:val="Table Grid"/>
    <w:basedOn w:val="Obinatablica"/>
    <w:uiPriority w:val="39"/>
    <w:rsid w:val="00723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9E4BE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E4BEF"/>
  </w:style>
  <w:style w:type="paragraph" w:styleId="Podnoje">
    <w:name w:val="footer"/>
    <w:basedOn w:val="Normal"/>
    <w:link w:val="PodnojeChar"/>
    <w:uiPriority w:val="99"/>
    <w:unhideWhenUsed/>
    <w:rsid w:val="009E4BE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E4BEF"/>
  </w:style>
  <w:style w:type="character" w:styleId="Tekstrezerviranogmjesta">
    <w:name w:val="Placeholder Text"/>
    <w:basedOn w:val="Zadanifontodlomka"/>
    <w:uiPriority w:val="99"/>
    <w:semiHidden/>
    <w:rsid w:val="00C3185B"/>
    <w:rPr>
      <w:color w:val="808080"/>
    </w:rPr>
  </w:style>
  <w:style w:type="character" w:customStyle="1" w:styleId="Nerijeenospominjanje2">
    <w:name w:val="Neriješeno spominjanje2"/>
    <w:basedOn w:val="Zadanifontodlomka"/>
    <w:uiPriority w:val="99"/>
    <w:semiHidden/>
    <w:unhideWhenUsed/>
    <w:rsid w:val="00CC7816"/>
    <w:rPr>
      <w:color w:val="605E5C"/>
      <w:shd w:val="clear" w:color="auto" w:fill="E1DFDD"/>
    </w:rPr>
  </w:style>
  <w:style w:type="character" w:styleId="Nerijeenospominjanje">
    <w:name w:val="Unresolved Mention"/>
    <w:basedOn w:val="Zadanifontodlomka"/>
    <w:uiPriority w:val="99"/>
    <w:semiHidden/>
    <w:unhideWhenUsed/>
    <w:rsid w:val="00C14792"/>
    <w:rPr>
      <w:color w:val="605E5C"/>
      <w:shd w:val="clear" w:color="auto" w:fill="E1DFDD"/>
    </w:rPr>
  </w:style>
  <w:style w:type="paragraph" w:styleId="Tekstfusnote">
    <w:name w:val="footnote text"/>
    <w:basedOn w:val="Normal"/>
    <w:link w:val="TekstfusnoteChar"/>
    <w:uiPriority w:val="99"/>
    <w:semiHidden/>
    <w:unhideWhenUsed/>
    <w:rsid w:val="000E7A82"/>
    <w:pPr>
      <w:spacing w:after="0" w:line="240" w:lineRule="auto"/>
    </w:pPr>
    <w:rPr>
      <w:sz w:val="20"/>
      <w:szCs w:val="20"/>
    </w:rPr>
  </w:style>
  <w:style w:type="character" w:customStyle="1" w:styleId="TekstfusnoteChar">
    <w:name w:val="Tekst fusnote Char"/>
    <w:basedOn w:val="Zadanifontodlomka"/>
    <w:link w:val="Tekstfusnote"/>
    <w:uiPriority w:val="99"/>
    <w:semiHidden/>
    <w:rsid w:val="000E7A82"/>
    <w:rPr>
      <w:sz w:val="20"/>
      <w:szCs w:val="20"/>
    </w:rPr>
  </w:style>
  <w:style w:type="character" w:styleId="Referencafusnote">
    <w:name w:val="footnote reference"/>
    <w:basedOn w:val="Zadanifontodlomka"/>
    <w:uiPriority w:val="99"/>
    <w:semiHidden/>
    <w:unhideWhenUsed/>
    <w:rsid w:val="000E7A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66057">
      <w:bodyDiv w:val="1"/>
      <w:marLeft w:val="0"/>
      <w:marRight w:val="0"/>
      <w:marTop w:val="0"/>
      <w:marBottom w:val="0"/>
      <w:divBdr>
        <w:top w:val="none" w:sz="0" w:space="0" w:color="auto"/>
        <w:left w:val="none" w:sz="0" w:space="0" w:color="auto"/>
        <w:bottom w:val="none" w:sz="0" w:space="0" w:color="auto"/>
        <w:right w:val="none" w:sz="0" w:space="0" w:color="auto"/>
      </w:divBdr>
    </w:div>
    <w:div w:id="122895721">
      <w:bodyDiv w:val="1"/>
      <w:marLeft w:val="0"/>
      <w:marRight w:val="0"/>
      <w:marTop w:val="0"/>
      <w:marBottom w:val="0"/>
      <w:divBdr>
        <w:top w:val="none" w:sz="0" w:space="0" w:color="auto"/>
        <w:left w:val="none" w:sz="0" w:space="0" w:color="auto"/>
        <w:bottom w:val="none" w:sz="0" w:space="0" w:color="auto"/>
        <w:right w:val="none" w:sz="0" w:space="0" w:color="auto"/>
      </w:divBdr>
    </w:div>
    <w:div w:id="308902842">
      <w:bodyDiv w:val="1"/>
      <w:marLeft w:val="0"/>
      <w:marRight w:val="0"/>
      <w:marTop w:val="0"/>
      <w:marBottom w:val="0"/>
      <w:divBdr>
        <w:top w:val="none" w:sz="0" w:space="0" w:color="auto"/>
        <w:left w:val="none" w:sz="0" w:space="0" w:color="auto"/>
        <w:bottom w:val="none" w:sz="0" w:space="0" w:color="auto"/>
        <w:right w:val="none" w:sz="0" w:space="0" w:color="auto"/>
      </w:divBdr>
    </w:div>
    <w:div w:id="379331354">
      <w:bodyDiv w:val="1"/>
      <w:marLeft w:val="0"/>
      <w:marRight w:val="0"/>
      <w:marTop w:val="0"/>
      <w:marBottom w:val="0"/>
      <w:divBdr>
        <w:top w:val="none" w:sz="0" w:space="0" w:color="auto"/>
        <w:left w:val="none" w:sz="0" w:space="0" w:color="auto"/>
        <w:bottom w:val="none" w:sz="0" w:space="0" w:color="auto"/>
        <w:right w:val="none" w:sz="0" w:space="0" w:color="auto"/>
      </w:divBdr>
    </w:div>
    <w:div w:id="395515997">
      <w:bodyDiv w:val="1"/>
      <w:marLeft w:val="0"/>
      <w:marRight w:val="0"/>
      <w:marTop w:val="0"/>
      <w:marBottom w:val="0"/>
      <w:divBdr>
        <w:top w:val="none" w:sz="0" w:space="0" w:color="auto"/>
        <w:left w:val="none" w:sz="0" w:space="0" w:color="auto"/>
        <w:bottom w:val="none" w:sz="0" w:space="0" w:color="auto"/>
        <w:right w:val="none" w:sz="0" w:space="0" w:color="auto"/>
      </w:divBdr>
    </w:div>
    <w:div w:id="595595305">
      <w:bodyDiv w:val="1"/>
      <w:marLeft w:val="0"/>
      <w:marRight w:val="0"/>
      <w:marTop w:val="0"/>
      <w:marBottom w:val="0"/>
      <w:divBdr>
        <w:top w:val="none" w:sz="0" w:space="0" w:color="auto"/>
        <w:left w:val="none" w:sz="0" w:space="0" w:color="auto"/>
        <w:bottom w:val="none" w:sz="0" w:space="0" w:color="auto"/>
        <w:right w:val="none" w:sz="0" w:space="0" w:color="auto"/>
      </w:divBdr>
    </w:div>
    <w:div w:id="610208067">
      <w:bodyDiv w:val="1"/>
      <w:marLeft w:val="0"/>
      <w:marRight w:val="0"/>
      <w:marTop w:val="0"/>
      <w:marBottom w:val="0"/>
      <w:divBdr>
        <w:top w:val="none" w:sz="0" w:space="0" w:color="auto"/>
        <w:left w:val="none" w:sz="0" w:space="0" w:color="auto"/>
        <w:bottom w:val="none" w:sz="0" w:space="0" w:color="auto"/>
        <w:right w:val="none" w:sz="0" w:space="0" w:color="auto"/>
      </w:divBdr>
    </w:div>
    <w:div w:id="688987093">
      <w:bodyDiv w:val="1"/>
      <w:marLeft w:val="0"/>
      <w:marRight w:val="0"/>
      <w:marTop w:val="0"/>
      <w:marBottom w:val="0"/>
      <w:divBdr>
        <w:top w:val="none" w:sz="0" w:space="0" w:color="auto"/>
        <w:left w:val="none" w:sz="0" w:space="0" w:color="auto"/>
        <w:bottom w:val="none" w:sz="0" w:space="0" w:color="auto"/>
        <w:right w:val="none" w:sz="0" w:space="0" w:color="auto"/>
      </w:divBdr>
    </w:div>
    <w:div w:id="839005598">
      <w:bodyDiv w:val="1"/>
      <w:marLeft w:val="0"/>
      <w:marRight w:val="0"/>
      <w:marTop w:val="0"/>
      <w:marBottom w:val="0"/>
      <w:divBdr>
        <w:top w:val="none" w:sz="0" w:space="0" w:color="auto"/>
        <w:left w:val="none" w:sz="0" w:space="0" w:color="auto"/>
        <w:bottom w:val="none" w:sz="0" w:space="0" w:color="auto"/>
        <w:right w:val="none" w:sz="0" w:space="0" w:color="auto"/>
      </w:divBdr>
      <w:divsChild>
        <w:div w:id="544172037">
          <w:marLeft w:val="547"/>
          <w:marRight w:val="0"/>
          <w:marTop w:val="0"/>
          <w:marBottom w:val="0"/>
          <w:divBdr>
            <w:top w:val="none" w:sz="0" w:space="0" w:color="auto"/>
            <w:left w:val="none" w:sz="0" w:space="0" w:color="auto"/>
            <w:bottom w:val="none" w:sz="0" w:space="0" w:color="auto"/>
            <w:right w:val="none" w:sz="0" w:space="0" w:color="auto"/>
          </w:divBdr>
        </w:div>
      </w:divsChild>
    </w:div>
    <w:div w:id="934945572">
      <w:bodyDiv w:val="1"/>
      <w:marLeft w:val="0"/>
      <w:marRight w:val="0"/>
      <w:marTop w:val="0"/>
      <w:marBottom w:val="0"/>
      <w:divBdr>
        <w:top w:val="none" w:sz="0" w:space="0" w:color="auto"/>
        <w:left w:val="none" w:sz="0" w:space="0" w:color="auto"/>
        <w:bottom w:val="none" w:sz="0" w:space="0" w:color="auto"/>
        <w:right w:val="none" w:sz="0" w:space="0" w:color="auto"/>
      </w:divBdr>
    </w:div>
    <w:div w:id="1053188557">
      <w:bodyDiv w:val="1"/>
      <w:marLeft w:val="0"/>
      <w:marRight w:val="0"/>
      <w:marTop w:val="0"/>
      <w:marBottom w:val="0"/>
      <w:divBdr>
        <w:top w:val="none" w:sz="0" w:space="0" w:color="auto"/>
        <w:left w:val="none" w:sz="0" w:space="0" w:color="auto"/>
        <w:bottom w:val="none" w:sz="0" w:space="0" w:color="auto"/>
        <w:right w:val="none" w:sz="0" w:space="0" w:color="auto"/>
      </w:divBdr>
    </w:div>
    <w:div w:id="1169249781">
      <w:bodyDiv w:val="1"/>
      <w:marLeft w:val="0"/>
      <w:marRight w:val="0"/>
      <w:marTop w:val="0"/>
      <w:marBottom w:val="0"/>
      <w:divBdr>
        <w:top w:val="none" w:sz="0" w:space="0" w:color="auto"/>
        <w:left w:val="none" w:sz="0" w:space="0" w:color="auto"/>
        <w:bottom w:val="none" w:sz="0" w:space="0" w:color="auto"/>
        <w:right w:val="none" w:sz="0" w:space="0" w:color="auto"/>
      </w:divBdr>
    </w:div>
    <w:div w:id="1407722873">
      <w:bodyDiv w:val="1"/>
      <w:marLeft w:val="0"/>
      <w:marRight w:val="0"/>
      <w:marTop w:val="0"/>
      <w:marBottom w:val="0"/>
      <w:divBdr>
        <w:top w:val="none" w:sz="0" w:space="0" w:color="auto"/>
        <w:left w:val="none" w:sz="0" w:space="0" w:color="auto"/>
        <w:bottom w:val="none" w:sz="0" w:space="0" w:color="auto"/>
        <w:right w:val="none" w:sz="0" w:space="0" w:color="auto"/>
      </w:divBdr>
    </w:div>
    <w:div w:id="1466775481">
      <w:bodyDiv w:val="1"/>
      <w:marLeft w:val="0"/>
      <w:marRight w:val="0"/>
      <w:marTop w:val="0"/>
      <w:marBottom w:val="0"/>
      <w:divBdr>
        <w:top w:val="none" w:sz="0" w:space="0" w:color="auto"/>
        <w:left w:val="none" w:sz="0" w:space="0" w:color="auto"/>
        <w:bottom w:val="none" w:sz="0" w:space="0" w:color="auto"/>
        <w:right w:val="none" w:sz="0" w:space="0" w:color="auto"/>
      </w:divBdr>
    </w:div>
    <w:div w:id="1474909540">
      <w:bodyDiv w:val="1"/>
      <w:marLeft w:val="0"/>
      <w:marRight w:val="0"/>
      <w:marTop w:val="0"/>
      <w:marBottom w:val="0"/>
      <w:divBdr>
        <w:top w:val="none" w:sz="0" w:space="0" w:color="auto"/>
        <w:left w:val="none" w:sz="0" w:space="0" w:color="auto"/>
        <w:bottom w:val="none" w:sz="0" w:space="0" w:color="auto"/>
        <w:right w:val="none" w:sz="0" w:space="0" w:color="auto"/>
      </w:divBdr>
      <w:divsChild>
        <w:div w:id="415057553">
          <w:marLeft w:val="547"/>
          <w:marRight w:val="0"/>
          <w:marTop w:val="0"/>
          <w:marBottom w:val="0"/>
          <w:divBdr>
            <w:top w:val="none" w:sz="0" w:space="0" w:color="auto"/>
            <w:left w:val="none" w:sz="0" w:space="0" w:color="auto"/>
            <w:bottom w:val="none" w:sz="0" w:space="0" w:color="auto"/>
            <w:right w:val="none" w:sz="0" w:space="0" w:color="auto"/>
          </w:divBdr>
        </w:div>
      </w:divsChild>
    </w:div>
    <w:div w:id="1479758498">
      <w:bodyDiv w:val="1"/>
      <w:marLeft w:val="0"/>
      <w:marRight w:val="0"/>
      <w:marTop w:val="0"/>
      <w:marBottom w:val="0"/>
      <w:divBdr>
        <w:top w:val="none" w:sz="0" w:space="0" w:color="auto"/>
        <w:left w:val="none" w:sz="0" w:space="0" w:color="auto"/>
        <w:bottom w:val="none" w:sz="0" w:space="0" w:color="auto"/>
        <w:right w:val="none" w:sz="0" w:space="0" w:color="auto"/>
      </w:divBdr>
    </w:div>
    <w:div w:id="1870145566">
      <w:bodyDiv w:val="1"/>
      <w:marLeft w:val="0"/>
      <w:marRight w:val="0"/>
      <w:marTop w:val="0"/>
      <w:marBottom w:val="0"/>
      <w:divBdr>
        <w:top w:val="none" w:sz="0" w:space="0" w:color="auto"/>
        <w:left w:val="none" w:sz="0" w:space="0" w:color="auto"/>
        <w:bottom w:val="none" w:sz="0" w:space="0" w:color="auto"/>
        <w:right w:val="none" w:sz="0" w:space="0" w:color="auto"/>
      </w:divBdr>
      <w:divsChild>
        <w:div w:id="211818417">
          <w:marLeft w:val="547"/>
          <w:marRight w:val="0"/>
          <w:marTop w:val="0"/>
          <w:marBottom w:val="0"/>
          <w:divBdr>
            <w:top w:val="none" w:sz="0" w:space="0" w:color="auto"/>
            <w:left w:val="none" w:sz="0" w:space="0" w:color="auto"/>
            <w:bottom w:val="none" w:sz="0" w:space="0" w:color="auto"/>
            <w:right w:val="none" w:sz="0" w:space="0" w:color="auto"/>
          </w:divBdr>
        </w:div>
      </w:divsChild>
    </w:div>
    <w:div w:id="1904289100">
      <w:bodyDiv w:val="1"/>
      <w:marLeft w:val="0"/>
      <w:marRight w:val="0"/>
      <w:marTop w:val="0"/>
      <w:marBottom w:val="0"/>
      <w:divBdr>
        <w:top w:val="none" w:sz="0" w:space="0" w:color="auto"/>
        <w:left w:val="none" w:sz="0" w:space="0" w:color="auto"/>
        <w:bottom w:val="none" w:sz="0" w:space="0" w:color="auto"/>
        <w:right w:val="none" w:sz="0" w:space="0" w:color="auto"/>
      </w:divBdr>
    </w:div>
    <w:div w:id="206918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hr-HR"/>
              <a:t>Prihodi i primici za 2025. godinu</a:t>
            </a:r>
          </a:p>
        </c:rich>
      </c:tx>
      <c:layout>
        <c:manualLayout>
          <c:xMode val="edge"/>
          <c:yMode val="edge"/>
          <c:x val="0.23085408833047283"/>
          <c:y val="2.4888888888888887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r-Latn-R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Prihodi</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A80-494A-892A-97E9D61FEE1D}"/>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A80-494A-892A-97E9D61FEE1D}"/>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A80-494A-892A-97E9D61FEE1D}"/>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7A80-494A-892A-97E9D61FEE1D}"/>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7A80-494A-892A-97E9D61FEE1D}"/>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28FA-4204-B204-37B7BC6CC85B}"/>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A878-46C6-8C5B-418758D83B06}"/>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A878-46C6-8C5B-418758D83B06}"/>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1-A878-46C6-8C5B-418758D83B0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List1!$A$2:$A$8</c:f>
              <c:strCache>
                <c:ptCount val="7"/>
                <c:pt idx="0">
                  <c:v>Prihodi od poreza</c:v>
                </c:pt>
                <c:pt idx="1">
                  <c:v>Pomoći iz inozemstva i od subjekata unutar općeg proračuna </c:v>
                </c:pt>
                <c:pt idx="2">
                  <c:v>Prihodi od imovine </c:v>
                </c:pt>
                <c:pt idx="3">
                  <c:v>Prihodi od upravnih i administrativnih pristojbi i pristojbi po posebnim propisima </c:v>
                </c:pt>
                <c:pt idx="4">
                  <c:v>Prihodi od prodaje proizvoda i robe te pruženih usluga ...</c:v>
                </c:pt>
                <c:pt idx="5">
                  <c:v>Prihodi od prodaje nefinancijske imovine</c:v>
                </c:pt>
                <c:pt idx="6">
                  <c:v>Višak preneseni iz prethodnih godina</c:v>
                </c:pt>
              </c:strCache>
            </c:strRef>
          </c:cat>
          <c:val>
            <c:numRef>
              <c:f>List1!$B$2:$B$8</c:f>
              <c:numCache>
                <c:formatCode>0.00</c:formatCode>
                <c:ptCount val="7"/>
                <c:pt idx="0">
                  <c:v>380000</c:v>
                </c:pt>
                <c:pt idx="1">
                  <c:v>1325714</c:v>
                </c:pt>
                <c:pt idx="2">
                  <c:v>35501</c:v>
                </c:pt>
                <c:pt idx="3">
                  <c:v>126700</c:v>
                </c:pt>
                <c:pt idx="4">
                  <c:v>1185</c:v>
                </c:pt>
                <c:pt idx="5">
                  <c:v>60900</c:v>
                </c:pt>
                <c:pt idx="6">
                  <c:v>150000</c:v>
                </c:pt>
              </c:numCache>
            </c:numRef>
          </c:val>
          <c:extLst>
            <c:ext xmlns:c16="http://schemas.microsoft.com/office/drawing/2014/chart" uri="{C3380CC4-5D6E-409C-BE32-E72D297353CC}">
              <c16:uniqueId val="{00000000-5E64-42AA-958A-4E7560D6210C}"/>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48782303227325"/>
          <c:y val="0.11978587109329011"/>
          <c:w val="0.33998890737659454"/>
          <c:h val="0.8288951881014873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hr-HR"/>
              <a:t>Izvor financiranja - prihodi i primici</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r-Latn-R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percentStacked"/>
        <c:varyColors val="0"/>
        <c:ser>
          <c:idx val="0"/>
          <c:order val="0"/>
          <c:tx>
            <c:strRef>
              <c:f>List1!$B$1</c:f>
              <c:strCache>
                <c:ptCount val="1"/>
                <c:pt idx="0">
                  <c:v>Prihodi</c:v>
                </c:pt>
              </c:strCache>
            </c:strRef>
          </c:tx>
          <c:spPr>
            <a:solidFill>
              <a:schemeClr val="accent1"/>
            </a:solidFill>
            <a:ln>
              <a:noFill/>
            </a:ln>
            <a:effectLst>
              <a:outerShdw blurRad="254000" sx="102000" sy="102000" algn="ctr" rotWithShape="0">
                <a:prstClr val="black">
                  <a:alpha val="20000"/>
                </a:prstClr>
              </a:outerShdw>
            </a:effectLst>
            <a:sp3d/>
          </c:spPr>
          <c:invertIfNegative val="0"/>
          <c:dPt>
            <c:idx val="0"/>
            <c:invertIfNegative val="0"/>
            <c:bubble3D val="0"/>
            <c:spPr>
              <a:solidFill>
                <a:srgbClr val="FFC00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60DE-4594-8222-69E6C842EC1C}"/>
              </c:ext>
            </c:extLst>
          </c:dPt>
          <c:dPt>
            <c:idx val="1"/>
            <c:invertIfNegative val="0"/>
            <c:bubble3D val="0"/>
            <c:spPr>
              <a:solidFill>
                <a:srgbClr val="00B05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60DE-4594-8222-69E6C842EC1C}"/>
              </c:ext>
            </c:extLst>
          </c:dPt>
          <c:dPt>
            <c:idx val="2"/>
            <c:invertIfNegative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60DE-4594-8222-69E6C842EC1C}"/>
              </c:ext>
            </c:extLst>
          </c:dPt>
          <c:dPt>
            <c:idx val="3"/>
            <c:invertIfNegative val="0"/>
            <c:bubble3D val="0"/>
            <c:spPr>
              <a:solidFill>
                <a:schemeClr val="bg2">
                  <a:lumMod val="5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60DE-4594-8222-69E6C842EC1C}"/>
              </c:ext>
            </c:extLst>
          </c:dPt>
          <c:dPt>
            <c:idx val="4"/>
            <c:invertIfNegative val="0"/>
            <c:bubble3D val="0"/>
            <c:spPr>
              <a:solidFill>
                <a:srgbClr val="C0000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60DE-4594-8222-69E6C842EC1C}"/>
              </c:ext>
            </c:extLst>
          </c:dPt>
          <c:dPt>
            <c:idx val="5"/>
            <c:invertIfNegative val="0"/>
            <c:bubble3D val="0"/>
            <c:spPr>
              <a:solidFill>
                <a:srgbClr val="7030A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60DE-4594-8222-69E6C842EC1C}"/>
              </c:ext>
            </c:extLst>
          </c:dPt>
          <c:dPt>
            <c:idx val="6"/>
            <c:invertIfNegative val="0"/>
            <c:bubble3D val="0"/>
            <c:spPr>
              <a:solidFill>
                <a:srgbClr val="FFFF0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60DE-4594-8222-69E6C842EC1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List1!$A$2:$A$7</c:f>
              <c:strCache>
                <c:ptCount val="6"/>
                <c:pt idx="0">
                  <c:v>Opći prihodi i primici</c:v>
                </c:pt>
                <c:pt idx="1">
                  <c:v>Pomoći proračunu iz drugih proračuna</c:v>
                </c:pt>
                <c:pt idx="2">
                  <c:v>Pomoći od međunarodnih organizacija i tijela EU</c:v>
                </c:pt>
                <c:pt idx="3">
                  <c:v>Ostali prihodi za posebne namjene</c:v>
                </c:pt>
                <c:pt idx="4">
                  <c:v>Vlastiti prihodi</c:v>
                </c:pt>
                <c:pt idx="5">
                  <c:v>Prihodi od prodaje nefinancijske imovine</c:v>
                </c:pt>
              </c:strCache>
            </c:strRef>
          </c:cat>
          <c:val>
            <c:numRef>
              <c:f>List1!$B$2:$B$7</c:f>
              <c:numCache>
                <c:formatCode>#,##0.00</c:formatCode>
                <c:ptCount val="6"/>
                <c:pt idx="0">
                  <c:v>968018</c:v>
                </c:pt>
                <c:pt idx="1">
                  <c:v>387101</c:v>
                </c:pt>
                <c:pt idx="2">
                  <c:v>540480</c:v>
                </c:pt>
                <c:pt idx="3">
                  <c:v>43500</c:v>
                </c:pt>
                <c:pt idx="4">
                  <c:v>80001</c:v>
                </c:pt>
                <c:pt idx="5">
                  <c:v>60900</c:v>
                </c:pt>
              </c:numCache>
            </c:numRef>
          </c:val>
          <c:extLst>
            <c:ext xmlns:c16="http://schemas.microsoft.com/office/drawing/2014/chart" uri="{C3380CC4-5D6E-409C-BE32-E72D297353CC}">
              <c16:uniqueId val="{0000000C-60DE-4594-8222-69E6C842EC1C}"/>
            </c:ext>
          </c:extLst>
        </c:ser>
        <c:dLbls>
          <c:showLegendKey val="0"/>
          <c:showVal val="0"/>
          <c:showCatName val="0"/>
          <c:showSerName val="0"/>
          <c:showPercent val="0"/>
          <c:showBubbleSize val="0"/>
        </c:dLbls>
        <c:gapWidth val="100"/>
        <c:shape val="box"/>
        <c:axId val="504594768"/>
        <c:axId val="571306928"/>
        <c:axId val="0"/>
      </c:bar3DChart>
      <c:catAx>
        <c:axId val="504594768"/>
        <c:scaling>
          <c:orientation val="minMax"/>
        </c:scaling>
        <c:delete val="0"/>
        <c:axPos val="l"/>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r-Latn-RS"/>
          </a:p>
        </c:txPr>
        <c:crossAx val="571306928"/>
        <c:crosses val="autoZero"/>
        <c:auto val="1"/>
        <c:lblAlgn val="ctr"/>
        <c:lblOffset val="100"/>
        <c:noMultiLvlLbl val="0"/>
      </c:catAx>
      <c:valAx>
        <c:axId val="571306928"/>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crossAx val="504594768"/>
        <c:crosses val="autoZero"/>
        <c:crossBetween val="between"/>
      </c:valAx>
      <c:spPr>
        <a:noFill/>
        <a:ln>
          <a:noFill/>
        </a:ln>
        <a:effectLst/>
      </c:spPr>
    </c:plotArea>
    <c:legend>
      <c:legendPos val="r"/>
      <c:layout>
        <c:manualLayout>
          <c:xMode val="edge"/>
          <c:yMode val="edge"/>
          <c:x val="0.648782303227325"/>
          <c:y val="0.11978587109329011"/>
          <c:w val="0.31618867941008211"/>
          <c:h val="0.7244486439195100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hr-HR"/>
              <a:t>Rashodi i izdaci za 2025. godinu</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r-Latn-R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4005820515958821"/>
          <c:y val="8.290928088965184E-2"/>
          <c:w val="0.45880600673708055"/>
          <c:h val="0.64700656452650573"/>
        </c:manualLayout>
      </c:layout>
      <c:pie3DChart>
        <c:varyColors val="1"/>
        <c:ser>
          <c:idx val="0"/>
          <c:order val="0"/>
          <c:tx>
            <c:strRef>
              <c:f>List1!$B$1</c:f>
              <c:strCache>
                <c:ptCount val="1"/>
                <c:pt idx="0">
                  <c:v>Prodaja</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94B-4638-B7DD-A95FB814553A}"/>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94B-4638-B7DD-A95FB814553A}"/>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B94B-4638-B7DD-A95FB814553A}"/>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B94B-4638-B7DD-A95FB814553A}"/>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B94B-4638-B7DD-A95FB814553A}"/>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B94B-4638-B7DD-A95FB814553A}"/>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B94B-4638-B7DD-A95FB814553A}"/>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8104-4E6F-B51E-F63D16F8AB38}"/>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104-4E6F-B51E-F63D16F8AB38}"/>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3-ECA7-448A-A7E9-B9D4997D9127}"/>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5-E98A-48B5-98F7-C43040C26471}"/>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7-E98A-48B5-98F7-C43040C26471}"/>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spPr xmlns:c15="http://schemas.microsoft.com/office/drawing/2012/chart">
                  <a:prstGeom prst="borderCallout2">
                    <a:avLst/>
                  </a:prstGeom>
                  <a:pattFill prst="pct75">
                    <a:fgClr>
                      <a:schemeClr val="dk1">
                        <a:lumMod val="75000"/>
                        <a:lumOff val="25000"/>
                      </a:schemeClr>
                    </a:fgClr>
                    <a:bgClr>
                      <a:schemeClr val="dk1">
                        <a:lumMod val="65000"/>
                        <a:lumOff val="35000"/>
                      </a:schemeClr>
                    </a:bgClr>
                  </a:pattFill>
                  <a:ln>
                    <a:noFill/>
                  </a:ln>
                </c15:spPr>
              </c:ext>
            </c:extLst>
          </c:dLbls>
          <c:cat>
            <c:strRef>
              <c:f>List1!$A$2:$A$10</c:f>
              <c:strCache>
                <c:ptCount val="9"/>
                <c:pt idx="0">
                  <c:v>Rashodi za zaposlene</c:v>
                </c:pt>
                <c:pt idx="1">
                  <c:v>Materijalni rashodi</c:v>
                </c:pt>
                <c:pt idx="2">
                  <c:v>Financijski rashodi</c:v>
                </c:pt>
                <c:pt idx="3">
                  <c:v>Pomoći dane u inozemstvo i unutar općeg proračun</c:v>
                </c:pt>
                <c:pt idx="4">
                  <c:v>Naknade građanima i kućanstvima na temelju osiguranja i druge naknade</c:v>
                </c:pt>
                <c:pt idx="5">
                  <c:v>Rashodi za donacije, kazne, naknade šteta i kapitalne pomoći</c:v>
                </c:pt>
                <c:pt idx="6">
                  <c:v>Rashodi za nabavu proizvedene dugotrajne imovine </c:v>
                </c:pt>
                <c:pt idx="7">
                  <c:v>Rashodi za dodatna ulaganja na nefinancijskoj imovini</c:v>
                </c:pt>
                <c:pt idx="8">
                  <c:v>Izdaci za otplatu glavnice primljenih kredita i zajmova</c:v>
                </c:pt>
              </c:strCache>
            </c:strRef>
          </c:cat>
          <c:val>
            <c:numRef>
              <c:f>List1!$B$2:$B$10</c:f>
              <c:numCache>
                <c:formatCode>0.00</c:formatCode>
                <c:ptCount val="9"/>
                <c:pt idx="0">
                  <c:v>335450</c:v>
                </c:pt>
                <c:pt idx="1">
                  <c:v>569250</c:v>
                </c:pt>
                <c:pt idx="2">
                  <c:v>2000</c:v>
                </c:pt>
                <c:pt idx="3">
                  <c:v>23900</c:v>
                </c:pt>
                <c:pt idx="4">
                  <c:v>23130</c:v>
                </c:pt>
                <c:pt idx="5">
                  <c:v>103970</c:v>
                </c:pt>
                <c:pt idx="6">
                  <c:v>264100</c:v>
                </c:pt>
                <c:pt idx="7">
                  <c:v>757200</c:v>
                </c:pt>
                <c:pt idx="8">
                  <c:v>1000</c:v>
                </c:pt>
              </c:numCache>
            </c:numRef>
          </c:val>
          <c:extLst>
            <c:ext xmlns:c16="http://schemas.microsoft.com/office/drawing/2014/chart" uri="{C3380CC4-5D6E-409C-BE32-E72D297353CC}">
              <c16:uniqueId val="{00000000-8104-4E6F-B51E-F63D16F8AB38}"/>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3.9557386932850984E-2"/>
          <c:y val="0.10382754288415372"/>
          <c:w val="0.40147924514617012"/>
          <c:h val="0.7634352104091253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hr-HR"/>
              <a:t>Izvor financiranja - rashodi</a:t>
            </a:r>
            <a:r>
              <a:rPr lang="hr-HR" baseline="0"/>
              <a:t> i izdaci</a:t>
            </a:r>
            <a:endParaRPr lang="hr-HR"/>
          </a:p>
        </c:rich>
      </c:tx>
      <c:layout>
        <c:manualLayout>
          <c:xMode val="edge"/>
          <c:yMode val="edge"/>
          <c:x val="0.22484747642817526"/>
          <c:y val="2.1333333333333333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r-Latn-R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percentStacked"/>
        <c:varyColors val="0"/>
        <c:ser>
          <c:idx val="0"/>
          <c:order val="0"/>
          <c:tx>
            <c:strRef>
              <c:f>List1!$B$1</c:f>
              <c:strCache>
                <c:ptCount val="1"/>
                <c:pt idx="0">
                  <c:v>Rashodi i izdaci</c:v>
                </c:pt>
              </c:strCache>
            </c:strRef>
          </c:tx>
          <c:spPr>
            <a:solidFill>
              <a:schemeClr val="accent1"/>
            </a:solidFill>
            <a:ln>
              <a:noFill/>
            </a:ln>
            <a:effectLst>
              <a:outerShdw blurRad="254000" sx="102000" sy="102000" algn="ctr" rotWithShape="0">
                <a:prstClr val="black">
                  <a:alpha val="20000"/>
                </a:prstClr>
              </a:outerShdw>
            </a:effectLst>
            <a:sp3d/>
          </c:spPr>
          <c:invertIfNegative val="0"/>
          <c:dPt>
            <c:idx val="0"/>
            <c:invertIfNegative val="0"/>
            <c:bubble3D val="0"/>
            <c:spPr>
              <a:solidFill>
                <a:srgbClr val="FFC00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F492-4175-93F4-83AEE774AC4F}"/>
              </c:ext>
            </c:extLst>
          </c:dPt>
          <c:dPt>
            <c:idx val="1"/>
            <c:invertIfNegative val="0"/>
            <c:bubble3D val="0"/>
            <c:spPr>
              <a:solidFill>
                <a:srgbClr val="00B05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F492-4175-93F4-83AEE774AC4F}"/>
              </c:ext>
            </c:extLst>
          </c:dPt>
          <c:dPt>
            <c:idx val="2"/>
            <c:invertIfNegative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F492-4175-93F4-83AEE774AC4F}"/>
              </c:ext>
            </c:extLst>
          </c:dPt>
          <c:dPt>
            <c:idx val="3"/>
            <c:invertIfNegative val="0"/>
            <c:bubble3D val="0"/>
            <c:spPr>
              <a:solidFill>
                <a:srgbClr val="C0000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F492-4175-93F4-83AEE774AC4F}"/>
              </c:ext>
            </c:extLst>
          </c:dPt>
          <c:dPt>
            <c:idx val="4"/>
            <c:invertIfNegative val="0"/>
            <c:bubble3D val="0"/>
            <c:spPr>
              <a:solidFill>
                <a:schemeClr val="bg2">
                  <a:lumMod val="5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F492-4175-93F4-83AEE774AC4F}"/>
              </c:ext>
            </c:extLst>
          </c:dPt>
          <c:dPt>
            <c:idx val="5"/>
            <c:invertIfNegative val="0"/>
            <c:bubble3D val="0"/>
            <c:spPr>
              <a:solidFill>
                <a:srgbClr val="7030A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F492-4175-93F4-83AEE774AC4F}"/>
              </c:ext>
            </c:extLst>
          </c:dPt>
          <c:dPt>
            <c:idx val="6"/>
            <c:invertIfNegative val="0"/>
            <c:bubble3D val="0"/>
            <c:spPr>
              <a:solidFill>
                <a:srgbClr val="FFFF0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F492-4175-93F4-83AEE774AC4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List1!$A$2:$A$7</c:f>
              <c:strCache>
                <c:ptCount val="6"/>
                <c:pt idx="0">
                  <c:v>Opći prihodi i primici</c:v>
                </c:pt>
                <c:pt idx="1">
                  <c:v>Vlastiti prihodi</c:v>
                </c:pt>
                <c:pt idx="2">
                  <c:v>Ostali prihodi za posebne namjene</c:v>
                </c:pt>
                <c:pt idx="3">
                  <c:v>Pomoći proračunu iz drugih proračuna</c:v>
                </c:pt>
                <c:pt idx="4">
                  <c:v>Pomoći od međunarodnih organizacija i tijela EU</c:v>
                </c:pt>
                <c:pt idx="5">
                  <c:v>Prihodi od prodaje nefinancijske imovine</c:v>
                </c:pt>
              </c:strCache>
            </c:strRef>
          </c:cat>
          <c:val>
            <c:numRef>
              <c:f>List1!$B$2:$B$7</c:f>
              <c:numCache>
                <c:formatCode>#,##0.00</c:formatCode>
                <c:ptCount val="6"/>
                <c:pt idx="0">
                  <c:v>968018</c:v>
                </c:pt>
                <c:pt idx="1">
                  <c:v>80001</c:v>
                </c:pt>
                <c:pt idx="2">
                  <c:v>43500</c:v>
                </c:pt>
                <c:pt idx="3">
                  <c:v>387101</c:v>
                </c:pt>
                <c:pt idx="4">
                  <c:v>540480</c:v>
                </c:pt>
                <c:pt idx="5">
                  <c:v>60900</c:v>
                </c:pt>
              </c:numCache>
            </c:numRef>
          </c:val>
          <c:extLst>
            <c:ext xmlns:c16="http://schemas.microsoft.com/office/drawing/2014/chart" uri="{C3380CC4-5D6E-409C-BE32-E72D297353CC}">
              <c16:uniqueId val="{0000000C-F492-4175-93F4-83AEE774AC4F}"/>
            </c:ext>
          </c:extLst>
        </c:ser>
        <c:dLbls>
          <c:showLegendKey val="0"/>
          <c:showVal val="0"/>
          <c:showCatName val="0"/>
          <c:showSerName val="0"/>
          <c:showPercent val="0"/>
          <c:showBubbleSize val="0"/>
        </c:dLbls>
        <c:gapWidth val="100"/>
        <c:shape val="box"/>
        <c:axId val="564497760"/>
        <c:axId val="571286592"/>
        <c:axId val="0"/>
      </c:bar3DChart>
      <c:catAx>
        <c:axId val="564497760"/>
        <c:scaling>
          <c:orientation val="minMax"/>
        </c:scaling>
        <c:delete val="0"/>
        <c:axPos val="l"/>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r-Latn-RS"/>
          </a:p>
        </c:txPr>
        <c:crossAx val="571286592"/>
        <c:crosses val="autoZero"/>
        <c:auto val="1"/>
        <c:lblAlgn val="ctr"/>
        <c:lblOffset val="100"/>
        <c:noMultiLvlLbl val="0"/>
      </c:catAx>
      <c:valAx>
        <c:axId val="57128659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crossAx val="564497760"/>
        <c:crosses val="autoZero"/>
        <c:crossBetween val="between"/>
      </c:valAx>
      <c:spPr>
        <a:noFill/>
        <a:ln>
          <a:noFill/>
        </a:ln>
        <a:effectLst/>
      </c:spPr>
    </c:plotArea>
    <c:legend>
      <c:legendPos val="r"/>
      <c:layout>
        <c:manualLayout>
          <c:xMode val="edge"/>
          <c:yMode val="edge"/>
          <c:x val="0.648782303227325"/>
          <c:y val="0.19800804899387578"/>
          <c:w val="0.31618867941008211"/>
          <c:h val="0.5182264216972878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B292B-B8E7-40D4-BA5A-4A0AB649A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12</Pages>
  <Words>2969</Words>
  <Characters>16929</Characters>
  <Application>Microsoft Office Word</Application>
  <DocSecurity>0</DocSecurity>
  <Lines>141</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Vodič za građane</vt:lpstr>
      <vt:lpstr/>
    </vt:vector>
  </TitlesOfParts>
  <Company>Hewlett-Packard</Company>
  <LinksUpToDate>false</LinksUpToDate>
  <CharactersWithSpaces>19859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Vodič za građane</dc:title>
  <dc:subject/>
  <dc:creator>MOBES</dc:creator>
  <cp:keywords/>
  <dc:description/>
  <cp:lastModifiedBy>Server</cp:lastModifiedBy>
  <cp:revision>37</cp:revision>
  <cp:lastPrinted>2023-12-19T13:17:00Z</cp:lastPrinted>
  <dcterms:created xsi:type="dcterms:W3CDTF">2024-12-05T11:50:00Z</dcterms:created>
  <dcterms:modified xsi:type="dcterms:W3CDTF">2024-12-06T09:12:00Z</dcterms:modified>
</cp:coreProperties>
</file>