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6ECAEB09" w14:textId="77777777" w:rsidTr="00B864AC">
        <w:trPr>
          <w:trHeight w:val="567"/>
        </w:trPr>
        <w:tc>
          <w:tcPr>
            <w:tcW w:w="9288" w:type="dxa"/>
            <w:gridSpan w:val="2"/>
          </w:tcPr>
          <w:p w14:paraId="1475304E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17EB97C6" w14:textId="77777777" w:rsidTr="00B864AC">
        <w:trPr>
          <w:trHeight w:val="547"/>
        </w:trPr>
        <w:tc>
          <w:tcPr>
            <w:tcW w:w="9288" w:type="dxa"/>
            <w:gridSpan w:val="2"/>
          </w:tcPr>
          <w:p w14:paraId="79A7BC2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2E9A54B" w14:textId="44D4E1B3" w:rsidR="00FE6B3D" w:rsidRDefault="007049FD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Odluke o </w:t>
            </w:r>
            <w:r w:rsidR="00D00EF4">
              <w:rPr>
                <w:rFonts w:ascii="Times New Roman" w:hAnsi="Times New Roman"/>
                <w:b/>
                <w:sz w:val="24"/>
                <w:szCs w:val="24"/>
              </w:rPr>
              <w:t xml:space="preserve">izmjenama Odluke o </w:t>
            </w:r>
            <w:r w:rsidR="0022487D">
              <w:rPr>
                <w:rFonts w:ascii="Times New Roman" w:hAnsi="Times New Roman"/>
                <w:b/>
                <w:sz w:val="24"/>
                <w:szCs w:val="24"/>
              </w:rPr>
              <w:t>općinskim porezima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Općine Gornja Rijeka</w:t>
            </w:r>
          </w:p>
          <w:p w14:paraId="4876FD98" w14:textId="77777777" w:rsidR="00FE6B3D" w:rsidRPr="00F36218" w:rsidRDefault="00FE6B3D" w:rsidP="00FE6B3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4AC" w:rsidRPr="00F36218" w14:paraId="2B8CFB00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42A3B74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7B7A5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704884DC" w14:textId="77777777" w:rsidTr="009F07ED">
        <w:trPr>
          <w:trHeight w:val="703"/>
        </w:trPr>
        <w:tc>
          <w:tcPr>
            <w:tcW w:w="4644" w:type="dxa"/>
          </w:tcPr>
          <w:p w14:paraId="5A860278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2199CC5" w14:textId="300394A5" w:rsidR="00345631" w:rsidRPr="00F36218" w:rsidRDefault="00876670" w:rsidP="0022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iječnja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0BA00FF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1691BE91" w14:textId="04B18A43" w:rsidR="00345631" w:rsidRPr="00F36218" w:rsidRDefault="00FE6B3D" w:rsidP="00704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76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6670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00E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66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91DD100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77E7C82F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5554E16C" w14:textId="77777777" w:rsidTr="005E4A45">
        <w:tc>
          <w:tcPr>
            <w:tcW w:w="9288" w:type="dxa"/>
          </w:tcPr>
          <w:p w14:paraId="28B49CF7" w14:textId="6C7E35DA" w:rsidR="00443A0F" w:rsidRDefault="00D00EF4" w:rsidP="00443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B8">
              <w:rPr>
                <w:rFonts w:ascii="Times New Roman" w:hAnsi="Times New Roman"/>
                <w:sz w:val="24"/>
                <w:szCs w:val="24"/>
              </w:rPr>
              <w:t xml:space="preserve">Pravni temelj za donošenje Odluke </w:t>
            </w:r>
            <w:r w:rsidRPr="00D00EF4">
              <w:rPr>
                <w:rFonts w:ascii="Times New Roman" w:hAnsi="Times New Roman"/>
                <w:sz w:val="24"/>
                <w:szCs w:val="24"/>
              </w:rPr>
              <w:t xml:space="preserve">o izmjenama Odluke o općinskim porezima Općine Gornja Rijeka </w:t>
            </w:r>
            <w:r w:rsidRPr="008125B8">
              <w:rPr>
                <w:rFonts w:ascii="Times New Roman" w:hAnsi="Times New Roman"/>
                <w:sz w:val="24"/>
                <w:szCs w:val="24"/>
              </w:rPr>
              <w:t>(u daljnjem tekstu: Prijedlog odluke) sadržan je u članku 42. stavku 1. Zakona o lokalnim porezima (Narodne novine 115/16, 101/17, 114/22</w:t>
            </w:r>
            <w:r w:rsidR="008766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5B8">
              <w:rPr>
                <w:rFonts w:ascii="Times New Roman" w:hAnsi="Times New Roman"/>
                <w:sz w:val="24"/>
                <w:szCs w:val="24"/>
              </w:rPr>
              <w:t>114/23</w:t>
            </w:r>
            <w:r w:rsidR="00876670">
              <w:rPr>
                <w:rFonts w:ascii="Times New Roman" w:hAnsi="Times New Roman"/>
                <w:sz w:val="24"/>
                <w:szCs w:val="24"/>
              </w:rPr>
              <w:t>. i 152/24</w:t>
            </w:r>
            <w:r w:rsidRPr="008125B8">
              <w:rPr>
                <w:rFonts w:ascii="Times New Roman" w:hAnsi="Times New Roman"/>
                <w:sz w:val="24"/>
                <w:szCs w:val="24"/>
              </w:rPr>
              <w:t>) koji propisuje da predstavničko tijelo jedinice lokalne samouprave svojom odlukom utvrđuje</w:t>
            </w:r>
            <w:r w:rsidR="00443A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784566" w14:textId="77777777" w:rsidR="00876670" w:rsidRDefault="00876670" w:rsidP="00443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17B32" w14:textId="77777777" w:rsidR="00876670" w:rsidRDefault="00876670" w:rsidP="00443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23D2B" w14:textId="77777777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 xml:space="preserve">Hrvatski Sabor na sjednici održanoj  dana 13.12.2024. godine donio je Zakon o izmjenama i dopunama Zakona o lokalnim porezima koji je objavljen u Narodnim novinama broj 152/24 dana 24.12.2024. godine sa stupanjem na snagu od 01.01.2025. godine. </w:t>
            </w:r>
          </w:p>
          <w:p w14:paraId="58C187DE" w14:textId="505DC661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 xml:space="preserve">Budući da je navedenim zakonskim izmjenama, ukinut porez na kuće za odmor te je zamijenjen novim porezom na nekretnine, bilo je nužno da </w:t>
            </w:r>
            <w:r>
              <w:rPr>
                <w:rFonts w:ascii="Times New Roman" w:hAnsi="Times New Roman"/>
                <w:sz w:val="24"/>
                <w:szCs w:val="24"/>
              </w:rPr>
              <w:t>Općina Gornja Rijeka</w:t>
            </w:r>
            <w:r w:rsidRPr="00876670">
              <w:rPr>
                <w:rFonts w:ascii="Times New Roman" w:hAnsi="Times New Roman"/>
                <w:sz w:val="24"/>
                <w:szCs w:val="24"/>
              </w:rPr>
              <w:t xml:space="preserve"> kao jedinica lokalne samouprave, na odgovarajući način izmijeni dosadašnju Odluku o </w:t>
            </w:r>
            <w:r>
              <w:rPr>
                <w:rFonts w:ascii="Times New Roman" w:hAnsi="Times New Roman"/>
                <w:sz w:val="24"/>
                <w:szCs w:val="24"/>
              </w:rPr>
              <w:t>općinskim porezima Općine Gornja Rijeka</w:t>
            </w:r>
            <w:r w:rsidRPr="00876670">
              <w:rPr>
                <w:rFonts w:ascii="Times New Roman" w:hAnsi="Times New Roman"/>
                <w:sz w:val="24"/>
                <w:szCs w:val="24"/>
              </w:rPr>
              <w:t xml:space="preserve">  i to na način da se umjesto ukinutog poreza na kuće za odmor, propiše novi porez na nekretnine te da se odredi visina tog poreza, kao i nadležno tijelo za utvrđivanje i naplatu, odnosno da se na pravilan i zakonit način provede usklađenje Odluke Grada Zadra s važećim zakonskim propisima. Odredbe Odluke koje se tiču poreza na potrošnju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poreza na korištenje javnih površina</w:t>
            </w:r>
            <w:r w:rsidRPr="00876670">
              <w:rPr>
                <w:rFonts w:ascii="Times New Roman" w:hAnsi="Times New Roman"/>
                <w:sz w:val="24"/>
                <w:szCs w:val="24"/>
              </w:rPr>
              <w:t>, ostaju nepromijenjene.</w:t>
            </w:r>
          </w:p>
          <w:p w14:paraId="1386230C" w14:textId="77777777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 xml:space="preserve">Nekretninom se, u smislu Zakona o lokalnim porezima („Narodne novine“ broj  115/16, 101/17, 114/22, 114/23, 152/24) smatra svaka stambena zgrada ili stambeni dio stambeno-poslovne zgrade ili stan te svaki drugi samostalni funkcionalni prostor namijenjen stanovanju. </w:t>
            </w:r>
          </w:p>
          <w:p w14:paraId="1BFB3D35" w14:textId="77777777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>Obveznici plaćanja poreza na nekretnine su domaće i strane, pravne i fizičke osobe koje su vlasnici nekretnina na dan 31. ožujka godine za koju se utvrđuje porez.</w:t>
            </w:r>
          </w:p>
          <w:p w14:paraId="1067D66D" w14:textId="77777777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>Porez na nekretnine lokalni je porez čiji se prihod dijeli:</w:t>
            </w:r>
          </w:p>
          <w:p w14:paraId="7A99C19A" w14:textId="77777777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>1.  80% udio jedinice lokalne samouprave na čijem se području nekretnina nalazi</w:t>
            </w:r>
          </w:p>
          <w:p w14:paraId="77A51F03" w14:textId="77777777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>2. 20% udio jedinice područne (regionalne) samouprave na čijem se području nekretnina nalazi.</w:t>
            </w:r>
          </w:p>
          <w:p w14:paraId="14A3AFDA" w14:textId="6A9078BD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 xml:space="preserve">Premda zakonodavac propisuje raspon poreza na nekretnine od 0,60 EUR do 8,00 EUR po metru kvadratnom korisne površine nekretnine </w:t>
            </w:r>
            <w:r>
              <w:rPr>
                <w:rFonts w:ascii="Times New Roman" w:hAnsi="Times New Roman"/>
                <w:sz w:val="24"/>
                <w:szCs w:val="24"/>
              </w:rPr>
              <w:t>Općina Gornja Rijeka</w:t>
            </w:r>
            <w:r w:rsidRPr="00876670">
              <w:rPr>
                <w:rFonts w:ascii="Times New Roman" w:hAnsi="Times New Roman"/>
                <w:sz w:val="24"/>
                <w:szCs w:val="24"/>
              </w:rPr>
              <w:t xml:space="preserve"> zadržava postojeći iznos koji je vrijedio kod oporezivanja kuća za odmor u visini od 1,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76670">
              <w:rPr>
                <w:rFonts w:ascii="Times New Roman" w:hAnsi="Times New Roman"/>
                <w:sz w:val="24"/>
                <w:szCs w:val="24"/>
              </w:rPr>
              <w:t xml:space="preserve"> EUR po metru kvadratnom korisne površine nekretnine. </w:t>
            </w:r>
          </w:p>
          <w:p w14:paraId="669DF81D" w14:textId="7E8EA61E" w:rsidR="00876670" w:rsidRPr="00876670" w:rsidRDefault="00876670" w:rsidP="008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>Poslove u svezi s utvrđivanjem, službenim evidentiranjem, nadzorom, naplatom I postupkom ovrhe radi naplate poreza na nekretnine obavljat 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kao i do sada</w:t>
            </w:r>
            <w:r w:rsidRPr="00876670">
              <w:rPr>
                <w:rFonts w:ascii="Times New Roman" w:hAnsi="Times New Roman"/>
                <w:sz w:val="24"/>
                <w:szCs w:val="24"/>
              </w:rPr>
              <w:t xml:space="preserve"> Ministarstvo financija, Porezna uprava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4EA677" w14:textId="1F0134BA" w:rsidR="007049FD" w:rsidRPr="00443A0F" w:rsidRDefault="00876670" w:rsidP="0087667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sz w:val="24"/>
                <w:szCs w:val="24"/>
              </w:rPr>
            </w:pPr>
            <w:r w:rsidRPr="00876670">
              <w:rPr>
                <w:rFonts w:ascii="Times New Roman" w:hAnsi="Times New Roman"/>
                <w:sz w:val="24"/>
                <w:szCs w:val="24"/>
              </w:rPr>
              <w:t xml:space="preserve">Imajući u vidu naprijed navedene odredbe Zakona predlaže se donošenje Odluke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izmjenama Odluke o općinskim porezima Općine Gornja Rijeka. </w:t>
            </w:r>
          </w:p>
        </w:tc>
      </w:tr>
    </w:tbl>
    <w:p w14:paraId="3458BCEF" w14:textId="77777777" w:rsidR="00A26D12" w:rsidRDefault="00A26D12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54E85A" w14:textId="7206B294" w:rsidR="005E4A45" w:rsidRPr="00F36218" w:rsidRDefault="005E4A45" w:rsidP="00AB71C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22487D">
        <w:rPr>
          <w:rFonts w:ascii="Times New Roman" w:hAnsi="Times New Roman"/>
          <w:sz w:val="24"/>
          <w:szCs w:val="24"/>
        </w:rPr>
        <w:t xml:space="preserve"> </w:t>
      </w:r>
      <w:r w:rsidR="00876670">
        <w:rPr>
          <w:rFonts w:ascii="Times New Roman" w:hAnsi="Times New Roman"/>
          <w:sz w:val="24"/>
          <w:szCs w:val="24"/>
        </w:rPr>
        <w:t>2</w:t>
      </w:r>
      <w:r w:rsidR="00443A0F">
        <w:rPr>
          <w:rFonts w:ascii="Times New Roman" w:hAnsi="Times New Roman"/>
          <w:sz w:val="24"/>
          <w:szCs w:val="24"/>
        </w:rPr>
        <w:t>0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876670">
        <w:rPr>
          <w:rFonts w:ascii="Times New Roman" w:hAnsi="Times New Roman"/>
          <w:sz w:val="24"/>
          <w:szCs w:val="24"/>
        </w:rPr>
        <w:t xml:space="preserve">veljače </w:t>
      </w:r>
      <w:r w:rsidR="007049FD">
        <w:rPr>
          <w:rFonts w:ascii="Times New Roman" w:hAnsi="Times New Roman"/>
          <w:sz w:val="24"/>
          <w:szCs w:val="24"/>
        </w:rPr>
        <w:t>20</w:t>
      </w:r>
      <w:r w:rsidR="00443A0F">
        <w:rPr>
          <w:rFonts w:ascii="Times New Roman" w:hAnsi="Times New Roman"/>
          <w:sz w:val="24"/>
          <w:szCs w:val="24"/>
        </w:rPr>
        <w:t>2</w:t>
      </w:r>
      <w:r w:rsidR="00876670">
        <w:rPr>
          <w:rFonts w:ascii="Times New Roman" w:hAnsi="Times New Roman"/>
          <w:sz w:val="24"/>
          <w:szCs w:val="24"/>
        </w:rPr>
        <w:t>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Odluke o </w:t>
      </w:r>
      <w:r w:rsidR="00443A0F">
        <w:rPr>
          <w:rFonts w:ascii="Times New Roman" w:hAnsi="Times New Roman"/>
          <w:sz w:val="24"/>
          <w:szCs w:val="24"/>
        </w:rPr>
        <w:t xml:space="preserve">izmjenama i dopunama Odluke o </w:t>
      </w:r>
      <w:r w:rsidR="0022487D">
        <w:rPr>
          <w:rFonts w:ascii="Times New Roman" w:hAnsi="Times New Roman"/>
          <w:sz w:val="24"/>
          <w:szCs w:val="24"/>
        </w:rPr>
        <w:t xml:space="preserve">općinskim </w:t>
      </w:r>
      <w:r w:rsidR="0022487D">
        <w:rPr>
          <w:rFonts w:ascii="Times New Roman" w:hAnsi="Times New Roman"/>
          <w:sz w:val="24"/>
          <w:szCs w:val="24"/>
        </w:rPr>
        <w:lastRenderedPageBreak/>
        <w:t>porezima</w:t>
      </w:r>
      <w:r w:rsidR="007049FD">
        <w:rPr>
          <w:rFonts w:ascii="Times New Roman" w:hAnsi="Times New Roman"/>
          <w:sz w:val="24"/>
          <w:szCs w:val="24"/>
        </w:rPr>
        <w:t xml:space="preserve"> Općine Gornja Rijeka</w:t>
      </w:r>
      <w:r w:rsidR="00AB71C9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443A0F" w:rsidRPr="00580D6E">
          <w:rPr>
            <w:rStyle w:val="Hiperveza"/>
            <w:rFonts w:ascii="Times New Roman" w:hAnsi="Times New Roman"/>
            <w:sz w:val="24"/>
            <w:szCs w:val="24"/>
          </w:rPr>
          <w:t>opcina@gornja-rijeka.hr</w:t>
        </w:r>
      </w:hyperlink>
      <w:r w:rsidR="00443A0F">
        <w:rPr>
          <w:rFonts w:ascii="Times New Roman" w:hAnsi="Times New Roman"/>
          <w:sz w:val="24"/>
          <w:szCs w:val="24"/>
        </w:rPr>
        <w:t xml:space="preserve"> </w:t>
      </w:r>
      <w:r w:rsidR="007049FD">
        <w:rPr>
          <w:rFonts w:ascii="Times New Roman" w:hAnsi="Times New Roman"/>
          <w:sz w:val="24"/>
          <w:szCs w:val="24"/>
        </w:rPr>
        <w:t xml:space="preserve">  </w:t>
      </w:r>
      <w:r w:rsidR="00D36E5C">
        <w:rPr>
          <w:rStyle w:val="Hiperveza"/>
          <w:rFonts w:ascii="Times New Roman" w:hAnsi="Times New Roman"/>
          <w:sz w:val="24"/>
          <w:szCs w:val="24"/>
        </w:rPr>
        <w:t xml:space="preserve"> </w:t>
      </w:r>
    </w:p>
    <w:p w14:paraId="1362A222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49F2B93C" w14:textId="6BB0661E" w:rsidR="00666DFB" w:rsidRPr="0022487D" w:rsidRDefault="008F19F7" w:rsidP="0022487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  <w:r w:rsidR="00224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>Zahvaljujemo na doprinosu u</w:t>
      </w:r>
      <w:r w:rsidR="00AB71C9">
        <w:rPr>
          <w:rFonts w:ascii="Times New Roman" w:hAnsi="Times New Roman" w:cs="Times New Roman"/>
          <w:sz w:val="24"/>
          <w:szCs w:val="24"/>
        </w:rPr>
        <w:t xml:space="preserve"> izradi što kvalitetnijeg Nacrta </w:t>
      </w:r>
      <w:r w:rsidR="007049FD">
        <w:rPr>
          <w:rFonts w:ascii="Times New Roman" w:hAnsi="Times New Roman"/>
          <w:sz w:val="24"/>
          <w:szCs w:val="24"/>
        </w:rPr>
        <w:t>Odluke</w:t>
      </w:r>
      <w:r w:rsidR="00876670">
        <w:rPr>
          <w:rFonts w:ascii="Times New Roman" w:hAnsi="Times New Roman"/>
          <w:sz w:val="24"/>
          <w:szCs w:val="24"/>
        </w:rPr>
        <w:t>.</w:t>
      </w:r>
    </w:p>
    <w:sectPr w:rsidR="00666DFB" w:rsidRPr="0022487D" w:rsidSect="0022487D"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2781" w14:textId="77777777" w:rsidR="00070DC7" w:rsidRDefault="00070DC7" w:rsidP="002342F3">
      <w:pPr>
        <w:spacing w:after="0" w:line="240" w:lineRule="auto"/>
      </w:pPr>
      <w:r>
        <w:separator/>
      </w:r>
    </w:p>
  </w:endnote>
  <w:endnote w:type="continuationSeparator" w:id="0">
    <w:p w14:paraId="36E219DB" w14:textId="77777777" w:rsidR="00070DC7" w:rsidRDefault="00070DC7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45522"/>
      <w:docPartObj>
        <w:docPartGallery w:val="Page Numbers (Bottom of Page)"/>
        <w:docPartUnique/>
      </w:docPartObj>
    </w:sdtPr>
    <w:sdtContent>
      <w:p w14:paraId="1EF14F3B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8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95789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AFE1" w14:textId="77777777" w:rsidR="00070DC7" w:rsidRDefault="00070DC7" w:rsidP="002342F3">
      <w:pPr>
        <w:spacing w:after="0" w:line="240" w:lineRule="auto"/>
      </w:pPr>
      <w:r>
        <w:separator/>
      </w:r>
    </w:p>
  </w:footnote>
  <w:footnote w:type="continuationSeparator" w:id="0">
    <w:p w14:paraId="2D95AEDB" w14:textId="77777777" w:rsidR="00070DC7" w:rsidRDefault="00070DC7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767160">
    <w:abstractNumId w:val="3"/>
  </w:num>
  <w:num w:numId="2" w16cid:durableId="1349520536">
    <w:abstractNumId w:val="4"/>
  </w:num>
  <w:num w:numId="3" w16cid:durableId="1079450933">
    <w:abstractNumId w:val="0"/>
  </w:num>
  <w:num w:numId="4" w16cid:durableId="1829058404">
    <w:abstractNumId w:val="5"/>
  </w:num>
  <w:num w:numId="5" w16cid:durableId="412513589">
    <w:abstractNumId w:val="2"/>
  </w:num>
  <w:num w:numId="6" w16cid:durableId="15934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70DC7"/>
    <w:rsid w:val="000851C5"/>
    <w:rsid w:val="0009753D"/>
    <w:rsid w:val="000B778C"/>
    <w:rsid w:val="00101BA7"/>
    <w:rsid w:val="001158F9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33F7"/>
    <w:rsid w:val="00212C10"/>
    <w:rsid w:val="0022487D"/>
    <w:rsid w:val="00224CAB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A1BAC"/>
    <w:rsid w:val="003A47AE"/>
    <w:rsid w:val="003B5FC0"/>
    <w:rsid w:val="003B6148"/>
    <w:rsid w:val="003C7732"/>
    <w:rsid w:val="00443A0F"/>
    <w:rsid w:val="00475D16"/>
    <w:rsid w:val="00481DAA"/>
    <w:rsid w:val="0048389B"/>
    <w:rsid w:val="0048394E"/>
    <w:rsid w:val="00484416"/>
    <w:rsid w:val="004E47F7"/>
    <w:rsid w:val="00564C85"/>
    <w:rsid w:val="005B2AAA"/>
    <w:rsid w:val="005E4A45"/>
    <w:rsid w:val="005E7AA5"/>
    <w:rsid w:val="005F36AC"/>
    <w:rsid w:val="00626FA1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463F"/>
    <w:rsid w:val="00866D7E"/>
    <w:rsid w:val="00876670"/>
    <w:rsid w:val="008937D3"/>
    <w:rsid w:val="008D0FA1"/>
    <w:rsid w:val="008E4B09"/>
    <w:rsid w:val="008F05FE"/>
    <w:rsid w:val="008F19F7"/>
    <w:rsid w:val="008F7DAC"/>
    <w:rsid w:val="00922107"/>
    <w:rsid w:val="009252C0"/>
    <w:rsid w:val="00933187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76FE9"/>
    <w:rsid w:val="00B864AC"/>
    <w:rsid w:val="00B86C42"/>
    <w:rsid w:val="00B922BF"/>
    <w:rsid w:val="00BA2127"/>
    <w:rsid w:val="00BB5636"/>
    <w:rsid w:val="00BC167C"/>
    <w:rsid w:val="00BF0D75"/>
    <w:rsid w:val="00C06628"/>
    <w:rsid w:val="00C10143"/>
    <w:rsid w:val="00C2626D"/>
    <w:rsid w:val="00C34934"/>
    <w:rsid w:val="00C55731"/>
    <w:rsid w:val="00C72255"/>
    <w:rsid w:val="00C84484"/>
    <w:rsid w:val="00C86CE8"/>
    <w:rsid w:val="00CA0CBF"/>
    <w:rsid w:val="00CA5F63"/>
    <w:rsid w:val="00CC1427"/>
    <w:rsid w:val="00CC145B"/>
    <w:rsid w:val="00CD6AEC"/>
    <w:rsid w:val="00CE2CA0"/>
    <w:rsid w:val="00CF2B73"/>
    <w:rsid w:val="00D00EF4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8613B"/>
    <w:rsid w:val="00DC162B"/>
    <w:rsid w:val="00DE01EB"/>
    <w:rsid w:val="00DE3336"/>
    <w:rsid w:val="00E149BD"/>
    <w:rsid w:val="00E21C53"/>
    <w:rsid w:val="00E2697D"/>
    <w:rsid w:val="00E3139A"/>
    <w:rsid w:val="00E4020F"/>
    <w:rsid w:val="00E71EED"/>
    <w:rsid w:val="00E769DE"/>
    <w:rsid w:val="00E93613"/>
    <w:rsid w:val="00EA3EF3"/>
    <w:rsid w:val="00EC40DD"/>
    <w:rsid w:val="00EC4DC4"/>
    <w:rsid w:val="00F030D9"/>
    <w:rsid w:val="00F074AE"/>
    <w:rsid w:val="00F1752C"/>
    <w:rsid w:val="00F36218"/>
    <w:rsid w:val="00F3739A"/>
    <w:rsid w:val="00F50902"/>
    <w:rsid w:val="00F54E04"/>
    <w:rsid w:val="00F558BD"/>
    <w:rsid w:val="00F6588C"/>
    <w:rsid w:val="00F95448"/>
    <w:rsid w:val="00FA1726"/>
    <w:rsid w:val="00FC2563"/>
    <w:rsid w:val="00FE2B53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511D"/>
  <w15:docId w15:val="{9E5D2AA5-9AF9-47DB-9F5F-38966790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Bezproreda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A263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A263F"/>
  </w:style>
  <w:style w:type="paragraph" w:styleId="Odlomakpopisa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4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846A-24A3-4689-9E48-927202ED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2016-10-11T10:47:00Z</cp:lastPrinted>
  <dcterms:created xsi:type="dcterms:W3CDTF">2025-01-20T10:53:00Z</dcterms:created>
  <dcterms:modified xsi:type="dcterms:W3CDTF">2025-01-20T10:53:00Z</dcterms:modified>
</cp:coreProperties>
</file>